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542C8" w14:textId="77777777" w:rsidR="004770F4" w:rsidRPr="008470E2" w:rsidRDefault="008038B9" w:rsidP="005630E6">
      <w:pPr>
        <w:spacing w:line="360" w:lineRule="auto"/>
        <w:jc w:val="center"/>
        <w:rPr>
          <w:rFonts w:cs="Times New Roman"/>
          <w:b/>
          <w:szCs w:val="24"/>
        </w:rPr>
      </w:pPr>
      <w:r w:rsidRPr="008470E2">
        <w:rPr>
          <w:rFonts w:cs="Times New Roman"/>
          <w:b/>
          <w:szCs w:val="24"/>
        </w:rPr>
        <w:t>GLOBAL BUSINESS ENVIRONMENT: CULTURE, MANAGEMENT &amp; THE ECONOMY</w:t>
      </w:r>
    </w:p>
    <w:p w14:paraId="260FE200" w14:textId="77777777" w:rsidR="008038B9" w:rsidRPr="008470E2" w:rsidRDefault="008038B9" w:rsidP="005630E6">
      <w:pPr>
        <w:spacing w:line="360" w:lineRule="auto"/>
        <w:jc w:val="center"/>
        <w:rPr>
          <w:rFonts w:cs="Times New Roman"/>
          <w:b/>
          <w:szCs w:val="24"/>
        </w:rPr>
      </w:pPr>
    </w:p>
    <w:p w14:paraId="4A5DF0B1" w14:textId="77777777" w:rsidR="008038B9" w:rsidRPr="008470E2" w:rsidRDefault="008038B9" w:rsidP="005630E6">
      <w:pPr>
        <w:spacing w:line="360" w:lineRule="auto"/>
        <w:jc w:val="center"/>
        <w:rPr>
          <w:rFonts w:cs="Times New Roman"/>
          <w:szCs w:val="24"/>
        </w:rPr>
      </w:pPr>
    </w:p>
    <w:p w14:paraId="10E79636" w14:textId="77777777" w:rsidR="004770F4" w:rsidRPr="008470E2" w:rsidRDefault="004770F4" w:rsidP="005630E6">
      <w:pPr>
        <w:spacing w:line="360" w:lineRule="auto"/>
        <w:jc w:val="center"/>
        <w:rPr>
          <w:rFonts w:cs="Times New Roman"/>
          <w:b/>
          <w:szCs w:val="24"/>
        </w:rPr>
      </w:pPr>
      <w:r w:rsidRPr="008470E2">
        <w:rPr>
          <w:rFonts w:cs="Times New Roman"/>
          <w:b/>
          <w:szCs w:val="24"/>
        </w:rPr>
        <w:t xml:space="preserve">Students </w:t>
      </w:r>
      <w:r w:rsidR="008038B9" w:rsidRPr="008470E2">
        <w:rPr>
          <w:rFonts w:cs="Times New Roman"/>
          <w:b/>
          <w:szCs w:val="24"/>
        </w:rPr>
        <w:t>ID Number:</w:t>
      </w:r>
    </w:p>
    <w:p w14:paraId="1F7A5C47" w14:textId="77777777" w:rsidR="008038B9" w:rsidRPr="008470E2" w:rsidRDefault="008038B9" w:rsidP="005630E6">
      <w:pPr>
        <w:spacing w:line="360" w:lineRule="auto"/>
        <w:jc w:val="center"/>
        <w:rPr>
          <w:rFonts w:cs="Times New Roman"/>
          <w:b/>
          <w:szCs w:val="24"/>
        </w:rPr>
      </w:pPr>
    </w:p>
    <w:p w14:paraId="3432CE49" w14:textId="77777777" w:rsidR="008038B9" w:rsidRPr="008470E2" w:rsidRDefault="008038B9" w:rsidP="005630E6">
      <w:pPr>
        <w:spacing w:line="360" w:lineRule="auto"/>
        <w:jc w:val="center"/>
        <w:rPr>
          <w:rFonts w:cs="Times New Roman"/>
          <w:b/>
          <w:szCs w:val="24"/>
        </w:rPr>
      </w:pPr>
    </w:p>
    <w:p w14:paraId="1C208CBB" w14:textId="05FB9302" w:rsidR="008038B9" w:rsidRPr="008470E2" w:rsidRDefault="008470E2" w:rsidP="005630E6">
      <w:pPr>
        <w:spacing w:line="360" w:lineRule="auto"/>
        <w:jc w:val="center"/>
        <w:rPr>
          <w:rFonts w:cs="Times New Roman"/>
          <w:b/>
          <w:szCs w:val="24"/>
        </w:rPr>
      </w:pPr>
      <w:r w:rsidRPr="008470E2">
        <w:rPr>
          <w:rFonts w:cs="Times New Roman"/>
          <w:b/>
          <w:szCs w:val="24"/>
        </w:rPr>
        <w:t>Sainsbury</w:t>
      </w:r>
      <w:r w:rsidR="008038B9" w:rsidRPr="008470E2">
        <w:rPr>
          <w:rFonts w:cs="Times New Roman"/>
          <w:b/>
          <w:szCs w:val="24"/>
        </w:rPr>
        <w:t xml:space="preserve"> Global Expansion</w:t>
      </w:r>
    </w:p>
    <w:p w14:paraId="27C39CFB" w14:textId="77777777" w:rsidR="008038B9" w:rsidRPr="008470E2" w:rsidRDefault="008038B9" w:rsidP="005630E6">
      <w:pPr>
        <w:spacing w:line="360" w:lineRule="auto"/>
        <w:jc w:val="center"/>
        <w:rPr>
          <w:rFonts w:cs="Times New Roman"/>
          <w:b/>
          <w:szCs w:val="24"/>
        </w:rPr>
      </w:pPr>
    </w:p>
    <w:p w14:paraId="166A01C2" w14:textId="03DA51E2" w:rsidR="008038B9" w:rsidRPr="008470E2" w:rsidRDefault="005123AA" w:rsidP="005630E6">
      <w:pPr>
        <w:spacing w:line="360" w:lineRule="auto"/>
        <w:jc w:val="center"/>
        <w:rPr>
          <w:rFonts w:cs="Times New Roman"/>
          <w:b/>
          <w:szCs w:val="24"/>
        </w:rPr>
      </w:pPr>
      <w:r w:rsidRPr="008470E2">
        <w:rPr>
          <w:rFonts w:cs="Times New Roman"/>
          <w:b/>
          <w:szCs w:val="24"/>
        </w:rPr>
        <w:t>3000</w:t>
      </w:r>
    </w:p>
    <w:p w14:paraId="7BD22845" w14:textId="77777777" w:rsidR="008038B9" w:rsidRPr="008470E2" w:rsidRDefault="008038B9" w:rsidP="005630E6">
      <w:pPr>
        <w:spacing w:line="360" w:lineRule="auto"/>
        <w:jc w:val="center"/>
        <w:rPr>
          <w:rFonts w:cs="Times New Roman"/>
          <w:b/>
          <w:szCs w:val="24"/>
        </w:rPr>
      </w:pPr>
    </w:p>
    <w:p w14:paraId="485FD321" w14:textId="77777777" w:rsidR="004770F4" w:rsidRPr="008470E2" w:rsidRDefault="004770F4" w:rsidP="005630E6">
      <w:pPr>
        <w:spacing w:line="360" w:lineRule="auto"/>
        <w:jc w:val="center"/>
        <w:rPr>
          <w:rFonts w:cs="Times New Roman"/>
          <w:b/>
          <w:szCs w:val="24"/>
        </w:rPr>
      </w:pPr>
    </w:p>
    <w:p w14:paraId="1F3380C4" w14:textId="77777777" w:rsidR="004770F4" w:rsidRPr="008470E2" w:rsidRDefault="008038B9" w:rsidP="005630E6">
      <w:pPr>
        <w:spacing w:line="360" w:lineRule="auto"/>
        <w:jc w:val="center"/>
        <w:rPr>
          <w:rFonts w:cs="Times New Roman"/>
          <w:b/>
          <w:szCs w:val="24"/>
        </w:rPr>
      </w:pPr>
      <w:r w:rsidRPr="008470E2">
        <w:rPr>
          <w:rFonts w:cs="Times New Roman"/>
          <w:b/>
          <w:szCs w:val="24"/>
        </w:rPr>
        <w:t>Submission date</w:t>
      </w:r>
    </w:p>
    <w:p w14:paraId="15DFA8A3" w14:textId="77777777" w:rsidR="004770F4" w:rsidRPr="008470E2" w:rsidRDefault="004770F4" w:rsidP="005630E6">
      <w:pPr>
        <w:spacing w:line="360" w:lineRule="auto"/>
        <w:jc w:val="center"/>
        <w:rPr>
          <w:rFonts w:cs="Times New Roman"/>
          <w:b/>
          <w:szCs w:val="24"/>
        </w:rPr>
      </w:pPr>
    </w:p>
    <w:p w14:paraId="405528FE" w14:textId="77777777" w:rsidR="004770F4" w:rsidRPr="008470E2" w:rsidRDefault="004770F4" w:rsidP="005630E6">
      <w:pPr>
        <w:spacing w:line="360" w:lineRule="auto"/>
        <w:jc w:val="center"/>
        <w:rPr>
          <w:rFonts w:cs="Times New Roman"/>
          <w:b/>
          <w:szCs w:val="24"/>
        </w:rPr>
      </w:pPr>
    </w:p>
    <w:p w14:paraId="1E125F75" w14:textId="77777777" w:rsidR="004770F4" w:rsidRPr="008470E2" w:rsidRDefault="004770F4" w:rsidP="005630E6">
      <w:pPr>
        <w:spacing w:line="360" w:lineRule="auto"/>
        <w:jc w:val="center"/>
        <w:rPr>
          <w:rFonts w:cs="Times New Roman"/>
          <w:b/>
          <w:szCs w:val="24"/>
        </w:rPr>
      </w:pPr>
    </w:p>
    <w:p w14:paraId="41E4D469" w14:textId="77777777" w:rsidR="004770F4" w:rsidRPr="008470E2" w:rsidRDefault="004770F4" w:rsidP="005630E6">
      <w:pPr>
        <w:spacing w:line="360" w:lineRule="auto"/>
        <w:jc w:val="center"/>
        <w:rPr>
          <w:rFonts w:cs="Times New Roman"/>
          <w:b/>
          <w:szCs w:val="24"/>
        </w:rPr>
      </w:pPr>
    </w:p>
    <w:p w14:paraId="02B58FDF" w14:textId="77777777" w:rsidR="004770F4" w:rsidRPr="008470E2" w:rsidRDefault="004770F4" w:rsidP="005630E6">
      <w:pPr>
        <w:spacing w:line="360" w:lineRule="auto"/>
        <w:jc w:val="center"/>
        <w:rPr>
          <w:rFonts w:cs="Times New Roman"/>
          <w:b/>
          <w:szCs w:val="24"/>
        </w:rPr>
      </w:pPr>
    </w:p>
    <w:p w14:paraId="0A5D1BAE" w14:textId="77777777" w:rsidR="004770F4" w:rsidRPr="008470E2" w:rsidRDefault="004770F4" w:rsidP="005630E6">
      <w:pPr>
        <w:spacing w:line="360" w:lineRule="auto"/>
        <w:jc w:val="center"/>
        <w:rPr>
          <w:rFonts w:cs="Times New Roman"/>
          <w:b/>
          <w:szCs w:val="24"/>
        </w:rPr>
      </w:pPr>
    </w:p>
    <w:p w14:paraId="30FBA87F" w14:textId="77777777" w:rsidR="004770F4" w:rsidRPr="008470E2" w:rsidRDefault="004770F4" w:rsidP="005630E6">
      <w:pPr>
        <w:spacing w:line="360" w:lineRule="auto"/>
        <w:jc w:val="center"/>
        <w:rPr>
          <w:rFonts w:cs="Times New Roman"/>
          <w:b/>
          <w:szCs w:val="24"/>
        </w:rPr>
      </w:pPr>
    </w:p>
    <w:p w14:paraId="417BE924" w14:textId="77777777" w:rsidR="004770F4" w:rsidRPr="008470E2" w:rsidRDefault="004770F4" w:rsidP="005630E6">
      <w:pPr>
        <w:spacing w:line="360" w:lineRule="auto"/>
        <w:jc w:val="center"/>
        <w:rPr>
          <w:rFonts w:cs="Times New Roman"/>
          <w:b/>
          <w:szCs w:val="24"/>
        </w:rPr>
      </w:pPr>
      <w:bookmarkStart w:id="0" w:name="_GoBack"/>
      <w:bookmarkEnd w:id="0"/>
    </w:p>
    <w:p w14:paraId="49ABF2F1" w14:textId="77777777" w:rsidR="004770F4" w:rsidRPr="008470E2" w:rsidRDefault="004770F4" w:rsidP="005630E6">
      <w:pPr>
        <w:spacing w:line="360" w:lineRule="auto"/>
        <w:jc w:val="center"/>
        <w:rPr>
          <w:rFonts w:cs="Times New Roman"/>
          <w:b/>
          <w:szCs w:val="24"/>
        </w:rPr>
      </w:pPr>
    </w:p>
    <w:p w14:paraId="6493D613" w14:textId="77777777" w:rsidR="004770F4" w:rsidRPr="008470E2" w:rsidRDefault="004770F4" w:rsidP="005630E6">
      <w:pPr>
        <w:spacing w:line="360" w:lineRule="auto"/>
        <w:jc w:val="center"/>
        <w:rPr>
          <w:rFonts w:cs="Times New Roman"/>
          <w:b/>
          <w:szCs w:val="24"/>
        </w:rPr>
      </w:pPr>
    </w:p>
    <w:p w14:paraId="16887E88" w14:textId="77777777" w:rsidR="004770F4" w:rsidRPr="008470E2" w:rsidRDefault="004770F4" w:rsidP="005630E6">
      <w:pPr>
        <w:spacing w:line="360" w:lineRule="auto"/>
        <w:jc w:val="center"/>
        <w:rPr>
          <w:rFonts w:cs="Times New Roman"/>
          <w:b/>
          <w:szCs w:val="24"/>
        </w:rPr>
      </w:pPr>
    </w:p>
    <w:p w14:paraId="0D6AE2E7" w14:textId="77777777" w:rsidR="004770F4" w:rsidRPr="008470E2" w:rsidRDefault="004770F4" w:rsidP="005630E6">
      <w:pPr>
        <w:spacing w:line="360" w:lineRule="auto"/>
        <w:jc w:val="center"/>
        <w:rPr>
          <w:rFonts w:cs="Times New Roman"/>
          <w:b/>
          <w:szCs w:val="24"/>
        </w:rPr>
      </w:pPr>
    </w:p>
    <w:p w14:paraId="588F73EF" w14:textId="77777777" w:rsidR="004770F4" w:rsidRPr="008470E2" w:rsidRDefault="004770F4" w:rsidP="005630E6">
      <w:pPr>
        <w:spacing w:line="360" w:lineRule="auto"/>
        <w:jc w:val="center"/>
        <w:rPr>
          <w:rFonts w:cs="Times New Roman"/>
          <w:b/>
          <w:szCs w:val="24"/>
        </w:rPr>
      </w:pPr>
    </w:p>
    <w:p w14:paraId="125F84A0" w14:textId="77777777" w:rsidR="004770F4" w:rsidRPr="008470E2" w:rsidRDefault="004770F4" w:rsidP="005630E6">
      <w:pPr>
        <w:spacing w:line="360" w:lineRule="auto"/>
        <w:jc w:val="center"/>
        <w:rPr>
          <w:rFonts w:cs="Times New Roman"/>
          <w:b/>
          <w:szCs w:val="24"/>
        </w:rPr>
      </w:pPr>
    </w:p>
    <w:p w14:paraId="551BF3B0" w14:textId="6F04425F" w:rsidR="004770F4" w:rsidRPr="008470E2" w:rsidRDefault="004770F4" w:rsidP="005630E6">
      <w:pPr>
        <w:spacing w:line="360" w:lineRule="auto"/>
        <w:jc w:val="center"/>
        <w:rPr>
          <w:rFonts w:cs="Times New Roman"/>
          <w:b/>
          <w:szCs w:val="24"/>
        </w:rPr>
      </w:pPr>
      <w:r w:rsidRPr="008470E2">
        <w:rPr>
          <w:rFonts w:cs="Times New Roman"/>
          <w:b/>
          <w:szCs w:val="24"/>
        </w:rPr>
        <w:t>Executive Summary</w:t>
      </w:r>
    </w:p>
    <w:p w14:paraId="369C826F" w14:textId="600A0F11" w:rsidR="00877F4D" w:rsidRPr="008470E2" w:rsidRDefault="00B46A12" w:rsidP="005630E6">
      <w:pPr>
        <w:spacing w:line="360" w:lineRule="auto"/>
        <w:rPr>
          <w:rFonts w:cs="Times New Roman"/>
          <w:b/>
          <w:szCs w:val="24"/>
        </w:rPr>
      </w:pPr>
      <w:r w:rsidRPr="008470E2">
        <w:rPr>
          <w:rFonts w:cs="Times New Roman"/>
          <w:szCs w:val="24"/>
        </w:rPr>
        <w:t xml:space="preserve">This report </w:t>
      </w:r>
      <w:r w:rsidR="00FF2B62" w:rsidRPr="008470E2">
        <w:rPr>
          <w:rFonts w:cs="Times New Roman"/>
          <w:szCs w:val="24"/>
        </w:rPr>
        <w:t>is prepared to discuss the problems</w:t>
      </w:r>
      <w:r w:rsidRPr="008470E2">
        <w:rPr>
          <w:rFonts w:cs="Times New Roman"/>
          <w:szCs w:val="24"/>
        </w:rPr>
        <w:t xml:space="preserve"> </w:t>
      </w:r>
      <w:r w:rsidR="00FF2B62" w:rsidRPr="008470E2">
        <w:rPr>
          <w:rFonts w:cs="Times New Roman"/>
          <w:szCs w:val="24"/>
        </w:rPr>
        <w:t xml:space="preserve">encountered </w:t>
      </w:r>
      <w:r w:rsidRPr="008470E2">
        <w:rPr>
          <w:rFonts w:cs="Times New Roman"/>
          <w:szCs w:val="24"/>
        </w:rPr>
        <w:t xml:space="preserve">by </w:t>
      </w:r>
      <w:r w:rsidR="00FF2B62" w:rsidRPr="008470E2">
        <w:rPr>
          <w:rFonts w:cs="Times New Roman"/>
          <w:szCs w:val="24"/>
        </w:rPr>
        <w:t>Sainsbury</w:t>
      </w:r>
      <w:r w:rsidRPr="008470E2">
        <w:rPr>
          <w:rFonts w:cs="Times New Roman"/>
          <w:szCs w:val="24"/>
        </w:rPr>
        <w:t xml:space="preserve">, </w:t>
      </w:r>
      <w:r w:rsidR="00FF2B62" w:rsidRPr="008470E2">
        <w:rPr>
          <w:rFonts w:cs="Times New Roman"/>
          <w:szCs w:val="24"/>
        </w:rPr>
        <w:t>due to</w:t>
      </w:r>
      <w:r w:rsidRPr="008470E2">
        <w:rPr>
          <w:rFonts w:cs="Times New Roman"/>
          <w:szCs w:val="24"/>
        </w:rPr>
        <w:t xml:space="preserve"> cultural differences and </w:t>
      </w:r>
      <w:r w:rsidR="00FF2B62" w:rsidRPr="008470E2">
        <w:rPr>
          <w:rFonts w:cs="Times New Roman"/>
          <w:szCs w:val="24"/>
        </w:rPr>
        <w:t xml:space="preserve">shifts in </w:t>
      </w:r>
      <w:r w:rsidRPr="008470E2">
        <w:rPr>
          <w:rFonts w:cs="Times New Roman"/>
          <w:szCs w:val="24"/>
        </w:rPr>
        <w:t xml:space="preserve">global economic </w:t>
      </w:r>
      <w:r w:rsidR="00FF2B62" w:rsidRPr="008470E2">
        <w:rPr>
          <w:rFonts w:cs="Times New Roman"/>
          <w:szCs w:val="24"/>
        </w:rPr>
        <w:t>conditions in its expansion into Indonesia</w:t>
      </w:r>
      <w:r w:rsidRPr="008470E2">
        <w:rPr>
          <w:rFonts w:cs="Times New Roman"/>
          <w:szCs w:val="24"/>
        </w:rPr>
        <w:t xml:space="preserve">. </w:t>
      </w:r>
      <w:r w:rsidR="00D52CE8" w:rsidRPr="008470E2">
        <w:rPr>
          <w:rFonts w:cs="Times New Roman"/>
          <w:szCs w:val="24"/>
        </w:rPr>
        <w:t>Trompenaar</w:t>
      </w:r>
      <w:r w:rsidR="00FF2B62" w:rsidRPr="008470E2">
        <w:rPr>
          <w:rFonts w:cs="Times New Roman"/>
          <w:szCs w:val="24"/>
        </w:rPr>
        <w:t>’</w:t>
      </w:r>
      <w:r w:rsidR="00D52CE8" w:rsidRPr="008470E2">
        <w:rPr>
          <w:rFonts w:cs="Times New Roman"/>
          <w:szCs w:val="24"/>
        </w:rPr>
        <w:t xml:space="preserve">s </w:t>
      </w:r>
      <w:r w:rsidR="00FF2B62" w:rsidRPr="008470E2">
        <w:rPr>
          <w:rFonts w:cs="Times New Roman"/>
          <w:szCs w:val="24"/>
        </w:rPr>
        <w:t xml:space="preserve">and Hofstede's </w:t>
      </w:r>
      <w:r w:rsidR="00D52CE8" w:rsidRPr="008470E2">
        <w:rPr>
          <w:rFonts w:cs="Times New Roman"/>
          <w:szCs w:val="24"/>
        </w:rPr>
        <w:t>Models Of Cultural Dimensions</w:t>
      </w:r>
      <w:r w:rsidR="00FF2B62" w:rsidRPr="008470E2">
        <w:rPr>
          <w:rFonts w:cs="Times New Roman"/>
          <w:szCs w:val="24"/>
        </w:rPr>
        <w:t xml:space="preserve"> are used to discuss the problems faced by Sainsbury due to cultural </w:t>
      </w:r>
      <w:r w:rsidR="00FD7B19" w:rsidRPr="008470E2">
        <w:rPr>
          <w:rFonts w:cs="Times New Roman"/>
          <w:szCs w:val="24"/>
        </w:rPr>
        <w:t xml:space="preserve">differences between UK and Indonesia and </w:t>
      </w:r>
      <w:r w:rsidR="00EB4B2E">
        <w:rPr>
          <w:rFonts w:cs="Times New Roman"/>
          <w:szCs w:val="24"/>
        </w:rPr>
        <w:t>their</w:t>
      </w:r>
      <w:r w:rsidR="00FD7B19" w:rsidRPr="008470E2">
        <w:rPr>
          <w:rFonts w:cs="Times New Roman"/>
          <w:szCs w:val="24"/>
        </w:rPr>
        <w:t xml:space="preserve"> probable effect on Sainsbury</w:t>
      </w:r>
      <w:r w:rsidRPr="008470E2">
        <w:rPr>
          <w:rFonts w:cs="Times New Roman"/>
          <w:szCs w:val="24"/>
        </w:rPr>
        <w:t xml:space="preserve">. </w:t>
      </w:r>
      <w:r w:rsidR="00EB4B2E">
        <w:rPr>
          <w:rFonts w:cs="Times New Roman"/>
          <w:szCs w:val="24"/>
        </w:rPr>
        <w:t>To</w:t>
      </w:r>
      <w:r w:rsidR="00FD7B19" w:rsidRPr="008470E2">
        <w:rPr>
          <w:rFonts w:cs="Times New Roman"/>
          <w:szCs w:val="24"/>
        </w:rPr>
        <w:t xml:space="preserve"> point out the economic impact on Sainsbury due to its expansion in Indonesia, the link between globalisation and the world’s economy is explained first and its inference is linked to Indonesia’s economy. Next, the international trade between UK and Indonesia is briefly discussed and </w:t>
      </w:r>
      <w:r w:rsidR="00162D24" w:rsidRPr="008470E2">
        <w:rPr>
          <w:rFonts w:cs="Times New Roman"/>
          <w:szCs w:val="24"/>
        </w:rPr>
        <w:t xml:space="preserve">the </w:t>
      </w:r>
      <w:r w:rsidR="00FD7B19" w:rsidRPr="008470E2">
        <w:rPr>
          <w:rFonts w:cs="Times New Roman"/>
          <w:szCs w:val="24"/>
        </w:rPr>
        <w:t xml:space="preserve">ways this is </w:t>
      </w:r>
      <w:r w:rsidR="00162D24" w:rsidRPr="008470E2">
        <w:rPr>
          <w:rFonts w:cs="Times New Roman"/>
          <w:szCs w:val="24"/>
        </w:rPr>
        <w:t xml:space="preserve">going to impact </w:t>
      </w:r>
      <w:r w:rsidR="00FD7B19" w:rsidRPr="008470E2">
        <w:rPr>
          <w:rFonts w:cs="Times New Roman"/>
          <w:szCs w:val="24"/>
        </w:rPr>
        <w:t xml:space="preserve">Sainsbury is explained </w:t>
      </w:r>
      <w:r w:rsidR="00162D24" w:rsidRPr="008470E2">
        <w:rPr>
          <w:rFonts w:cs="Times New Roman"/>
          <w:szCs w:val="24"/>
        </w:rPr>
        <w:t xml:space="preserve">with help of the Global Strategic Rivalry Theory. </w:t>
      </w:r>
      <w:r w:rsidR="00EB4B2E">
        <w:rPr>
          <w:rFonts w:cs="Times New Roman"/>
          <w:szCs w:val="24"/>
        </w:rPr>
        <w:t>In</w:t>
      </w:r>
      <w:r w:rsidR="00162D24" w:rsidRPr="008470E2">
        <w:rPr>
          <w:rFonts w:cs="Times New Roman"/>
          <w:szCs w:val="24"/>
        </w:rPr>
        <w:t xml:space="preserve"> the next part, the macroeconomic conditions of Indonesia are discussed using two important indicators, GDP and GDP per capita. The discussion also involves the link between Indonesia’s national income and Sainsbury’s business expansion and its implications for its expansion. This is explained using how different factors that make up the national income can change from time to time causing economic fluctuations and the impact of such fluctuation on Sainsbury. Next, the impact of the exchange rate on the competitive advantage of Sainsbury is discussed and the ways new agreements in trade, investment and economic cooperation usher in a new age of industrial revolutions which can act </w:t>
      </w:r>
      <w:r w:rsidR="00EB4B2E">
        <w:rPr>
          <w:rFonts w:cs="Times New Roman"/>
          <w:szCs w:val="24"/>
        </w:rPr>
        <w:t>to</w:t>
      </w:r>
      <w:r w:rsidR="00162D24" w:rsidRPr="008470E2">
        <w:rPr>
          <w:rFonts w:cs="Times New Roman"/>
          <w:szCs w:val="24"/>
        </w:rPr>
        <w:t xml:space="preserve"> Sainsbury’s advantage in its expansion into Indonesia. The last part includes the concluding section. The last part ends with a conclusion and recommendation.</w:t>
      </w:r>
    </w:p>
    <w:p w14:paraId="2C60875F" w14:textId="77777777" w:rsidR="004770F4" w:rsidRPr="008470E2" w:rsidRDefault="004770F4" w:rsidP="005630E6">
      <w:pPr>
        <w:spacing w:line="360" w:lineRule="auto"/>
        <w:jc w:val="center"/>
        <w:rPr>
          <w:rFonts w:cs="Times New Roman"/>
          <w:b/>
          <w:szCs w:val="24"/>
        </w:rPr>
      </w:pPr>
    </w:p>
    <w:p w14:paraId="0E361896" w14:textId="77777777" w:rsidR="004770F4" w:rsidRPr="008470E2" w:rsidRDefault="004770F4" w:rsidP="005630E6">
      <w:pPr>
        <w:spacing w:line="360" w:lineRule="auto"/>
        <w:jc w:val="center"/>
        <w:rPr>
          <w:rFonts w:cs="Times New Roman"/>
          <w:b/>
          <w:szCs w:val="24"/>
        </w:rPr>
      </w:pPr>
    </w:p>
    <w:p w14:paraId="4C59FA7F" w14:textId="77777777" w:rsidR="004770F4" w:rsidRPr="008470E2" w:rsidRDefault="004770F4" w:rsidP="005630E6">
      <w:pPr>
        <w:spacing w:line="360" w:lineRule="auto"/>
        <w:jc w:val="center"/>
        <w:rPr>
          <w:rFonts w:cs="Times New Roman"/>
          <w:b/>
          <w:szCs w:val="24"/>
        </w:rPr>
      </w:pPr>
    </w:p>
    <w:p w14:paraId="32EBC955" w14:textId="77777777" w:rsidR="004770F4" w:rsidRPr="008470E2" w:rsidRDefault="004770F4" w:rsidP="005630E6">
      <w:pPr>
        <w:spacing w:line="360" w:lineRule="auto"/>
        <w:jc w:val="center"/>
        <w:rPr>
          <w:rFonts w:cs="Times New Roman"/>
          <w:b/>
          <w:szCs w:val="24"/>
        </w:rPr>
      </w:pPr>
    </w:p>
    <w:p w14:paraId="1A978AA3" w14:textId="77777777" w:rsidR="004770F4" w:rsidRPr="008470E2" w:rsidRDefault="004770F4" w:rsidP="005630E6">
      <w:pPr>
        <w:spacing w:line="360" w:lineRule="auto"/>
        <w:jc w:val="center"/>
        <w:rPr>
          <w:rFonts w:cs="Times New Roman"/>
          <w:b/>
          <w:szCs w:val="24"/>
        </w:rPr>
      </w:pPr>
    </w:p>
    <w:p w14:paraId="42AE5101" w14:textId="77777777" w:rsidR="004770F4" w:rsidRPr="008470E2" w:rsidRDefault="004770F4" w:rsidP="005630E6">
      <w:pPr>
        <w:spacing w:line="360" w:lineRule="auto"/>
        <w:jc w:val="center"/>
        <w:rPr>
          <w:rFonts w:cs="Times New Roman"/>
          <w:b/>
          <w:szCs w:val="24"/>
        </w:rPr>
      </w:pPr>
    </w:p>
    <w:p w14:paraId="34665946" w14:textId="77777777" w:rsidR="004770F4" w:rsidRPr="008470E2" w:rsidRDefault="004770F4" w:rsidP="005630E6">
      <w:pPr>
        <w:spacing w:line="360" w:lineRule="auto"/>
        <w:jc w:val="center"/>
        <w:rPr>
          <w:rFonts w:cs="Times New Roman"/>
          <w:b/>
          <w:szCs w:val="24"/>
        </w:rPr>
      </w:pPr>
    </w:p>
    <w:p w14:paraId="557B97F6" w14:textId="77777777" w:rsidR="004770F4" w:rsidRPr="008470E2" w:rsidRDefault="004770F4" w:rsidP="005630E6">
      <w:pPr>
        <w:spacing w:line="360" w:lineRule="auto"/>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7FBA08C3" w14:textId="77777777" w:rsidR="004770F4" w:rsidRPr="008470E2" w:rsidRDefault="004770F4" w:rsidP="005630E6">
          <w:pPr>
            <w:spacing w:line="360" w:lineRule="auto"/>
            <w:jc w:val="center"/>
            <w:rPr>
              <w:rFonts w:cs="Times New Roman"/>
              <w:szCs w:val="24"/>
            </w:rPr>
          </w:pPr>
          <w:r w:rsidRPr="008470E2">
            <w:rPr>
              <w:rFonts w:cs="Times New Roman"/>
              <w:szCs w:val="24"/>
            </w:rPr>
            <w:t>Table of Contents</w:t>
          </w:r>
        </w:p>
        <w:p w14:paraId="7E0E5182" w14:textId="7F5081EB" w:rsidR="00A849D7" w:rsidRDefault="004770F4">
          <w:pPr>
            <w:pStyle w:val="TOC1"/>
            <w:tabs>
              <w:tab w:val="right" w:leader="dot" w:pos="9016"/>
            </w:tabs>
            <w:rPr>
              <w:rFonts w:asciiTheme="minorHAnsi" w:eastAsiaTheme="minorEastAsia" w:hAnsiTheme="minorHAnsi"/>
              <w:noProof/>
              <w:color w:val="auto"/>
              <w:sz w:val="22"/>
              <w:lang w:eastAsia="en-IN"/>
            </w:rPr>
          </w:pPr>
          <w:r w:rsidRPr="008470E2">
            <w:rPr>
              <w:rFonts w:cs="Times New Roman"/>
              <w:szCs w:val="24"/>
            </w:rPr>
            <w:fldChar w:fldCharType="begin"/>
          </w:r>
          <w:r w:rsidRPr="008470E2">
            <w:rPr>
              <w:rFonts w:cs="Times New Roman"/>
              <w:szCs w:val="24"/>
            </w:rPr>
            <w:instrText xml:space="preserve"> TOC \o "1-3" \h \z \u </w:instrText>
          </w:r>
          <w:r w:rsidRPr="008470E2">
            <w:rPr>
              <w:rFonts w:cs="Times New Roman"/>
              <w:szCs w:val="24"/>
            </w:rPr>
            <w:fldChar w:fldCharType="separate"/>
          </w:r>
          <w:hyperlink w:anchor="_Toc102433483" w:history="1">
            <w:r w:rsidR="00A849D7" w:rsidRPr="005B4061">
              <w:rPr>
                <w:rStyle w:val="Hyperlink"/>
                <w:rFonts w:cs="Times New Roman"/>
                <w:noProof/>
              </w:rPr>
              <w:t>1. Introduction</w:t>
            </w:r>
            <w:r w:rsidR="00A849D7">
              <w:rPr>
                <w:noProof/>
                <w:webHidden/>
              </w:rPr>
              <w:tab/>
            </w:r>
            <w:r w:rsidR="00A849D7">
              <w:rPr>
                <w:noProof/>
                <w:webHidden/>
              </w:rPr>
              <w:fldChar w:fldCharType="begin"/>
            </w:r>
            <w:r w:rsidR="00A849D7">
              <w:rPr>
                <w:noProof/>
                <w:webHidden/>
              </w:rPr>
              <w:instrText xml:space="preserve"> PAGEREF _Toc102433483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0659E356" w14:textId="3D5C2F95" w:rsidR="00A849D7" w:rsidRDefault="005C1455">
          <w:pPr>
            <w:pStyle w:val="TOC2"/>
            <w:tabs>
              <w:tab w:val="right" w:leader="dot" w:pos="9016"/>
            </w:tabs>
            <w:rPr>
              <w:rFonts w:asciiTheme="minorHAnsi" w:eastAsiaTheme="minorEastAsia" w:hAnsiTheme="minorHAnsi"/>
              <w:noProof/>
              <w:color w:val="auto"/>
              <w:sz w:val="22"/>
              <w:lang w:eastAsia="en-IN"/>
            </w:rPr>
          </w:pPr>
          <w:hyperlink w:anchor="_Toc102433484" w:history="1">
            <w:r w:rsidR="00A849D7" w:rsidRPr="005B4061">
              <w:rPr>
                <w:rStyle w:val="Hyperlink"/>
                <w:rFonts w:cs="Times New Roman"/>
                <w:noProof/>
              </w:rPr>
              <w:t>1.1 Indonesia</w:t>
            </w:r>
            <w:r w:rsidR="00A849D7">
              <w:rPr>
                <w:noProof/>
                <w:webHidden/>
              </w:rPr>
              <w:tab/>
            </w:r>
            <w:r w:rsidR="00A849D7">
              <w:rPr>
                <w:noProof/>
                <w:webHidden/>
              </w:rPr>
              <w:fldChar w:fldCharType="begin"/>
            </w:r>
            <w:r w:rsidR="00A849D7">
              <w:rPr>
                <w:noProof/>
                <w:webHidden/>
              </w:rPr>
              <w:instrText xml:space="preserve"> PAGEREF _Toc102433484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41731E81" w14:textId="37470D5B" w:rsidR="00A849D7" w:rsidRDefault="005C1455">
          <w:pPr>
            <w:pStyle w:val="TOC2"/>
            <w:tabs>
              <w:tab w:val="right" w:leader="dot" w:pos="9016"/>
            </w:tabs>
            <w:rPr>
              <w:rFonts w:asciiTheme="minorHAnsi" w:eastAsiaTheme="minorEastAsia" w:hAnsiTheme="minorHAnsi"/>
              <w:noProof/>
              <w:color w:val="auto"/>
              <w:sz w:val="22"/>
              <w:lang w:eastAsia="en-IN"/>
            </w:rPr>
          </w:pPr>
          <w:hyperlink w:anchor="_Toc102433485" w:history="1">
            <w:r w:rsidR="00A849D7" w:rsidRPr="005B4061">
              <w:rPr>
                <w:rStyle w:val="Hyperlink"/>
                <w:rFonts w:cs="Times New Roman"/>
                <w:noProof/>
              </w:rPr>
              <w:t>1.2 Sainsbury</w:t>
            </w:r>
            <w:r w:rsidR="00A849D7">
              <w:rPr>
                <w:noProof/>
                <w:webHidden/>
              </w:rPr>
              <w:tab/>
            </w:r>
            <w:r w:rsidR="00A849D7">
              <w:rPr>
                <w:noProof/>
                <w:webHidden/>
              </w:rPr>
              <w:fldChar w:fldCharType="begin"/>
            </w:r>
            <w:r w:rsidR="00A849D7">
              <w:rPr>
                <w:noProof/>
                <w:webHidden/>
              </w:rPr>
              <w:instrText xml:space="preserve"> PAGEREF _Toc102433485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7866008B" w14:textId="2EF7C587" w:rsidR="00A849D7" w:rsidRDefault="005C1455">
          <w:pPr>
            <w:pStyle w:val="TOC1"/>
            <w:tabs>
              <w:tab w:val="right" w:leader="dot" w:pos="9016"/>
            </w:tabs>
            <w:rPr>
              <w:rFonts w:asciiTheme="minorHAnsi" w:eastAsiaTheme="minorEastAsia" w:hAnsiTheme="minorHAnsi"/>
              <w:noProof/>
              <w:color w:val="auto"/>
              <w:sz w:val="22"/>
              <w:lang w:eastAsia="en-IN"/>
            </w:rPr>
          </w:pPr>
          <w:hyperlink w:anchor="_Toc102433486" w:history="1">
            <w:r w:rsidR="00A849D7" w:rsidRPr="005B4061">
              <w:rPr>
                <w:rStyle w:val="Hyperlink"/>
                <w:rFonts w:cs="Times New Roman"/>
                <w:noProof/>
              </w:rPr>
              <w:t>2. Analysis and Discussion</w:t>
            </w:r>
            <w:r w:rsidR="00A849D7">
              <w:rPr>
                <w:noProof/>
                <w:webHidden/>
              </w:rPr>
              <w:tab/>
            </w:r>
            <w:r w:rsidR="00A849D7">
              <w:rPr>
                <w:noProof/>
                <w:webHidden/>
              </w:rPr>
              <w:fldChar w:fldCharType="begin"/>
            </w:r>
            <w:r w:rsidR="00A849D7">
              <w:rPr>
                <w:noProof/>
                <w:webHidden/>
              </w:rPr>
              <w:instrText xml:space="preserve"> PAGEREF _Toc102433486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7C2FD1D9" w14:textId="08A41726" w:rsidR="00A849D7" w:rsidRDefault="005C1455">
          <w:pPr>
            <w:pStyle w:val="TOC2"/>
            <w:tabs>
              <w:tab w:val="right" w:leader="dot" w:pos="9016"/>
            </w:tabs>
            <w:rPr>
              <w:rFonts w:asciiTheme="minorHAnsi" w:eastAsiaTheme="minorEastAsia" w:hAnsiTheme="minorHAnsi"/>
              <w:noProof/>
              <w:color w:val="auto"/>
              <w:sz w:val="22"/>
              <w:lang w:eastAsia="en-IN"/>
            </w:rPr>
          </w:pPr>
          <w:hyperlink w:anchor="_Toc102433487" w:history="1">
            <w:r w:rsidR="00A849D7" w:rsidRPr="005B4061">
              <w:rPr>
                <w:rStyle w:val="Hyperlink"/>
                <w:rFonts w:cs="Times New Roman"/>
                <w:noProof/>
              </w:rPr>
              <w:t>2.1: Culture</w:t>
            </w:r>
            <w:r w:rsidR="00A849D7">
              <w:rPr>
                <w:noProof/>
                <w:webHidden/>
              </w:rPr>
              <w:tab/>
            </w:r>
            <w:r w:rsidR="00A849D7">
              <w:rPr>
                <w:noProof/>
                <w:webHidden/>
              </w:rPr>
              <w:fldChar w:fldCharType="begin"/>
            </w:r>
            <w:r w:rsidR="00A849D7">
              <w:rPr>
                <w:noProof/>
                <w:webHidden/>
              </w:rPr>
              <w:instrText xml:space="preserve"> PAGEREF _Toc102433487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51926DB0" w14:textId="22805DF9"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88" w:history="1">
            <w:r w:rsidR="00A849D7" w:rsidRPr="005B4061">
              <w:rPr>
                <w:rStyle w:val="Hyperlink"/>
                <w:rFonts w:cs="Times New Roman"/>
                <w:noProof/>
              </w:rPr>
              <w:t>2.1.1 Globalisation and culture</w:t>
            </w:r>
            <w:r w:rsidR="00A849D7">
              <w:rPr>
                <w:noProof/>
                <w:webHidden/>
              </w:rPr>
              <w:tab/>
            </w:r>
            <w:r w:rsidR="00A849D7">
              <w:rPr>
                <w:noProof/>
                <w:webHidden/>
              </w:rPr>
              <w:fldChar w:fldCharType="begin"/>
            </w:r>
            <w:r w:rsidR="00A849D7">
              <w:rPr>
                <w:noProof/>
                <w:webHidden/>
              </w:rPr>
              <w:instrText xml:space="preserve"> PAGEREF _Toc102433488 \h </w:instrText>
            </w:r>
            <w:r w:rsidR="00A849D7">
              <w:rPr>
                <w:noProof/>
                <w:webHidden/>
              </w:rPr>
            </w:r>
            <w:r w:rsidR="00A849D7">
              <w:rPr>
                <w:noProof/>
                <w:webHidden/>
              </w:rPr>
              <w:fldChar w:fldCharType="separate"/>
            </w:r>
            <w:r w:rsidR="00A849D7">
              <w:rPr>
                <w:noProof/>
                <w:webHidden/>
              </w:rPr>
              <w:t>3</w:t>
            </w:r>
            <w:r w:rsidR="00A849D7">
              <w:rPr>
                <w:noProof/>
                <w:webHidden/>
              </w:rPr>
              <w:fldChar w:fldCharType="end"/>
            </w:r>
          </w:hyperlink>
        </w:p>
        <w:p w14:paraId="7986DC84" w14:textId="737B7AC7"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89" w:history="1">
            <w:r w:rsidR="00A849D7" w:rsidRPr="005B4061">
              <w:rPr>
                <w:rStyle w:val="Hyperlink"/>
                <w:rFonts w:cs="Times New Roman"/>
                <w:noProof/>
              </w:rPr>
              <w:t>2.1.2 Culture and communication</w:t>
            </w:r>
            <w:r w:rsidR="00A849D7">
              <w:rPr>
                <w:noProof/>
                <w:webHidden/>
              </w:rPr>
              <w:tab/>
            </w:r>
            <w:r w:rsidR="00A849D7">
              <w:rPr>
                <w:noProof/>
                <w:webHidden/>
              </w:rPr>
              <w:fldChar w:fldCharType="begin"/>
            </w:r>
            <w:r w:rsidR="00A849D7">
              <w:rPr>
                <w:noProof/>
                <w:webHidden/>
              </w:rPr>
              <w:instrText xml:space="preserve"> PAGEREF _Toc102433489 \h </w:instrText>
            </w:r>
            <w:r w:rsidR="00A849D7">
              <w:rPr>
                <w:noProof/>
                <w:webHidden/>
              </w:rPr>
            </w:r>
            <w:r w:rsidR="00A849D7">
              <w:rPr>
                <w:noProof/>
                <w:webHidden/>
              </w:rPr>
              <w:fldChar w:fldCharType="separate"/>
            </w:r>
            <w:r w:rsidR="00A849D7">
              <w:rPr>
                <w:noProof/>
                <w:webHidden/>
              </w:rPr>
              <w:t>4</w:t>
            </w:r>
            <w:r w:rsidR="00A849D7">
              <w:rPr>
                <w:noProof/>
                <w:webHidden/>
              </w:rPr>
              <w:fldChar w:fldCharType="end"/>
            </w:r>
          </w:hyperlink>
        </w:p>
        <w:p w14:paraId="45C69D27" w14:textId="722E531F"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0" w:history="1">
            <w:r w:rsidR="00A849D7" w:rsidRPr="005B4061">
              <w:rPr>
                <w:rStyle w:val="Hyperlink"/>
                <w:rFonts w:cs="Times New Roman"/>
                <w:noProof/>
              </w:rPr>
              <w:t>2.1.3 Cultural difference</w:t>
            </w:r>
            <w:r w:rsidR="00A849D7">
              <w:rPr>
                <w:noProof/>
                <w:webHidden/>
              </w:rPr>
              <w:tab/>
            </w:r>
            <w:r w:rsidR="00A849D7">
              <w:rPr>
                <w:noProof/>
                <w:webHidden/>
              </w:rPr>
              <w:fldChar w:fldCharType="begin"/>
            </w:r>
            <w:r w:rsidR="00A849D7">
              <w:rPr>
                <w:noProof/>
                <w:webHidden/>
              </w:rPr>
              <w:instrText xml:space="preserve"> PAGEREF _Toc102433490 \h </w:instrText>
            </w:r>
            <w:r w:rsidR="00A849D7">
              <w:rPr>
                <w:noProof/>
                <w:webHidden/>
              </w:rPr>
            </w:r>
            <w:r w:rsidR="00A849D7">
              <w:rPr>
                <w:noProof/>
                <w:webHidden/>
              </w:rPr>
              <w:fldChar w:fldCharType="separate"/>
            </w:r>
            <w:r w:rsidR="00A849D7">
              <w:rPr>
                <w:noProof/>
                <w:webHidden/>
              </w:rPr>
              <w:t>5</w:t>
            </w:r>
            <w:r w:rsidR="00A849D7">
              <w:rPr>
                <w:noProof/>
                <w:webHidden/>
              </w:rPr>
              <w:fldChar w:fldCharType="end"/>
            </w:r>
          </w:hyperlink>
        </w:p>
        <w:p w14:paraId="6F87BBE7" w14:textId="2C3E8146"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1" w:history="1">
            <w:r w:rsidR="00A849D7" w:rsidRPr="005B4061">
              <w:rPr>
                <w:rStyle w:val="Hyperlink"/>
                <w:rFonts w:cs="Times New Roman"/>
                <w:noProof/>
              </w:rPr>
              <w:t>2.1.4 Managing people in the international business environment</w:t>
            </w:r>
            <w:r w:rsidR="00A849D7">
              <w:rPr>
                <w:noProof/>
                <w:webHidden/>
              </w:rPr>
              <w:tab/>
            </w:r>
            <w:r w:rsidR="00A849D7">
              <w:rPr>
                <w:noProof/>
                <w:webHidden/>
              </w:rPr>
              <w:fldChar w:fldCharType="begin"/>
            </w:r>
            <w:r w:rsidR="00A849D7">
              <w:rPr>
                <w:noProof/>
                <w:webHidden/>
              </w:rPr>
              <w:instrText xml:space="preserve"> PAGEREF _Toc102433491 \h </w:instrText>
            </w:r>
            <w:r w:rsidR="00A849D7">
              <w:rPr>
                <w:noProof/>
                <w:webHidden/>
              </w:rPr>
            </w:r>
            <w:r w:rsidR="00A849D7">
              <w:rPr>
                <w:noProof/>
                <w:webHidden/>
              </w:rPr>
              <w:fldChar w:fldCharType="separate"/>
            </w:r>
            <w:r w:rsidR="00A849D7">
              <w:rPr>
                <w:noProof/>
                <w:webHidden/>
              </w:rPr>
              <w:t>7</w:t>
            </w:r>
            <w:r w:rsidR="00A849D7">
              <w:rPr>
                <w:noProof/>
                <w:webHidden/>
              </w:rPr>
              <w:fldChar w:fldCharType="end"/>
            </w:r>
          </w:hyperlink>
        </w:p>
        <w:p w14:paraId="45408BD9" w14:textId="1A3B2AED"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2" w:history="1">
            <w:r w:rsidR="00A849D7" w:rsidRPr="005B4061">
              <w:rPr>
                <w:rStyle w:val="Hyperlink"/>
                <w:rFonts w:cs="Times New Roman"/>
                <w:noProof/>
              </w:rPr>
              <w:t>2.1.5 Managing cross-cultural negotiation and conflict</w:t>
            </w:r>
            <w:r w:rsidR="00A849D7">
              <w:rPr>
                <w:noProof/>
                <w:webHidden/>
              </w:rPr>
              <w:tab/>
            </w:r>
            <w:r w:rsidR="00A849D7">
              <w:rPr>
                <w:noProof/>
                <w:webHidden/>
              </w:rPr>
              <w:fldChar w:fldCharType="begin"/>
            </w:r>
            <w:r w:rsidR="00A849D7">
              <w:rPr>
                <w:noProof/>
                <w:webHidden/>
              </w:rPr>
              <w:instrText xml:space="preserve"> PAGEREF _Toc102433492 \h </w:instrText>
            </w:r>
            <w:r w:rsidR="00A849D7">
              <w:rPr>
                <w:noProof/>
                <w:webHidden/>
              </w:rPr>
            </w:r>
            <w:r w:rsidR="00A849D7">
              <w:rPr>
                <w:noProof/>
                <w:webHidden/>
              </w:rPr>
              <w:fldChar w:fldCharType="separate"/>
            </w:r>
            <w:r w:rsidR="00A849D7">
              <w:rPr>
                <w:noProof/>
                <w:webHidden/>
              </w:rPr>
              <w:t>7</w:t>
            </w:r>
            <w:r w:rsidR="00A849D7">
              <w:rPr>
                <w:noProof/>
                <w:webHidden/>
              </w:rPr>
              <w:fldChar w:fldCharType="end"/>
            </w:r>
          </w:hyperlink>
        </w:p>
        <w:p w14:paraId="5841D248" w14:textId="2ACA7459" w:rsidR="00A849D7" w:rsidRDefault="005C1455">
          <w:pPr>
            <w:pStyle w:val="TOC2"/>
            <w:tabs>
              <w:tab w:val="right" w:leader="dot" w:pos="9016"/>
            </w:tabs>
            <w:rPr>
              <w:rFonts w:asciiTheme="minorHAnsi" w:eastAsiaTheme="minorEastAsia" w:hAnsiTheme="minorHAnsi"/>
              <w:noProof/>
              <w:color w:val="auto"/>
              <w:sz w:val="22"/>
              <w:lang w:eastAsia="en-IN"/>
            </w:rPr>
          </w:pPr>
          <w:hyperlink w:anchor="_Toc102433493" w:history="1">
            <w:r w:rsidR="00A849D7" w:rsidRPr="005B4061">
              <w:rPr>
                <w:rStyle w:val="Hyperlink"/>
                <w:rFonts w:cs="Times New Roman"/>
                <w:noProof/>
              </w:rPr>
              <w:t>2.2 The Global economy</w:t>
            </w:r>
            <w:r w:rsidR="00A849D7">
              <w:rPr>
                <w:noProof/>
                <w:webHidden/>
              </w:rPr>
              <w:tab/>
            </w:r>
            <w:r w:rsidR="00A849D7">
              <w:rPr>
                <w:noProof/>
                <w:webHidden/>
              </w:rPr>
              <w:fldChar w:fldCharType="begin"/>
            </w:r>
            <w:r w:rsidR="00A849D7">
              <w:rPr>
                <w:noProof/>
                <w:webHidden/>
              </w:rPr>
              <w:instrText xml:space="preserve"> PAGEREF _Toc102433493 \h </w:instrText>
            </w:r>
            <w:r w:rsidR="00A849D7">
              <w:rPr>
                <w:noProof/>
                <w:webHidden/>
              </w:rPr>
            </w:r>
            <w:r w:rsidR="00A849D7">
              <w:rPr>
                <w:noProof/>
                <w:webHidden/>
              </w:rPr>
              <w:fldChar w:fldCharType="separate"/>
            </w:r>
            <w:r w:rsidR="00A849D7">
              <w:rPr>
                <w:noProof/>
                <w:webHidden/>
              </w:rPr>
              <w:t>8</w:t>
            </w:r>
            <w:r w:rsidR="00A849D7">
              <w:rPr>
                <w:noProof/>
                <w:webHidden/>
              </w:rPr>
              <w:fldChar w:fldCharType="end"/>
            </w:r>
          </w:hyperlink>
        </w:p>
        <w:p w14:paraId="702CF4D0" w14:textId="3D984409"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4" w:history="1">
            <w:r w:rsidR="00A849D7" w:rsidRPr="005B4061">
              <w:rPr>
                <w:rStyle w:val="Hyperlink"/>
                <w:rFonts w:cs="Times New Roman"/>
                <w:noProof/>
              </w:rPr>
              <w:t>2.2.1 Globalisation and the world economy</w:t>
            </w:r>
            <w:r w:rsidR="00A849D7">
              <w:rPr>
                <w:noProof/>
                <w:webHidden/>
              </w:rPr>
              <w:tab/>
            </w:r>
            <w:r w:rsidR="00A849D7">
              <w:rPr>
                <w:noProof/>
                <w:webHidden/>
              </w:rPr>
              <w:fldChar w:fldCharType="begin"/>
            </w:r>
            <w:r w:rsidR="00A849D7">
              <w:rPr>
                <w:noProof/>
                <w:webHidden/>
              </w:rPr>
              <w:instrText xml:space="preserve"> PAGEREF _Toc102433494 \h </w:instrText>
            </w:r>
            <w:r w:rsidR="00A849D7">
              <w:rPr>
                <w:noProof/>
                <w:webHidden/>
              </w:rPr>
            </w:r>
            <w:r w:rsidR="00A849D7">
              <w:rPr>
                <w:noProof/>
                <w:webHidden/>
              </w:rPr>
              <w:fldChar w:fldCharType="separate"/>
            </w:r>
            <w:r w:rsidR="00A849D7">
              <w:rPr>
                <w:noProof/>
                <w:webHidden/>
              </w:rPr>
              <w:t>8</w:t>
            </w:r>
            <w:r w:rsidR="00A849D7">
              <w:rPr>
                <w:noProof/>
                <w:webHidden/>
              </w:rPr>
              <w:fldChar w:fldCharType="end"/>
            </w:r>
          </w:hyperlink>
        </w:p>
        <w:p w14:paraId="07B8B58B" w14:textId="5EDE2463"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5" w:history="1">
            <w:r w:rsidR="00A849D7" w:rsidRPr="005B4061">
              <w:rPr>
                <w:rStyle w:val="Hyperlink"/>
                <w:rFonts w:cs="Times New Roman"/>
                <w:noProof/>
              </w:rPr>
              <w:t>2.2.2 International trade</w:t>
            </w:r>
            <w:r w:rsidR="00A849D7">
              <w:rPr>
                <w:noProof/>
                <w:webHidden/>
              </w:rPr>
              <w:tab/>
            </w:r>
            <w:r w:rsidR="00A849D7">
              <w:rPr>
                <w:noProof/>
                <w:webHidden/>
              </w:rPr>
              <w:fldChar w:fldCharType="begin"/>
            </w:r>
            <w:r w:rsidR="00A849D7">
              <w:rPr>
                <w:noProof/>
                <w:webHidden/>
              </w:rPr>
              <w:instrText xml:space="preserve"> PAGEREF _Toc102433495 \h </w:instrText>
            </w:r>
            <w:r w:rsidR="00A849D7">
              <w:rPr>
                <w:noProof/>
                <w:webHidden/>
              </w:rPr>
            </w:r>
            <w:r w:rsidR="00A849D7">
              <w:rPr>
                <w:noProof/>
                <w:webHidden/>
              </w:rPr>
              <w:fldChar w:fldCharType="separate"/>
            </w:r>
            <w:r w:rsidR="00A849D7">
              <w:rPr>
                <w:noProof/>
                <w:webHidden/>
              </w:rPr>
              <w:t>10</w:t>
            </w:r>
            <w:r w:rsidR="00A849D7">
              <w:rPr>
                <w:noProof/>
                <w:webHidden/>
              </w:rPr>
              <w:fldChar w:fldCharType="end"/>
            </w:r>
          </w:hyperlink>
        </w:p>
        <w:p w14:paraId="54195137" w14:textId="0FB3B6A1"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6" w:history="1">
            <w:r w:rsidR="00A849D7" w:rsidRPr="005B4061">
              <w:rPr>
                <w:rStyle w:val="Hyperlink"/>
                <w:rFonts w:cs="Times New Roman"/>
                <w:noProof/>
              </w:rPr>
              <w:t>2.2.3 The macroeconomic environment</w:t>
            </w:r>
            <w:r w:rsidR="00A849D7">
              <w:rPr>
                <w:noProof/>
                <w:webHidden/>
              </w:rPr>
              <w:tab/>
            </w:r>
            <w:r w:rsidR="00A849D7">
              <w:rPr>
                <w:noProof/>
                <w:webHidden/>
              </w:rPr>
              <w:fldChar w:fldCharType="begin"/>
            </w:r>
            <w:r w:rsidR="00A849D7">
              <w:rPr>
                <w:noProof/>
                <w:webHidden/>
              </w:rPr>
              <w:instrText xml:space="preserve"> PAGEREF _Toc102433496 \h </w:instrText>
            </w:r>
            <w:r w:rsidR="00A849D7">
              <w:rPr>
                <w:noProof/>
                <w:webHidden/>
              </w:rPr>
            </w:r>
            <w:r w:rsidR="00A849D7">
              <w:rPr>
                <w:noProof/>
                <w:webHidden/>
              </w:rPr>
              <w:fldChar w:fldCharType="separate"/>
            </w:r>
            <w:r w:rsidR="00A849D7">
              <w:rPr>
                <w:noProof/>
                <w:webHidden/>
              </w:rPr>
              <w:t>11</w:t>
            </w:r>
            <w:r w:rsidR="00A849D7">
              <w:rPr>
                <w:noProof/>
                <w:webHidden/>
              </w:rPr>
              <w:fldChar w:fldCharType="end"/>
            </w:r>
          </w:hyperlink>
        </w:p>
        <w:p w14:paraId="6A4D7BE7" w14:textId="143CDA08"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7" w:history="1">
            <w:r w:rsidR="00A849D7" w:rsidRPr="005B4061">
              <w:rPr>
                <w:rStyle w:val="Hyperlink"/>
                <w:rFonts w:cs="Times New Roman"/>
                <w:noProof/>
              </w:rPr>
              <w:t>2.2.4 Exchange Rate and competitiveness</w:t>
            </w:r>
            <w:r w:rsidR="00A849D7">
              <w:rPr>
                <w:noProof/>
                <w:webHidden/>
              </w:rPr>
              <w:tab/>
            </w:r>
            <w:r w:rsidR="00A849D7">
              <w:rPr>
                <w:noProof/>
                <w:webHidden/>
              </w:rPr>
              <w:fldChar w:fldCharType="begin"/>
            </w:r>
            <w:r w:rsidR="00A849D7">
              <w:rPr>
                <w:noProof/>
                <w:webHidden/>
              </w:rPr>
              <w:instrText xml:space="preserve"> PAGEREF _Toc102433497 \h </w:instrText>
            </w:r>
            <w:r w:rsidR="00A849D7">
              <w:rPr>
                <w:noProof/>
                <w:webHidden/>
              </w:rPr>
            </w:r>
            <w:r w:rsidR="00A849D7">
              <w:rPr>
                <w:noProof/>
                <w:webHidden/>
              </w:rPr>
              <w:fldChar w:fldCharType="separate"/>
            </w:r>
            <w:r w:rsidR="00A849D7">
              <w:rPr>
                <w:noProof/>
                <w:webHidden/>
              </w:rPr>
              <w:t>12</w:t>
            </w:r>
            <w:r w:rsidR="00A849D7">
              <w:rPr>
                <w:noProof/>
                <w:webHidden/>
              </w:rPr>
              <w:fldChar w:fldCharType="end"/>
            </w:r>
          </w:hyperlink>
        </w:p>
        <w:p w14:paraId="39972D5A" w14:textId="41ACBD5D" w:rsidR="00A849D7" w:rsidRDefault="005C1455">
          <w:pPr>
            <w:pStyle w:val="TOC3"/>
            <w:tabs>
              <w:tab w:val="right" w:leader="dot" w:pos="9016"/>
            </w:tabs>
            <w:rPr>
              <w:rFonts w:asciiTheme="minorHAnsi" w:eastAsiaTheme="minorEastAsia" w:hAnsiTheme="minorHAnsi"/>
              <w:noProof/>
              <w:color w:val="auto"/>
              <w:sz w:val="22"/>
              <w:lang w:eastAsia="en-IN"/>
            </w:rPr>
          </w:pPr>
          <w:hyperlink w:anchor="_Toc102433498" w:history="1">
            <w:r w:rsidR="00A849D7" w:rsidRPr="005B4061">
              <w:rPr>
                <w:rStyle w:val="Hyperlink"/>
                <w:rFonts w:cs="Times New Roman"/>
                <w:noProof/>
              </w:rPr>
              <w:t>2.2.5 The New economy: knowledge, technology and network effects</w:t>
            </w:r>
            <w:r w:rsidR="00A849D7">
              <w:rPr>
                <w:noProof/>
                <w:webHidden/>
              </w:rPr>
              <w:tab/>
            </w:r>
            <w:r w:rsidR="00A849D7">
              <w:rPr>
                <w:noProof/>
                <w:webHidden/>
              </w:rPr>
              <w:fldChar w:fldCharType="begin"/>
            </w:r>
            <w:r w:rsidR="00A849D7">
              <w:rPr>
                <w:noProof/>
                <w:webHidden/>
              </w:rPr>
              <w:instrText xml:space="preserve"> PAGEREF _Toc102433498 \h </w:instrText>
            </w:r>
            <w:r w:rsidR="00A849D7">
              <w:rPr>
                <w:noProof/>
                <w:webHidden/>
              </w:rPr>
            </w:r>
            <w:r w:rsidR="00A849D7">
              <w:rPr>
                <w:noProof/>
                <w:webHidden/>
              </w:rPr>
              <w:fldChar w:fldCharType="separate"/>
            </w:r>
            <w:r w:rsidR="00A849D7">
              <w:rPr>
                <w:noProof/>
                <w:webHidden/>
              </w:rPr>
              <w:t>13</w:t>
            </w:r>
            <w:r w:rsidR="00A849D7">
              <w:rPr>
                <w:noProof/>
                <w:webHidden/>
              </w:rPr>
              <w:fldChar w:fldCharType="end"/>
            </w:r>
          </w:hyperlink>
        </w:p>
        <w:p w14:paraId="77B3A6C4" w14:textId="3CBD5C3F" w:rsidR="00A849D7" w:rsidRDefault="005C1455">
          <w:pPr>
            <w:pStyle w:val="TOC1"/>
            <w:tabs>
              <w:tab w:val="right" w:leader="dot" w:pos="9016"/>
            </w:tabs>
            <w:rPr>
              <w:rFonts w:asciiTheme="minorHAnsi" w:eastAsiaTheme="minorEastAsia" w:hAnsiTheme="minorHAnsi"/>
              <w:noProof/>
              <w:color w:val="auto"/>
              <w:sz w:val="22"/>
              <w:lang w:eastAsia="en-IN"/>
            </w:rPr>
          </w:pPr>
          <w:hyperlink w:anchor="_Toc102433499" w:history="1">
            <w:r w:rsidR="00A849D7" w:rsidRPr="005B4061">
              <w:rPr>
                <w:rStyle w:val="Hyperlink"/>
                <w:rFonts w:cs="Times New Roman"/>
                <w:noProof/>
              </w:rPr>
              <w:t>3. Conclusion and recommendations</w:t>
            </w:r>
            <w:r w:rsidR="00A849D7">
              <w:rPr>
                <w:noProof/>
                <w:webHidden/>
              </w:rPr>
              <w:tab/>
            </w:r>
            <w:r w:rsidR="00A849D7">
              <w:rPr>
                <w:noProof/>
                <w:webHidden/>
              </w:rPr>
              <w:fldChar w:fldCharType="begin"/>
            </w:r>
            <w:r w:rsidR="00A849D7">
              <w:rPr>
                <w:noProof/>
                <w:webHidden/>
              </w:rPr>
              <w:instrText xml:space="preserve"> PAGEREF _Toc102433499 \h </w:instrText>
            </w:r>
            <w:r w:rsidR="00A849D7">
              <w:rPr>
                <w:noProof/>
                <w:webHidden/>
              </w:rPr>
            </w:r>
            <w:r w:rsidR="00A849D7">
              <w:rPr>
                <w:noProof/>
                <w:webHidden/>
              </w:rPr>
              <w:fldChar w:fldCharType="separate"/>
            </w:r>
            <w:r w:rsidR="00A849D7">
              <w:rPr>
                <w:noProof/>
                <w:webHidden/>
              </w:rPr>
              <w:t>14</w:t>
            </w:r>
            <w:r w:rsidR="00A849D7">
              <w:rPr>
                <w:noProof/>
                <w:webHidden/>
              </w:rPr>
              <w:fldChar w:fldCharType="end"/>
            </w:r>
          </w:hyperlink>
        </w:p>
        <w:p w14:paraId="42119B93" w14:textId="4E275DED" w:rsidR="00A849D7" w:rsidRDefault="005C1455">
          <w:pPr>
            <w:pStyle w:val="TOC1"/>
            <w:tabs>
              <w:tab w:val="right" w:leader="dot" w:pos="9016"/>
            </w:tabs>
            <w:rPr>
              <w:rFonts w:asciiTheme="minorHAnsi" w:eastAsiaTheme="minorEastAsia" w:hAnsiTheme="minorHAnsi"/>
              <w:noProof/>
              <w:color w:val="auto"/>
              <w:sz w:val="22"/>
              <w:lang w:eastAsia="en-IN"/>
            </w:rPr>
          </w:pPr>
          <w:hyperlink w:anchor="_Toc102433500" w:history="1">
            <w:r w:rsidR="00A849D7" w:rsidRPr="005B4061">
              <w:rPr>
                <w:rStyle w:val="Hyperlink"/>
                <w:noProof/>
              </w:rPr>
              <w:t>Reference</w:t>
            </w:r>
            <w:r w:rsidR="00A849D7">
              <w:rPr>
                <w:noProof/>
                <w:webHidden/>
              </w:rPr>
              <w:tab/>
            </w:r>
            <w:r w:rsidR="00A849D7">
              <w:rPr>
                <w:noProof/>
                <w:webHidden/>
              </w:rPr>
              <w:fldChar w:fldCharType="begin"/>
            </w:r>
            <w:r w:rsidR="00A849D7">
              <w:rPr>
                <w:noProof/>
                <w:webHidden/>
              </w:rPr>
              <w:instrText xml:space="preserve"> PAGEREF _Toc102433500 \h </w:instrText>
            </w:r>
            <w:r w:rsidR="00A849D7">
              <w:rPr>
                <w:noProof/>
                <w:webHidden/>
              </w:rPr>
            </w:r>
            <w:r w:rsidR="00A849D7">
              <w:rPr>
                <w:noProof/>
                <w:webHidden/>
              </w:rPr>
              <w:fldChar w:fldCharType="separate"/>
            </w:r>
            <w:r w:rsidR="00A849D7">
              <w:rPr>
                <w:noProof/>
                <w:webHidden/>
              </w:rPr>
              <w:t>15</w:t>
            </w:r>
            <w:r w:rsidR="00A849D7">
              <w:rPr>
                <w:noProof/>
                <w:webHidden/>
              </w:rPr>
              <w:fldChar w:fldCharType="end"/>
            </w:r>
          </w:hyperlink>
        </w:p>
        <w:p w14:paraId="53751B8A" w14:textId="189A99E3" w:rsidR="004770F4" w:rsidRPr="008470E2" w:rsidRDefault="004770F4" w:rsidP="005630E6">
          <w:pPr>
            <w:spacing w:line="360" w:lineRule="auto"/>
            <w:rPr>
              <w:rFonts w:cs="Times New Roman"/>
              <w:szCs w:val="24"/>
            </w:rPr>
          </w:pPr>
          <w:r w:rsidRPr="008470E2">
            <w:rPr>
              <w:rFonts w:cs="Times New Roman"/>
              <w:b/>
              <w:bCs/>
              <w:noProof/>
              <w:szCs w:val="24"/>
            </w:rPr>
            <w:fldChar w:fldCharType="end"/>
          </w:r>
        </w:p>
      </w:sdtContent>
    </w:sdt>
    <w:p w14:paraId="4EAE662F" w14:textId="77777777" w:rsidR="004770F4" w:rsidRPr="008470E2" w:rsidRDefault="004770F4" w:rsidP="005630E6">
      <w:pPr>
        <w:spacing w:line="360" w:lineRule="auto"/>
        <w:jc w:val="center"/>
        <w:rPr>
          <w:rFonts w:cs="Times New Roman"/>
          <w:b/>
          <w:szCs w:val="24"/>
        </w:rPr>
      </w:pPr>
    </w:p>
    <w:p w14:paraId="1392E5E1" w14:textId="77777777" w:rsidR="008038B9" w:rsidRPr="008470E2" w:rsidRDefault="008038B9" w:rsidP="005630E6">
      <w:pPr>
        <w:spacing w:line="360" w:lineRule="auto"/>
        <w:jc w:val="center"/>
        <w:rPr>
          <w:rFonts w:cs="Times New Roman"/>
          <w:b/>
          <w:szCs w:val="24"/>
        </w:rPr>
      </w:pPr>
    </w:p>
    <w:p w14:paraId="0589A330" w14:textId="7C08F180" w:rsidR="008038B9" w:rsidRDefault="008038B9" w:rsidP="005630E6">
      <w:pPr>
        <w:spacing w:line="360" w:lineRule="auto"/>
        <w:jc w:val="center"/>
        <w:rPr>
          <w:rFonts w:cs="Times New Roman"/>
          <w:b/>
          <w:szCs w:val="24"/>
        </w:rPr>
      </w:pPr>
    </w:p>
    <w:p w14:paraId="7E25B195" w14:textId="071AAB86" w:rsidR="00A849D7" w:rsidRDefault="00A849D7" w:rsidP="005630E6">
      <w:pPr>
        <w:spacing w:line="360" w:lineRule="auto"/>
        <w:jc w:val="center"/>
        <w:rPr>
          <w:rFonts w:cs="Times New Roman"/>
          <w:b/>
          <w:szCs w:val="24"/>
        </w:rPr>
      </w:pPr>
    </w:p>
    <w:p w14:paraId="2EA53922" w14:textId="6983FCED" w:rsidR="008038B9" w:rsidRPr="008470E2" w:rsidRDefault="00D953EB" w:rsidP="005630E6">
      <w:pPr>
        <w:pStyle w:val="Heading1"/>
        <w:spacing w:line="360" w:lineRule="auto"/>
        <w:rPr>
          <w:rFonts w:cs="Times New Roman"/>
          <w:szCs w:val="24"/>
        </w:rPr>
      </w:pPr>
      <w:bookmarkStart w:id="1" w:name="_Toc102433483"/>
      <w:r w:rsidRPr="008470E2">
        <w:rPr>
          <w:rFonts w:cs="Times New Roman"/>
          <w:szCs w:val="24"/>
        </w:rPr>
        <w:lastRenderedPageBreak/>
        <w:t xml:space="preserve">1. </w:t>
      </w:r>
      <w:r w:rsidR="008038B9" w:rsidRPr="008470E2">
        <w:rPr>
          <w:rFonts w:cs="Times New Roman"/>
          <w:szCs w:val="24"/>
        </w:rPr>
        <w:t>Introduction</w:t>
      </w:r>
      <w:bookmarkEnd w:id="1"/>
    </w:p>
    <w:p w14:paraId="138D8A45" w14:textId="66C16677" w:rsidR="00D953EB" w:rsidRPr="008470E2" w:rsidRDefault="005123AA" w:rsidP="005630E6">
      <w:pPr>
        <w:spacing w:line="360" w:lineRule="auto"/>
        <w:rPr>
          <w:rFonts w:cs="Times New Roman"/>
          <w:szCs w:val="24"/>
        </w:rPr>
      </w:pPr>
      <w:r w:rsidRPr="008470E2">
        <w:rPr>
          <w:rFonts w:cs="Times New Roman"/>
          <w:szCs w:val="24"/>
        </w:rPr>
        <w:t>The report discusses the cultural difference issues and economic issues faced by Sainsbury</w:t>
      </w:r>
      <w:r w:rsidR="00D859F0" w:rsidRPr="008470E2">
        <w:rPr>
          <w:rFonts w:cs="Times New Roman"/>
          <w:szCs w:val="24"/>
        </w:rPr>
        <w:t xml:space="preserve"> </w:t>
      </w:r>
      <w:r w:rsidRPr="008470E2">
        <w:rPr>
          <w:rFonts w:cs="Times New Roman"/>
          <w:szCs w:val="24"/>
        </w:rPr>
        <w:t xml:space="preserve">while foraying into foreign </w:t>
      </w:r>
      <w:r w:rsidR="00EB4B2E">
        <w:rPr>
          <w:rFonts w:cs="Times New Roman"/>
          <w:szCs w:val="24"/>
        </w:rPr>
        <w:t>markets</w:t>
      </w:r>
      <w:r w:rsidRPr="008470E2">
        <w:rPr>
          <w:rFonts w:cs="Times New Roman"/>
          <w:szCs w:val="24"/>
        </w:rPr>
        <w:t xml:space="preserve"> of Indonesia from </w:t>
      </w:r>
      <w:r w:rsidR="00EB4B2E">
        <w:rPr>
          <w:rFonts w:cs="Times New Roman"/>
          <w:szCs w:val="24"/>
        </w:rPr>
        <w:t xml:space="preserve">the </w:t>
      </w:r>
      <w:r w:rsidRPr="008470E2">
        <w:rPr>
          <w:rFonts w:cs="Times New Roman"/>
          <w:szCs w:val="24"/>
        </w:rPr>
        <w:t>UK</w:t>
      </w:r>
      <w:r w:rsidR="00D953EB" w:rsidRPr="008470E2">
        <w:rPr>
          <w:rFonts w:cs="Times New Roman"/>
          <w:szCs w:val="24"/>
        </w:rPr>
        <w:t xml:space="preserve">. </w:t>
      </w:r>
    </w:p>
    <w:p w14:paraId="37FE4665" w14:textId="371E28F8" w:rsidR="00CC4F0A" w:rsidRPr="008470E2" w:rsidRDefault="00D953EB" w:rsidP="005630E6">
      <w:pPr>
        <w:pStyle w:val="Heading2"/>
        <w:spacing w:line="360" w:lineRule="auto"/>
        <w:rPr>
          <w:rFonts w:cs="Times New Roman"/>
          <w:szCs w:val="24"/>
        </w:rPr>
      </w:pPr>
      <w:r w:rsidRPr="008470E2">
        <w:rPr>
          <w:rFonts w:cs="Times New Roman"/>
          <w:szCs w:val="24"/>
        </w:rPr>
        <w:t xml:space="preserve"> </w:t>
      </w:r>
      <w:bookmarkStart w:id="2" w:name="_Toc102433484"/>
      <w:r w:rsidRPr="008470E2">
        <w:rPr>
          <w:rFonts w:cs="Times New Roman"/>
          <w:szCs w:val="24"/>
        </w:rPr>
        <w:t xml:space="preserve">1.1 </w:t>
      </w:r>
      <w:r w:rsidR="00E933EE" w:rsidRPr="008470E2">
        <w:rPr>
          <w:rFonts w:cs="Times New Roman"/>
          <w:szCs w:val="24"/>
        </w:rPr>
        <w:t>Indonesia</w:t>
      </w:r>
      <w:bookmarkEnd w:id="2"/>
    </w:p>
    <w:p w14:paraId="30DF558D" w14:textId="4E71E441" w:rsidR="00CC4F0A" w:rsidRPr="008470E2" w:rsidRDefault="005123AA" w:rsidP="005630E6">
      <w:pPr>
        <w:spacing w:line="360" w:lineRule="auto"/>
        <w:rPr>
          <w:rFonts w:cs="Times New Roman"/>
          <w:szCs w:val="24"/>
        </w:rPr>
      </w:pPr>
      <w:r w:rsidRPr="008470E2">
        <w:rPr>
          <w:rFonts w:cs="Times New Roman"/>
          <w:szCs w:val="24"/>
        </w:rPr>
        <w:t>Indonesia</w:t>
      </w:r>
      <w:r w:rsidR="00C00375" w:rsidRPr="008470E2">
        <w:rPr>
          <w:rFonts w:cs="Times New Roman"/>
          <w:szCs w:val="24"/>
        </w:rPr>
        <w:t xml:space="preserve"> is </w:t>
      </w:r>
      <w:r w:rsidRPr="008470E2">
        <w:rPr>
          <w:rFonts w:cs="Times New Roman"/>
          <w:szCs w:val="24"/>
        </w:rPr>
        <w:t xml:space="preserve">located in </w:t>
      </w:r>
      <w:r w:rsidR="00EB4B2E">
        <w:rPr>
          <w:rFonts w:cs="Times New Roman"/>
          <w:szCs w:val="24"/>
        </w:rPr>
        <w:t xml:space="preserve">the </w:t>
      </w:r>
      <w:r w:rsidR="00C00375" w:rsidRPr="008470E2">
        <w:rPr>
          <w:rFonts w:cs="Times New Roman"/>
          <w:szCs w:val="24"/>
        </w:rPr>
        <w:t xml:space="preserve">Southeast </w:t>
      </w:r>
      <w:r w:rsidRPr="008470E2">
        <w:rPr>
          <w:rFonts w:cs="Times New Roman"/>
          <w:szCs w:val="24"/>
        </w:rPr>
        <w:t>part of Asia.</w:t>
      </w:r>
      <w:r w:rsidR="00C00375" w:rsidRPr="008470E2">
        <w:rPr>
          <w:rFonts w:cs="Times New Roman"/>
          <w:szCs w:val="24"/>
        </w:rPr>
        <w:t xml:space="preserve"> </w:t>
      </w:r>
      <w:r w:rsidRPr="008470E2">
        <w:rPr>
          <w:rFonts w:cs="Times New Roman"/>
          <w:szCs w:val="24"/>
        </w:rPr>
        <w:t>A</w:t>
      </w:r>
      <w:r w:rsidR="009710A7" w:rsidRPr="008470E2">
        <w:rPr>
          <w:rFonts w:cs="Times New Roman"/>
          <w:szCs w:val="24"/>
        </w:rPr>
        <w:t xml:space="preserve">ccording to </w:t>
      </w:r>
      <w:r w:rsidRPr="008470E2">
        <w:rPr>
          <w:rFonts w:cs="Times New Roman"/>
          <w:szCs w:val="24"/>
        </w:rPr>
        <w:t xml:space="preserve">data published by </w:t>
      </w:r>
      <w:r w:rsidR="00EB4B2E">
        <w:rPr>
          <w:rFonts w:cs="Times New Roman"/>
          <w:szCs w:val="24"/>
        </w:rPr>
        <w:t xml:space="preserve">the </w:t>
      </w:r>
      <w:r w:rsidR="009710A7" w:rsidRPr="008470E2">
        <w:rPr>
          <w:rFonts w:cs="Times New Roman"/>
          <w:szCs w:val="24"/>
        </w:rPr>
        <w:t>world-</w:t>
      </w:r>
      <w:r w:rsidR="00C00375" w:rsidRPr="008470E2">
        <w:rPr>
          <w:rFonts w:cs="Times New Roman"/>
          <w:szCs w:val="24"/>
        </w:rPr>
        <w:t xml:space="preserve">bank </w:t>
      </w:r>
      <w:r w:rsidRPr="008470E2">
        <w:rPr>
          <w:rFonts w:cs="Times New Roman"/>
          <w:szCs w:val="24"/>
        </w:rPr>
        <w:t xml:space="preserve">population of Indonesia </w:t>
      </w:r>
      <w:r w:rsidR="00C00375" w:rsidRPr="008470E2">
        <w:rPr>
          <w:rFonts w:cs="Times New Roman"/>
          <w:szCs w:val="24"/>
        </w:rPr>
        <w:t xml:space="preserve">is </w:t>
      </w:r>
      <w:r w:rsidRPr="008470E2">
        <w:rPr>
          <w:rFonts w:cs="Times New Roman"/>
          <w:szCs w:val="24"/>
        </w:rPr>
        <w:t>273,523,621</w:t>
      </w:r>
      <w:r w:rsidR="00806DCD" w:rsidRPr="008470E2">
        <w:rPr>
          <w:rFonts w:cs="Times New Roman"/>
          <w:szCs w:val="24"/>
        </w:rPr>
        <w:t xml:space="preserve"> (World Bank Population </w:t>
      </w:r>
      <w:r w:rsidR="00FF6889" w:rsidRPr="008470E2">
        <w:rPr>
          <w:rFonts w:cs="Times New Roman"/>
          <w:szCs w:val="24"/>
        </w:rPr>
        <w:t>Indonesia</w:t>
      </w:r>
      <w:r w:rsidR="00806DCD" w:rsidRPr="008470E2">
        <w:rPr>
          <w:rFonts w:cs="Times New Roman"/>
          <w:szCs w:val="24"/>
        </w:rPr>
        <w:t>, 2022)</w:t>
      </w:r>
      <w:r w:rsidR="00C00375" w:rsidRPr="008470E2">
        <w:rPr>
          <w:rFonts w:cs="Times New Roman"/>
          <w:szCs w:val="24"/>
        </w:rPr>
        <w:t xml:space="preserve">. </w:t>
      </w:r>
      <w:r w:rsidR="005F383B" w:rsidRPr="008470E2">
        <w:rPr>
          <w:rFonts w:cs="Times New Roman"/>
          <w:szCs w:val="24"/>
        </w:rPr>
        <w:t>The current GDP of Indonesia stands at $1.03 trillion in 2020</w:t>
      </w:r>
      <w:r w:rsidR="00FF6889" w:rsidRPr="008470E2">
        <w:rPr>
          <w:rFonts w:cs="Times New Roman"/>
          <w:szCs w:val="24"/>
        </w:rPr>
        <w:t xml:space="preserve"> (Worldbank GDP Indonesia, 2022)</w:t>
      </w:r>
      <w:r w:rsidR="005F383B" w:rsidRPr="008470E2">
        <w:rPr>
          <w:rFonts w:cs="Times New Roman"/>
          <w:szCs w:val="24"/>
        </w:rPr>
        <w:t xml:space="preserve">. Indonesia’s GDP growth rate took a sharp hit during the covid pandemic when its growth </w:t>
      </w:r>
      <w:r w:rsidR="00EB4B2E">
        <w:rPr>
          <w:rFonts w:cs="Times New Roman"/>
          <w:szCs w:val="24"/>
        </w:rPr>
        <w:t>declined</w:t>
      </w:r>
      <w:r w:rsidR="005F383B" w:rsidRPr="008470E2">
        <w:rPr>
          <w:rFonts w:cs="Times New Roman"/>
          <w:szCs w:val="24"/>
        </w:rPr>
        <w:t xml:space="preserve"> by 2.1% in 2020, the sharpest decline in more than 2 decades</w:t>
      </w:r>
      <w:r w:rsidR="00FF6889" w:rsidRPr="008470E2">
        <w:rPr>
          <w:rFonts w:cs="Times New Roman"/>
          <w:szCs w:val="24"/>
        </w:rPr>
        <w:t xml:space="preserve"> (Worldbank GDP growth rate Indonesia. 2022)</w:t>
      </w:r>
      <w:r w:rsidR="005F383B" w:rsidRPr="008470E2">
        <w:rPr>
          <w:rFonts w:cs="Times New Roman"/>
          <w:szCs w:val="24"/>
        </w:rPr>
        <w:t>.</w:t>
      </w:r>
      <w:r w:rsidR="009710A7" w:rsidRPr="008470E2">
        <w:rPr>
          <w:rFonts w:cs="Times New Roman"/>
          <w:szCs w:val="24"/>
        </w:rPr>
        <w:t xml:space="preserve"> </w:t>
      </w:r>
      <w:r w:rsidR="005F383B" w:rsidRPr="008470E2">
        <w:rPr>
          <w:rFonts w:cs="Times New Roman"/>
          <w:szCs w:val="24"/>
        </w:rPr>
        <w:t>According to World Bank, Indonesia is currently at 73</w:t>
      </w:r>
      <w:r w:rsidR="005F383B" w:rsidRPr="008470E2">
        <w:rPr>
          <w:rFonts w:cs="Times New Roman"/>
          <w:szCs w:val="24"/>
          <w:vertAlign w:val="superscript"/>
        </w:rPr>
        <w:t>rd</w:t>
      </w:r>
      <w:r w:rsidR="005F383B" w:rsidRPr="008470E2">
        <w:rPr>
          <w:rFonts w:cs="Times New Roman"/>
          <w:szCs w:val="24"/>
        </w:rPr>
        <w:t xml:space="preserve"> position business ranking wise worldwide</w:t>
      </w:r>
      <w:r w:rsidR="00FF6889" w:rsidRPr="008470E2">
        <w:rPr>
          <w:rFonts w:cs="Times New Roman"/>
          <w:szCs w:val="24"/>
        </w:rPr>
        <w:t xml:space="preserve"> (Worldbank Doing Business, 2022)</w:t>
      </w:r>
      <w:r w:rsidR="009710A7" w:rsidRPr="008470E2">
        <w:rPr>
          <w:rFonts w:cs="Times New Roman"/>
          <w:szCs w:val="24"/>
        </w:rPr>
        <w:t xml:space="preserve">. </w:t>
      </w:r>
      <w:r w:rsidR="005F383B" w:rsidRPr="008470E2">
        <w:rPr>
          <w:rFonts w:cs="Times New Roman"/>
          <w:szCs w:val="24"/>
        </w:rPr>
        <w:t xml:space="preserve">Indonesia has a presidential system of governance structure, where </w:t>
      </w:r>
      <w:r w:rsidR="00EB4B2E">
        <w:rPr>
          <w:rFonts w:cs="Times New Roman"/>
          <w:szCs w:val="24"/>
        </w:rPr>
        <w:t xml:space="preserve">the </w:t>
      </w:r>
      <w:r w:rsidR="005F383B" w:rsidRPr="008470E2">
        <w:rPr>
          <w:rFonts w:cs="Times New Roman"/>
          <w:szCs w:val="24"/>
        </w:rPr>
        <w:t>president is head of both the state and government. The main spoken languages are Javanese (32 %), Sundanese (15 %) and Malay (4 %)</w:t>
      </w:r>
      <w:r w:rsidR="00FF6889" w:rsidRPr="008470E2">
        <w:rPr>
          <w:rFonts w:cs="Times New Roman"/>
          <w:szCs w:val="24"/>
        </w:rPr>
        <w:t xml:space="preserve"> (Europarl, 2022)</w:t>
      </w:r>
      <w:r w:rsidR="005F383B" w:rsidRPr="008470E2">
        <w:rPr>
          <w:rFonts w:cs="Times New Roman"/>
          <w:szCs w:val="24"/>
        </w:rPr>
        <w:t>.</w:t>
      </w:r>
    </w:p>
    <w:p w14:paraId="02E1D94B" w14:textId="77777777" w:rsidR="009710A7" w:rsidRPr="008470E2" w:rsidRDefault="009710A7" w:rsidP="005630E6">
      <w:pPr>
        <w:spacing w:line="360" w:lineRule="auto"/>
        <w:rPr>
          <w:rFonts w:cs="Times New Roman"/>
          <w:szCs w:val="24"/>
        </w:rPr>
      </w:pPr>
    </w:p>
    <w:p w14:paraId="2D59C845" w14:textId="66D1FCA3" w:rsidR="009710A7" w:rsidRPr="008470E2" w:rsidRDefault="00D953EB" w:rsidP="005630E6">
      <w:pPr>
        <w:pStyle w:val="Heading2"/>
        <w:spacing w:line="360" w:lineRule="auto"/>
        <w:rPr>
          <w:rFonts w:cs="Times New Roman"/>
          <w:szCs w:val="24"/>
        </w:rPr>
      </w:pPr>
      <w:bookmarkStart w:id="3" w:name="_Toc102433485"/>
      <w:r w:rsidRPr="008470E2">
        <w:rPr>
          <w:rFonts w:cs="Times New Roman"/>
          <w:szCs w:val="24"/>
        </w:rPr>
        <w:t xml:space="preserve">1.2 </w:t>
      </w:r>
      <w:r w:rsidR="00E933EE" w:rsidRPr="008470E2">
        <w:rPr>
          <w:rFonts w:cs="Times New Roman"/>
          <w:szCs w:val="24"/>
        </w:rPr>
        <w:t>Sainsbury</w:t>
      </w:r>
      <w:bookmarkEnd w:id="3"/>
    </w:p>
    <w:p w14:paraId="6864D77B" w14:textId="52AA1A9D" w:rsidR="00FC29F2" w:rsidRPr="008470E2" w:rsidRDefault="009C7BBC" w:rsidP="005630E6">
      <w:pPr>
        <w:spacing w:line="360" w:lineRule="auto"/>
        <w:rPr>
          <w:rFonts w:cs="Times New Roman"/>
          <w:szCs w:val="24"/>
        </w:rPr>
      </w:pPr>
      <w:r w:rsidRPr="008470E2">
        <w:rPr>
          <w:rFonts w:cs="Times New Roman"/>
          <w:szCs w:val="24"/>
        </w:rPr>
        <w:t>Sainsbury</w:t>
      </w:r>
      <w:r w:rsidR="00FC29F2" w:rsidRPr="008470E2">
        <w:rPr>
          <w:rFonts w:cs="Times New Roman"/>
          <w:szCs w:val="24"/>
        </w:rPr>
        <w:t xml:space="preserve"> is a British </w:t>
      </w:r>
      <w:r w:rsidRPr="008470E2">
        <w:rPr>
          <w:rFonts w:cs="Times New Roman"/>
          <w:szCs w:val="24"/>
        </w:rPr>
        <w:t>company</w:t>
      </w:r>
      <w:r w:rsidR="00FC29F2" w:rsidRPr="008470E2">
        <w:rPr>
          <w:rFonts w:cs="Times New Roman"/>
          <w:szCs w:val="24"/>
        </w:rPr>
        <w:t xml:space="preserve"> </w:t>
      </w:r>
      <w:r w:rsidRPr="008470E2">
        <w:rPr>
          <w:rFonts w:cs="Times New Roman"/>
          <w:szCs w:val="24"/>
        </w:rPr>
        <w:t>located</w:t>
      </w:r>
      <w:r w:rsidR="00FC29F2" w:rsidRPr="008470E2">
        <w:rPr>
          <w:rFonts w:cs="Times New Roman"/>
          <w:szCs w:val="24"/>
        </w:rPr>
        <w:t xml:space="preserve"> in </w:t>
      </w:r>
      <w:r w:rsidR="00D859F0" w:rsidRPr="008470E2">
        <w:rPr>
          <w:rFonts w:cs="Times New Roman"/>
          <w:szCs w:val="24"/>
        </w:rPr>
        <w:t xml:space="preserve">the </w:t>
      </w:r>
      <w:r w:rsidR="00FC29F2" w:rsidRPr="008470E2">
        <w:rPr>
          <w:rFonts w:cs="Times New Roman"/>
          <w:szCs w:val="24"/>
        </w:rPr>
        <w:t xml:space="preserve">UK. </w:t>
      </w:r>
      <w:r w:rsidRPr="008470E2">
        <w:rPr>
          <w:rFonts w:cs="Times New Roman"/>
          <w:szCs w:val="24"/>
        </w:rPr>
        <w:t xml:space="preserve">Sainsbury has popular brands such as Argo, Habitat, Tu, </w:t>
      </w:r>
      <w:r w:rsidR="00EB4B2E">
        <w:rPr>
          <w:rFonts w:cs="Times New Roman"/>
          <w:szCs w:val="24"/>
        </w:rPr>
        <w:t xml:space="preserve">and </w:t>
      </w:r>
      <w:r w:rsidRPr="008470E2">
        <w:rPr>
          <w:rFonts w:cs="Times New Roman"/>
          <w:szCs w:val="24"/>
        </w:rPr>
        <w:t xml:space="preserve">Nectar distributed through 600 supermarkets and 800 convenience stores in Europe supported by strong 189000 employees. </w:t>
      </w:r>
      <w:r w:rsidR="00FC29F2" w:rsidRPr="008470E2">
        <w:rPr>
          <w:rFonts w:cs="Times New Roman"/>
          <w:szCs w:val="24"/>
        </w:rPr>
        <w:t xml:space="preserve"> </w:t>
      </w:r>
      <w:r w:rsidR="00EB4B2E">
        <w:rPr>
          <w:rFonts w:cs="Times New Roman"/>
          <w:szCs w:val="24"/>
        </w:rPr>
        <w:t>Sainsbury’s</w:t>
      </w:r>
      <w:r w:rsidRPr="008470E2">
        <w:rPr>
          <w:rFonts w:cs="Times New Roman"/>
          <w:szCs w:val="24"/>
        </w:rPr>
        <w:t xml:space="preserve"> prime target is </w:t>
      </w:r>
      <w:r w:rsidR="00EB4B2E">
        <w:rPr>
          <w:rFonts w:cs="Times New Roman"/>
          <w:szCs w:val="24"/>
        </w:rPr>
        <w:t xml:space="preserve">to </w:t>
      </w:r>
      <w:r w:rsidRPr="008470E2">
        <w:rPr>
          <w:rFonts w:cs="Times New Roman"/>
          <w:szCs w:val="24"/>
        </w:rPr>
        <w:t xml:space="preserve">position itself in the </w:t>
      </w:r>
      <w:r w:rsidR="00EB4B2E">
        <w:rPr>
          <w:rFonts w:cs="Times New Roman"/>
          <w:szCs w:val="24"/>
        </w:rPr>
        <w:t>low-cost</w:t>
      </w:r>
      <w:r w:rsidRPr="008470E2">
        <w:rPr>
          <w:rFonts w:cs="Times New Roman"/>
          <w:szCs w:val="24"/>
        </w:rPr>
        <w:t xml:space="preserve"> segment of </w:t>
      </w:r>
      <w:r w:rsidR="00EB4B2E">
        <w:rPr>
          <w:rFonts w:cs="Times New Roman"/>
          <w:szCs w:val="24"/>
        </w:rPr>
        <w:t xml:space="preserve">the </w:t>
      </w:r>
      <w:r w:rsidRPr="008470E2">
        <w:rPr>
          <w:rFonts w:cs="Times New Roman"/>
          <w:szCs w:val="24"/>
        </w:rPr>
        <w:t>retailer market in Indonesia</w:t>
      </w:r>
      <w:r w:rsidR="00FF6889" w:rsidRPr="008470E2">
        <w:rPr>
          <w:rFonts w:cs="Times New Roman"/>
          <w:szCs w:val="24"/>
        </w:rPr>
        <w:t xml:space="preserve"> (About Sainsburys, 2022)</w:t>
      </w:r>
      <w:r w:rsidRPr="008470E2">
        <w:rPr>
          <w:rFonts w:cs="Times New Roman"/>
          <w:szCs w:val="24"/>
        </w:rPr>
        <w:t>.</w:t>
      </w:r>
    </w:p>
    <w:p w14:paraId="7FAB8769" w14:textId="77777777" w:rsidR="00D953EB" w:rsidRPr="008470E2" w:rsidRDefault="00D953EB" w:rsidP="005630E6">
      <w:pPr>
        <w:spacing w:line="360" w:lineRule="auto"/>
        <w:rPr>
          <w:rFonts w:cs="Times New Roman"/>
          <w:szCs w:val="24"/>
        </w:rPr>
      </w:pPr>
    </w:p>
    <w:p w14:paraId="7276BF67" w14:textId="2772FD26" w:rsidR="00D953EB" w:rsidRPr="008470E2" w:rsidRDefault="00005406" w:rsidP="005630E6">
      <w:pPr>
        <w:pStyle w:val="Heading1"/>
        <w:spacing w:line="360" w:lineRule="auto"/>
        <w:rPr>
          <w:rFonts w:cs="Times New Roman"/>
          <w:szCs w:val="24"/>
        </w:rPr>
      </w:pPr>
      <w:bookmarkStart w:id="4" w:name="_Toc102433486"/>
      <w:r w:rsidRPr="008470E2">
        <w:rPr>
          <w:rFonts w:cs="Times New Roman"/>
          <w:szCs w:val="24"/>
        </w:rPr>
        <w:t xml:space="preserve">2. </w:t>
      </w:r>
      <w:r w:rsidR="00D953EB" w:rsidRPr="008470E2">
        <w:rPr>
          <w:rFonts w:cs="Times New Roman"/>
          <w:szCs w:val="24"/>
        </w:rPr>
        <w:t>Analysis and Discussion</w:t>
      </w:r>
      <w:bookmarkEnd w:id="4"/>
    </w:p>
    <w:p w14:paraId="2F642FCE" w14:textId="318AB9B2" w:rsidR="00F56EB9" w:rsidRPr="008470E2" w:rsidRDefault="00F56EB9" w:rsidP="005630E6">
      <w:pPr>
        <w:spacing w:line="360" w:lineRule="auto"/>
        <w:rPr>
          <w:rFonts w:cs="Times New Roman"/>
          <w:szCs w:val="24"/>
        </w:rPr>
      </w:pPr>
    </w:p>
    <w:p w14:paraId="5099C0C9" w14:textId="07DEE9AF" w:rsidR="00D11E1E" w:rsidRPr="008470E2" w:rsidRDefault="00F56EB9" w:rsidP="005630E6">
      <w:pPr>
        <w:pStyle w:val="Heading2"/>
        <w:spacing w:line="360" w:lineRule="auto"/>
        <w:rPr>
          <w:rFonts w:cs="Times New Roman"/>
          <w:szCs w:val="24"/>
        </w:rPr>
      </w:pPr>
      <w:bookmarkStart w:id="5" w:name="_Toc102433487"/>
      <w:r w:rsidRPr="008470E2">
        <w:rPr>
          <w:rFonts w:cs="Times New Roman"/>
          <w:szCs w:val="24"/>
        </w:rPr>
        <w:t>2.1: Culture</w:t>
      </w:r>
      <w:bookmarkEnd w:id="5"/>
    </w:p>
    <w:p w14:paraId="3585CE4A" w14:textId="6F23AF6E" w:rsidR="00D11E1E" w:rsidRPr="008470E2" w:rsidRDefault="00D11E1E" w:rsidP="005630E6">
      <w:pPr>
        <w:pStyle w:val="Heading3"/>
        <w:spacing w:line="360" w:lineRule="auto"/>
        <w:rPr>
          <w:rFonts w:cs="Times New Roman"/>
        </w:rPr>
      </w:pPr>
      <w:bookmarkStart w:id="6" w:name="_Toc102433488"/>
      <w:r w:rsidRPr="008470E2">
        <w:rPr>
          <w:rFonts w:cs="Times New Roman"/>
        </w:rPr>
        <w:t>2</w:t>
      </w:r>
      <w:r w:rsidR="00F7362A" w:rsidRPr="008470E2">
        <w:rPr>
          <w:rFonts w:cs="Times New Roman"/>
        </w:rPr>
        <w:t xml:space="preserve">.1.1 </w:t>
      </w:r>
      <w:r w:rsidRPr="008470E2">
        <w:rPr>
          <w:rFonts w:cs="Times New Roman"/>
        </w:rPr>
        <w:t>Globalisation and culture</w:t>
      </w:r>
      <w:bookmarkEnd w:id="6"/>
    </w:p>
    <w:p w14:paraId="470E0DD0" w14:textId="3BAA2627" w:rsidR="009C7BBC" w:rsidRPr="008470E2" w:rsidRDefault="00503DDB" w:rsidP="005630E6">
      <w:pPr>
        <w:spacing w:line="360" w:lineRule="auto"/>
        <w:rPr>
          <w:rFonts w:cs="Times New Roman"/>
          <w:szCs w:val="24"/>
        </w:rPr>
      </w:pPr>
      <w:r w:rsidRPr="008470E2">
        <w:rPr>
          <w:rFonts w:cs="Times New Roman"/>
          <w:szCs w:val="24"/>
        </w:rPr>
        <w:t xml:space="preserve">The rapid technological development and trade liberalization has led to </w:t>
      </w:r>
      <w:r w:rsidR="00EB4B2E">
        <w:rPr>
          <w:rFonts w:cs="Times New Roman"/>
          <w:szCs w:val="24"/>
        </w:rPr>
        <w:t xml:space="preserve">the </w:t>
      </w:r>
      <w:r w:rsidRPr="008470E2">
        <w:rPr>
          <w:rFonts w:cs="Times New Roman"/>
          <w:szCs w:val="24"/>
        </w:rPr>
        <w:t xml:space="preserve">intermingling of economies and culture. While the west advanced far superiorly through </w:t>
      </w:r>
      <w:r w:rsidR="00EB4B2E">
        <w:rPr>
          <w:rFonts w:cs="Times New Roman"/>
          <w:szCs w:val="24"/>
        </w:rPr>
        <w:t xml:space="preserve">the </w:t>
      </w:r>
      <w:r w:rsidRPr="008470E2">
        <w:rPr>
          <w:rFonts w:cs="Times New Roman"/>
          <w:szCs w:val="24"/>
        </w:rPr>
        <w:t xml:space="preserve">trade and technology revolution, the east took time to catch up. The interaction between east and west brought forward various aspects of cultural </w:t>
      </w:r>
      <w:r w:rsidR="00EB4B2E">
        <w:rPr>
          <w:rFonts w:cs="Times New Roman"/>
          <w:szCs w:val="24"/>
        </w:rPr>
        <w:t>differences</w:t>
      </w:r>
      <w:r w:rsidRPr="008470E2">
        <w:rPr>
          <w:rFonts w:cs="Times New Roman"/>
          <w:szCs w:val="24"/>
        </w:rPr>
        <w:t xml:space="preserve"> previously unknown and made business organisations rethink their operational strategy in </w:t>
      </w:r>
      <w:r w:rsidR="00EB4B2E">
        <w:rPr>
          <w:rFonts w:cs="Times New Roman"/>
          <w:szCs w:val="24"/>
        </w:rPr>
        <w:t xml:space="preserve">the </w:t>
      </w:r>
      <w:r w:rsidRPr="008470E2">
        <w:rPr>
          <w:rFonts w:cs="Times New Roman"/>
          <w:szCs w:val="24"/>
        </w:rPr>
        <w:t>foreign market.</w:t>
      </w:r>
    </w:p>
    <w:p w14:paraId="2546CF06" w14:textId="3F1DF279" w:rsidR="00503DDB" w:rsidRPr="008470E2" w:rsidRDefault="00503DDB" w:rsidP="005630E6">
      <w:pPr>
        <w:spacing w:line="360" w:lineRule="auto"/>
        <w:rPr>
          <w:rFonts w:cs="Times New Roman"/>
          <w:szCs w:val="24"/>
        </w:rPr>
      </w:pPr>
    </w:p>
    <w:p w14:paraId="7AEBD11D" w14:textId="1B144E30" w:rsidR="00A97A5D" w:rsidRPr="008470E2" w:rsidRDefault="00A97A5D" w:rsidP="005630E6">
      <w:pPr>
        <w:spacing w:line="360" w:lineRule="auto"/>
        <w:rPr>
          <w:rFonts w:cs="Times New Roman"/>
          <w:szCs w:val="24"/>
        </w:rPr>
      </w:pPr>
      <w:r w:rsidRPr="008470E2">
        <w:rPr>
          <w:rFonts w:cs="Times New Roman"/>
          <w:szCs w:val="24"/>
        </w:rPr>
        <w:t xml:space="preserve">Starting from </w:t>
      </w:r>
      <w:r w:rsidR="00EB4B2E">
        <w:rPr>
          <w:rFonts w:cs="Times New Roman"/>
          <w:szCs w:val="24"/>
        </w:rPr>
        <w:t xml:space="preserve">the </w:t>
      </w:r>
      <w:r w:rsidRPr="008470E2">
        <w:rPr>
          <w:rFonts w:cs="Times New Roman"/>
          <w:szCs w:val="24"/>
        </w:rPr>
        <w:t xml:space="preserve">year 1960 to 1980, </w:t>
      </w:r>
      <w:r w:rsidR="00EB4B2E">
        <w:rPr>
          <w:rFonts w:cs="Times New Roman"/>
          <w:szCs w:val="24"/>
        </w:rPr>
        <w:t>these</w:t>
      </w:r>
      <w:r w:rsidRPr="008470E2">
        <w:rPr>
          <w:rFonts w:cs="Times New Roman"/>
          <w:szCs w:val="24"/>
        </w:rPr>
        <w:t xml:space="preserve"> two decades saw substantial trade liberalization in Indonesia which helped the nation first benefits from the worldwide flows of investment, exchange of knowledge and accelerated economic growth. </w:t>
      </w:r>
      <w:r w:rsidR="00EB4B2E">
        <w:rPr>
          <w:rFonts w:cs="Times New Roman"/>
          <w:szCs w:val="24"/>
        </w:rPr>
        <w:t>Indonesia’s</w:t>
      </w:r>
      <w:r w:rsidRPr="008470E2">
        <w:rPr>
          <w:rFonts w:cs="Times New Roman"/>
          <w:szCs w:val="24"/>
        </w:rPr>
        <w:t xml:space="preserve"> economy grew by almost 7.5% annually </w:t>
      </w:r>
      <w:r w:rsidR="00EB4B2E">
        <w:rPr>
          <w:rFonts w:cs="Times New Roman"/>
          <w:szCs w:val="24"/>
        </w:rPr>
        <w:t>from</w:t>
      </w:r>
      <w:r w:rsidRPr="008470E2">
        <w:rPr>
          <w:rFonts w:cs="Times New Roman"/>
          <w:szCs w:val="24"/>
        </w:rPr>
        <w:t xml:space="preserve"> 197</w:t>
      </w:r>
      <w:r w:rsidR="00EB4B2E">
        <w:rPr>
          <w:rFonts w:cs="Times New Roman"/>
          <w:szCs w:val="24"/>
        </w:rPr>
        <w:t xml:space="preserve">5 to </w:t>
      </w:r>
      <w:r w:rsidRPr="008470E2">
        <w:rPr>
          <w:rFonts w:cs="Times New Roman"/>
          <w:szCs w:val="24"/>
        </w:rPr>
        <w:t xml:space="preserve">1980. The next five years growth slowed down to 3.7% annually. </w:t>
      </w:r>
      <w:r w:rsidR="00EB4B2E">
        <w:rPr>
          <w:rFonts w:cs="Times New Roman"/>
          <w:szCs w:val="24"/>
        </w:rPr>
        <w:t>To</w:t>
      </w:r>
      <w:r w:rsidRPr="008470E2">
        <w:rPr>
          <w:rFonts w:cs="Times New Roman"/>
          <w:szCs w:val="24"/>
        </w:rPr>
        <w:t xml:space="preserve"> keep the economic growth rate stable and on an increasing trend, the country changed its trade regime to become more </w:t>
      </w:r>
      <w:r w:rsidR="00EB4B2E">
        <w:rPr>
          <w:rFonts w:cs="Times New Roman"/>
          <w:szCs w:val="24"/>
        </w:rPr>
        <w:t>outward-facing</w:t>
      </w:r>
      <w:r w:rsidRPr="008470E2">
        <w:rPr>
          <w:rFonts w:cs="Times New Roman"/>
          <w:szCs w:val="24"/>
        </w:rPr>
        <w:t xml:space="preserve"> than before. This led to </w:t>
      </w:r>
      <w:r w:rsidR="00EB4B2E">
        <w:rPr>
          <w:rFonts w:cs="Times New Roman"/>
          <w:szCs w:val="24"/>
        </w:rPr>
        <w:t xml:space="preserve">the </w:t>
      </w:r>
      <w:r w:rsidRPr="008470E2">
        <w:rPr>
          <w:rFonts w:cs="Times New Roman"/>
          <w:szCs w:val="24"/>
        </w:rPr>
        <w:t>increased integration of Indonesia into the global economy. Trade liberalization was quickly followed by industrialization</w:t>
      </w:r>
      <w:r w:rsidR="00FF6889" w:rsidRPr="008470E2">
        <w:rPr>
          <w:rFonts w:cs="Times New Roman"/>
          <w:szCs w:val="24"/>
        </w:rPr>
        <w:t xml:space="preserve"> (Budi Waluyo, 2022)</w:t>
      </w:r>
      <w:r w:rsidRPr="008470E2">
        <w:rPr>
          <w:rFonts w:cs="Times New Roman"/>
          <w:szCs w:val="24"/>
        </w:rPr>
        <w:t xml:space="preserve">. The integration of Indonesia into the global economy </w:t>
      </w:r>
      <w:r w:rsidR="00D06E70" w:rsidRPr="008470E2">
        <w:rPr>
          <w:rFonts w:cs="Times New Roman"/>
          <w:szCs w:val="24"/>
        </w:rPr>
        <w:t xml:space="preserve">made a knee jerk effect </w:t>
      </w:r>
      <w:r w:rsidR="00EB4B2E">
        <w:rPr>
          <w:rFonts w:cs="Times New Roman"/>
          <w:szCs w:val="24"/>
        </w:rPr>
        <w:t>on</w:t>
      </w:r>
      <w:r w:rsidR="00D06E70" w:rsidRPr="008470E2">
        <w:rPr>
          <w:rFonts w:cs="Times New Roman"/>
          <w:szCs w:val="24"/>
        </w:rPr>
        <w:t xml:space="preserve"> both Indonesians and foreign business houses trading with Indonesia, primarily driven by cultural and customary differences. Despite the initial cultural shock brought by the integration, Indonesia adapted quickly to align its business environment with the global economy.</w:t>
      </w:r>
    </w:p>
    <w:p w14:paraId="363DAD0D" w14:textId="5AC1161D" w:rsidR="00D06E70" w:rsidRPr="008470E2" w:rsidRDefault="00D06E70" w:rsidP="005630E6">
      <w:pPr>
        <w:spacing w:line="360" w:lineRule="auto"/>
        <w:rPr>
          <w:rFonts w:cs="Times New Roman"/>
          <w:szCs w:val="24"/>
        </w:rPr>
      </w:pPr>
      <w:r w:rsidRPr="008470E2">
        <w:rPr>
          <w:rFonts w:cs="Times New Roman"/>
          <w:szCs w:val="24"/>
        </w:rPr>
        <w:t>Sainsbury</w:t>
      </w:r>
      <w:r w:rsidR="00FF6889" w:rsidRPr="008470E2">
        <w:rPr>
          <w:rFonts w:cs="Times New Roman"/>
          <w:szCs w:val="24"/>
        </w:rPr>
        <w:t xml:space="preserve"> has operated only in Hong Kong</w:t>
      </w:r>
      <w:r w:rsidRPr="008470E2">
        <w:rPr>
          <w:rFonts w:cs="Times New Roman"/>
          <w:szCs w:val="24"/>
        </w:rPr>
        <w:t xml:space="preserve">, China, Bangladesh and India. </w:t>
      </w:r>
      <w:r w:rsidR="004F1548" w:rsidRPr="008470E2">
        <w:rPr>
          <w:rFonts w:cs="Times New Roman"/>
          <w:szCs w:val="24"/>
        </w:rPr>
        <w:t>T</w:t>
      </w:r>
      <w:r w:rsidRPr="008470E2">
        <w:rPr>
          <w:rFonts w:cs="Times New Roman"/>
          <w:szCs w:val="24"/>
        </w:rPr>
        <w:t xml:space="preserve">here </w:t>
      </w:r>
      <w:r w:rsidR="00EB4B2E">
        <w:rPr>
          <w:rFonts w:cs="Times New Roman"/>
          <w:szCs w:val="24"/>
        </w:rPr>
        <w:t xml:space="preserve">are </w:t>
      </w:r>
      <w:r w:rsidRPr="008470E2">
        <w:rPr>
          <w:rFonts w:cs="Times New Roman"/>
          <w:szCs w:val="24"/>
        </w:rPr>
        <w:t>few cultural similarities between these coun</w:t>
      </w:r>
      <w:r w:rsidR="000174F9" w:rsidRPr="008470E2">
        <w:rPr>
          <w:rFonts w:cs="Times New Roman"/>
          <w:szCs w:val="24"/>
        </w:rPr>
        <w:t xml:space="preserve">tries but </w:t>
      </w:r>
      <w:r w:rsidR="00EB4B2E">
        <w:rPr>
          <w:rFonts w:cs="Times New Roman"/>
          <w:szCs w:val="24"/>
        </w:rPr>
        <w:t xml:space="preserve">the </w:t>
      </w:r>
      <w:r w:rsidR="000174F9" w:rsidRPr="008470E2">
        <w:rPr>
          <w:rFonts w:cs="Times New Roman"/>
          <w:szCs w:val="24"/>
        </w:rPr>
        <w:t xml:space="preserve">approach to </w:t>
      </w:r>
      <w:r w:rsidR="00EB4B2E">
        <w:rPr>
          <w:rFonts w:cs="Times New Roman"/>
          <w:szCs w:val="24"/>
        </w:rPr>
        <w:t>entering</w:t>
      </w:r>
      <w:r w:rsidR="000174F9" w:rsidRPr="008470E2">
        <w:rPr>
          <w:rFonts w:cs="Times New Roman"/>
          <w:szCs w:val="24"/>
        </w:rPr>
        <w:t xml:space="preserve"> </w:t>
      </w:r>
      <w:r w:rsidR="00EB4B2E">
        <w:rPr>
          <w:rFonts w:cs="Times New Roman"/>
          <w:szCs w:val="24"/>
        </w:rPr>
        <w:t xml:space="preserve">the </w:t>
      </w:r>
      <w:r w:rsidR="000174F9" w:rsidRPr="008470E2">
        <w:rPr>
          <w:rFonts w:cs="Times New Roman"/>
          <w:szCs w:val="24"/>
        </w:rPr>
        <w:t xml:space="preserve">market and position itself has been different in each Asian country. Thus a different business model in each country </w:t>
      </w:r>
      <w:r w:rsidR="004F1548" w:rsidRPr="008470E2">
        <w:rPr>
          <w:rFonts w:cs="Times New Roman"/>
          <w:szCs w:val="24"/>
        </w:rPr>
        <w:t xml:space="preserve">is </w:t>
      </w:r>
      <w:r w:rsidR="000174F9" w:rsidRPr="008470E2">
        <w:rPr>
          <w:rFonts w:cs="Times New Roman"/>
          <w:szCs w:val="24"/>
        </w:rPr>
        <w:t>based on the cultural, social, economic and political situation. For example</w:t>
      </w:r>
      <w:r w:rsidR="00EB4B2E">
        <w:rPr>
          <w:rFonts w:cs="Times New Roman"/>
          <w:szCs w:val="24"/>
        </w:rPr>
        <w:t>,</w:t>
      </w:r>
      <w:r w:rsidR="000174F9" w:rsidRPr="008470E2">
        <w:rPr>
          <w:rFonts w:cs="Times New Roman"/>
          <w:szCs w:val="24"/>
        </w:rPr>
        <w:t xml:space="preserve"> Sainsbury’s commitment to </w:t>
      </w:r>
      <w:r w:rsidR="00EB4B2E">
        <w:rPr>
          <w:rFonts w:cs="Times New Roman"/>
          <w:szCs w:val="24"/>
        </w:rPr>
        <w:t>becoming</w:t>
      </w:r>
      <w:r w:rsidR="000174F9" w:rsidRPr="008470E2">
        <w:rPr>
          <w:rFonts w:cs="Times New Roman"/>
          <w:szCs w:val="24"/>
        </w:rPr>
        <w:t xml:space="preserve"> </w:t>
      </w:r>
      <w:r w:rsidR="00EB4B2E">
        <w:rPr>
          <w:rFonts w:cs="Times New Roman"/>
          <w:szCs w:val="24"/>
        </w:rPr>
        <w:t>Net-Zero</w:t>
      </w:r>
      <w:r w:rsidR="000174F9" w:rsidRPr="008470E2">
        <w:rPr>
          <w:rFonts w:cs="Times New Roman"/>
          <w:szCs w:val="24"/>
        </w:rPr>
        <w:t xml:space="preserve"> by 2040, in its environmental impact which is at </w:t>
      </w:r>
      <w:r w:rsidR="00EB4B2E">
        <w:rPr>
          <w:rFonts w:cs="Times New Roman"/>
          <w:szCs w:val="24"/>
        </w:rPr>
        <w:t xml:space="preserve">the </w:t>
      </w:r>
      <w:r w:rsidR="000174F9" w:rsidRPr="008470E2">
        <w:rPr>
          <w:rFonts w:cs="Times New Roman"/>
          <w:szCs w:val="24"/>
        </w:rPr>
        <w:t xml:space="preserve">heart of its strategy is targeted </w:t>
      </w:r>
      <w:r w:rsidR="004F1548" w:rsidRPr="008470E2">
        <w:rPr>
          <w:rFonts w:cs="Times New Roman"/>
          <w:szCs w:val="24"/>
        </w:rPr>
        <w:t xml:space="preserve">differently </w:t>
      </w:r>
      <w:r w:rsidR="000174F9" w:rsidRPr="008470E2">
        <w:rPr>
          <w:rFonts w:cs="Times New Roman"/>
          <w:szCs w:val="24"/>
        </w:rPr>
        <w:t xml:space="preserve">in </w:t>
      </w:r>
      <w:r w:rsidR="004F1548" w:rsidRPr="008470E2">
        <w:rPr>
          <w:rFonts w:cs="Times New Roman"/>
          <w:szCs w:val="24"/>
        </w:rPr>
        <w:t>each</w:t>
      </w:r>
      <w:r w:rsidR="000174F9" w:rsidRPr="008470E2">
        <w:rPr>
          <w:rFonts w:cs="Times New Roman"/>
          <w:szCs w:val="24"/>
        </w:rPr>
        <w:t xml:space="preserve"> </w:t>
      </w:r>
      <w:r w:rsidR="00EB4B2E">
        <w:rPr>
          <w:rFonts w:cs="Times New Roman"/>
          <w:szCs w:val="24"/>
        </w:rPr>
        <w:t>country</w:t>
      </w:r>
      <w:r w:rsidR="00FF6889" w:rsidRPr="008470E2">
        <w:rPr>
          <w:rFonts w:cs="Times New Roman"/>
          <w:szCs w:val="24"/>
        </w:rPr>
        <w:t xml:space="preserve"> (About Sainsburys, 2022)</w:t>
      </w:r>
      <w:r w:rsidR="000174F9" w:rsidRPr="008470E2">
        <w:rPr>
          <w:rFonts w:cs="Times New Roman"/>
          <w:szCs w:val="24"/>
        </w:rPr>
        <w:t xml:space="preserve">. </w:t>
      </w:r>
      <w:r w:rsidR="004F1548" w:rsidRPr="008470E2">
        <w:rPr>
          <w:rFonts w:cs="Times New Roman"/>
          <w:szCs w:val="24"/>
        </w:rPr>
        <w:t>A</w:t>
      </w:r>
      <w:r w:rsidR="000174F9" w:rsidRPr="008470E2">
        <w:rPr>
          <w:rFonts w:cs="Times New Roman"/>
          <w:szCs w:val="24"/>
        </w:rPr>
        <w:t xml:space="preserve">dvanced economies like Europe </w:t>
      </w:r>
      <w:r w:rsidR="00EB4B2E">
        <w:rPr>
          <w:rFonts w:cs="Times New Roman"/>
          <w:szCs w:val="24"/>
        </w:rPr>
        <w:t>have</w:t>
      </w:r>
      <w:r w:rsidR="000174F9" w:rsidRPr="008470E2">
        <w:rPr>
          <w:rFonts w:cs="Times New Roman"/>
          <w:szCs w:val="24"/>
        </w:rPr>
        <w:t xml:space="preserve"> </w:t>
      </w:r>
      <w:r w:rsidR="00EB4B2E">
        <w:rPr>
          <w:rFonts w:cs="Times New Roman"/>
          <w:szCs w:val="24"/>
        </w:rPr>
        <w:t xml:space="preserve">the </w:t>
      </w:r>
      <w:r w:rsidR="000174F9" w:rsidRPr="008470E2">
        <w:rPr>
          <w:rFonts w:cs="Times New Roman"/>
          <w:szCs w:val="24"/>
        </w:rPr>
        <w:t xml:space="preserve">necessary infrastructure to complement Sainsbury’s effort of Net Zero, while less advanced economies of Asia like Indonesia has far less capability </w:t>
      </w:r>
      <w:r w:rsidR="004F1548" w:rsidRPr="008470E2">
        <w:rPr>
          <w:rFonts w:cs="Times New Roman"/>
          <w:szCs w:val="24"/>
        </w:rPr>
        <w:t xml:space="preserve">economically, and politically </w:t>
      </w:r>
      <w:r w:rsidR="000174F9" w:rsidRPr="008470E2">
        <w:rPr>
          <w:rFonts w:cs="Times New Roman"/>
          <w:szCs w:val="24"/>
        </w:rPr>
        <w:t xml:space="preserve">to address environmental issues. This shows how globalization presents both </w:t>
      </w:r>
      <w:r w:rsidR="004F1548" w:rsidRPr="008470E2">
        <w:rPr>
          <w:rFonts w:cs="Times New Roman"/>
          <w:szCs w:val="24"/>
        </w:rPr>
        <w:t xml:space="preserve">an </w:t>
      </w:r>
      <w:r w:rsidR="000174F9" w:rsidRPr="008470E2">
        <w:rPr>
          <w:rFonts w:cs="Times New Roman"/>
          <w:szCs w:val="24"/>
        </w:rPr>
        <w:t xml:space="preserve">opportunity </w:t>
      </w:r>
      <w:r w:rsidR="004F1548" w:rsidRPr="008470E2">
        <w:rPr>
          <w:rFonts w:cs="Times New Roman"/>
          <w:szCs w:val="24"/>
        </w:rPr>
        <w:t>and challenge for a foreign company like Sainsbury in Indonesia.</w:t>
      </w:r>
      <w:r w:rsidR="00FF6889" w:rsidRPr="008470E2">
        <w:rPr>
          <w:rFonts w:cs="Times New Roman"/>
          <w:szCs w:val="24"/>
        </w:rPr>
        <w:t xml:space="preserve"> </w:t>
      </w:r>
    </w:p>
    <w:p w14:paraId="69B76912" w14:textId="77777777" w:rsidR="0095289B" w:rsidRPr="008470E2" w:rsidRDefault="0095289B" w:rsidP="005630E6">
      <w:pPr>
        <w:spacing w:line="360" w:lineRule="auto"/>
        <w:rPr>
          <w:rFonts w:cs="Times New Roman"/>
          <w:szCs w:val="24"/>
        </w:rPr>
      </w:pPr>
    </w:p>
    <w:p w14:paraId="3C46D678" w14:textId="50333556" w:rsidR="0095289B" w:rsidRPr="008470E2" w:rsidRDefault="00F7362A" w:rsidP="005630E6">
      <w:pPr>
        <w:pStyle w:val="Heading3"/>
        <w:spacing w:line="360" w:lineRule="auto"/>
        <w:rPr>
          <w:rFonts w:cs="Times New Roman"/>
        </w:rPr>
      </w:pPr>
      <w:bookmarkStart w:id="7" w:name="_Toc102433489"/>
      <w:r w:rsidRPr="008470E2">
        <w:rPr>
          <w:rFonts w:cs="Times New Roman"/>
        </w:rPr>
        <w:t xml:space="preserve">2.1.2 </w:t>
      </w:r>
      <w:r w:rsidR="0095289B" w:rsidRPr="008470E2">
        <w:rPr>
          <w:rFonts w:cs="Times New Roman"/>
        </w:rPr>
        <w:t>Culture and communication</w:t>
      </w:r>
      <w:bookmarkEnd w:id="7"/>
    </w:p>
    <w:p w14:paraId="57920DF7" w14:textId="192EA1E3" w:rsidR="004F1548" w:rsidRPr="008470E2" w:rsidRDefault="004F1548" w:rsidP="005630E6">
      <w:pPr>
        <w:spacing w:line="360" w:lineRule="auto"/>
        <w:rPr>
          <w:rFonts w:cs="Times New Roman"/>
          <w:szCs w:val="24"/>
        </w:rPr>
      </w:pPr>
    </w:p>
    <w:p w14:paraId="2D216342" w14:textId="2135ACC5" w:rsidR="004B242C" w:rsidRPr="008470E2" w:rsidRDefault="00F76ED7" w:rsidP="005630E6">
      <w:pPr>
        <w:spacing w:line="360" w:lineRule="auto"/>
        <w:jc w:val="left"/>
        <w:rPr>
          <w:rFonts w:cs="Times New Roman"/>
          <w:b/>
          <w:szCs w:val="24"/>
        </w:rPr>
      </w:pPr>
      <w:r w:rsidRPr="008470E2">
        <w:rPr>
          <w:rFonts w:cs="Times New Roman"/>
          <w:b/>
          <w:szCs w:val="24"/>
        </w:rPr>
        <w:t>Trompenaars’ 7 Cultural Dimensions</w:t>
      </w:r>
    </w:p>
    <w:p w14:paraId="413E3077" w14:textId="7616CB59" w:rsidR="004B242C" w:rsidRPr="008470E2" w:rsidRDefault="004B242C" w:rsidP="005630E6">
      <w:pPr>
        <w:spacing w:line="360" w:lineRule="auto"/>
        <w:jc w:val="left"/>
        <w:rPr>
          <w:rFonts w:cs="Times New Roman"/>
          <w:b/>
          <w:szCs w:val="24"/>
        </w:rPr>
      </w:pPr>
      <w:r w:rsidRPr="008470E2">
        <w:rPr>
          <w:rFonts w:cs="Times New Roman"/>
          <w:b/>
          <w:noProof/>
          <w:szCs w:val="24"/>
          <w:lang w:eastAsia="en-IN"/>
        </w:rPr>
        <w:lastRenderedPageBreak/>
        <w:drawing>
          <wp:inline distT="0" distB="0" distL="0" distR="0" wp14:anchorId="6383FF81" wp14:editId="6D6323EF">
            <wp:extent cx="5486400" cy="2148214"/>
            <wp:effectExtent l="0" t="0" r="0" b="2349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88B73E" w14:textId="1A93DC7B" w:rsidR="00D80066" w:rsidRPr="008470E2" w:rsidRDefault="00D80066" w:rsidP="005630E6">
      <w:pPr>
        <w:spacing w:line="360" w:lineRule="auto"/>
        <w:jc w:val="center"/>
        <w:rPr>
          <w:rFonts w:cs="Times New Roman"/>
          <w:szCs w:val="24"/>
        </w:rPr>
      </w:pPr>
      <w:r w:rsidRPr="008470E2">
        <w:rPr>
          <w:rFonts w:cs="Times New Roman"/>
          <w:szCs w:val="24"/>
        </w:rPr>
        <w:t xml:space="preserve">Fig 1: </w:t>
      </w:r>
      <w:r w:rsidR="00F76ED7" w:rsidRPr="008470E2">
        <w:rPr>
          <w:rFonts w:cs="Times New Roman"/>
          <w:szCs w:val="24"/>
        </w:rPr>
        <w:t>Trompenaars’ 7 Cultural Dimensions</w:t>
      </w:r>
    </w:p>
    <w:p w14:paraId="1DE98BE5" w14:textId="1473BF41" w:rsidR="00540EA2" w:rsidRPr="008470E2" w:rsidRDefault="006F315F" w:rsidP="005630E6">
      <w:pPr>
        <w:spacing w:line="360" w:lineRule="auto"/>
        <w:jc w:val="center"/>
        <w:rPr>
          <w:rFonts w:cs="Times New Roman"/>
          <w:szCs w:val="24"/>
        </w:rPr>
      </w:pPr>
      <w:r w:rsidRPr="008470E2">
        <w:rPr>
          <w:rFonts w:cs="Times New Roman"/>
          <w:szCs w:val="24"/>
        </w:rPr>
        <w:t xml:space="preserve">(Source: </w:t>
      </w:r>
      <w:r w:rsidR="00FF6889" w:rsidRPr="008470E2">
        <w:rPr>
          <w:rFonts w:cs="Times New Roman"/>
          <w:szCs w:val="24"/>
        </w:rPr>
        <w:t xml:space="preserve"> Eurac, 2022)</w:t>
      </w:r>
    </w:p>
    <w:p w14:paraId="790E1ACA" w14:textId="5350FD3E" w:rsidR="00540EA2" w:rsidRPr="008470E2" w:rsidRDefault="00540EA2" w:rsidP="005630E6">
      <w:pPr>
        <w:spacing w:line="360" w:lineRule="auto"/>
        <w:rPr>
          <w:rFonts w:cs="Times New Roman"/>
          <w:szCs w:val="24"/>
        </w:rPr>
      </w:pPr>
      <w:r w:rsidRPr="008470E2">
        <w:rPr>
          <w:rFonts w:cs="Times New Roman"/>
          <w:szCs w:val="24"/>
        </w:rPr>
        <w:t xml:space="preserve">Indonesia has primarily been a culture which believed in communitarianism, </w:t>
      </w:r>
      <w:r w:rsidR="00A528CF" w:rsidRPr="008470E2">
        <w:rPr>
          <w:rFonts w:cs="Times New Roman"/>
          <w:szCs w:val="24"/>
        </w:rPr>
        <w:t xml:space="preserve">while </w:t>
      </w:r>
      <w:r w:rsidR="00EB4B2E">
        <w:rPr>
          <w:rFonts w:cs="Times New Roman"/>
          <w:szCs w:val="24"/>
        </w:rPr>
        <w:t xml:space="preserve">the </w:t>
      </w:r>
      <w:r w:rsidRPr="008470E2">
        <w:rPr>
          <w:rFonts w:cs="Times New Roman"/>
          <w:szCs w:val="24"/>
        </w:rPr>
        <w:t xml:space="preserve">UK </w:t>
      </w:r>
      <w:r w:rsidR="00A528CF" w:rsidRPr="008470E2">
        <w:rPr>
          <w:rFonts w:cs="Times New Roman"/>
          <w:szCs w:val="24"/>
        </w:rPr>
        <w:t xml:space="preserve">follows </w:t>
      </w:r>
      <w:r w:rsidRPr="008470E2">
        <w:rPr>
          <w:rFonts w:cs="Times New Roman"/>
          <w:szCs w:val="24"/>
        </w:rPr>
        <w:t>universalism</w:t>
      </w:r>
      <w:r w:rsidR="00A528CF" w:rsidRPr="008470E2">
        <w:rPr>
          <w:rFonts w:cs="Times New Roman"/>
          <w:szCs w:val="24"/>
        </w:rPr>
        <w:t xml:space="preserve">. Indonesia </w:t>
      </w:r>
      <w:r w:rsidR="00EB4B2E">
        <w:rPr>
          <w:rFonts w:cs="Times New Roman"/>
          <w:szCs w:val="24"/>
        </w:rPr>
        <w:t>is</w:t>
      </w:r>
      <w:r w:rsidR="00A528CF" w:rsidRPr="008470E2">
        <w:rPr>
          <w:rFonts w:cs="Times New Roman"/>
          <w:szCs w:val="24"/>
        </w:rPr>
        <w:t xml:space="preserve"> a more </w:t>
      </w:r>
      <w:r w:rsidR="00680B35" w:rsidRPr="008470E2">
        <w:rPr>
          <w:rFonts w:cs="Times New Roman"/>
          <w:szCs w:val="24"/>
        </w:rPr>
        <w:t>community-based</w:t>
      </w:r>
      <w:r w:rsidR="00A528CF" w:rsidRPr="008470E2">
        <w:rPr>
          <w:rFonts w:cs="Times New Roman"/>
          <w:szCs w:val="24"/>
        </w:rPr>
        <w:t xml:space="preserve"> culture, the interest of the group is more important than individual freedom and achievement. For effective brand positioning for Sainsbury, the objective is </w:t>
      </w:r>
      <w:r w:rsidR="00680B35" w:rsidRPr="008470E2">
        <w:rPr>
          <w:rFonts w:cs="Times New Roman"/>
          <w:szCs w:val="24"/>
        </w:rPr>
        <w:t>to cater</w:t>
      </w:r>
      <w:r w:rsidR="00A528CF" w:rsidRPr="008470E2">
        <w:rPr>
          <w:rFonts w:cs="Times New Roman"/>
          <w:szCs w:val="24"/>
        </w:rPr>
        <w:t xml:space="preserve"> </w:t>
      </w:r>
      <w:r w:rsidR="00EB4B2E">
        <w:rPr>
          <w:rFonts w:cs="Times New Roman"/>
          <w:szCs w:val="24"/>
        </w:rPr>
        <w:t>for</w:t>
      </w:r>
      <w:r w:rsidR="00680B35" w:rsidRPr="008470E2">
        <w:rPr>
          <w:rFonts w:cs="Times New Roman"/>
          <w:szCs w:val="24"/>
        </w:rPr>
        <w:t xml:space="preserve"> the need of the community whether</w:t>
      </w:r>
      <w:r w:rsidR="00A528CF" w:rsidRPr="008470E2">
        <w:rPr>
          <w:rFonts w:cs="Times New Roman"/>
          <w:szCs w:val="24"/>
        </w:rPr>
        <w:t xml:space="preserve"> its employees or customers. The extent and length to which work and personal life </w:t>
      </w:r>
      <w:r w:rsidR="00680B35" w:rsidRPr="008470E2">
        <w:rPr>
          <w:rFonts w:cs="Times New Roman"/>
          <w:szCs w:val="24"/>
        </w:rPr>
        <w:t>overlap</w:t>
      </w:r>
      <w:r w:rsidR="00A528CF" w:rsidRPr="008470E2">
        <w:rPr>
          <w:rFonts w:cs="Times New Roman"/>
          <w:szCs w:val="24"/>
        </w:rPr>
        <w:t xml:space="preserve"> </w:t>
      </w:r>
      <w:r w:rsidR="00EB4B2E">
        <w:rPr>
          <w:rFonts w:cs="Times New Roman"/>
          <w:szCs w:val="24"/>
        </w:rPr>
        <w:t>are</w:t>
      </w:r>
      <w:r w:rsidR="00A528CF" w:rsidRPr="008470E2">
        <w:rPr>
          <w:rFonts w:cs="Times New Roman"/>
          <w:szCs w:val="24"/>
        </w:rPr>
        <w:t xml:space="preserve"> also different in UK and Indonesia. For example, building a strong relationship is important in Indonesia before building </w:t>
      </w:r>
      <w:r w:rsidR="00680B35" w:rsidRPr="008470E2">
        <w:rPr>
          <w:rFonts w:cs="Times New Roman"/>
          <w:szCs w:val="24"/>
        </w:rPr>
        <w:t xml:space="preserve">a </w:t>
      </w:r>
      <w:r w:rsidR="00A528CF" w:rsidRPr="008470E2">
        <w:rPr>
          <w:rFonts w:cs="Times New Roman"/>
          <w:szCs w:val="24"/>
        </w:rPr>
        <w:t xml:space="preserve">strong business relationship because </w:t>
      </w:r>
      <w:r w:rsidR="00680B35" w:rsidRPr="008470E2">
        <w:rPr>
          <w:rFonts w:cs="Times New Roman"/>
          <w:szCs w:val="24"/>
        </w:rPr>
        <w:t>Indonesians</w:t>
      </w:r>
      <w:r w:rsidR="00A528CF" w:rsidRPr="008470E2">
        <w:rPr>
          <w:rFonts w:cs="Times New Roman"/>
          <w:szCs w:val="24"/>
        </w:rPr>
        <w:t xml:space="preserve"> adhere to diffuse </w:t>
      </w:r>
      <w:r w:rsidR="00680B35" w:rsidRPr="008470E2">
        <w:rPr>
          <w:rFonts w:cs="Times New Roman"/>
          <w:szCs w:val="24"/>
        </w:rPr>
        <w:t>relationships</w:t>
      </w:r>
      <w:r w:rsidR="00A528CF" w:rsidRPr="008470E2">
        <w:rPr>
          <w:rFonts w:cs="Times New Roman"/>
          <w:szCs w:val="24"/>
        </w:rPr>
        <w:t xml:space="preserve">. Keeping emotions separate from </w:t>
      </w:r>
      <w:r w:rsidR="00680B35" w:rsidRPr="008470E2">
        <w:rPr>
          <w:rFonts w:cs="Times New Roman"/>
          <w:szCs w:val="24"/>
        </w:rPr>
        <w:t xml:space="preserve">the </w:t>
      </w:r>
      <w:r w:rsidR="00A528CF" w:rsidRPr="008470E2">
        <w:rPr>
          <w:rFonts w:cs="Times New Roman"/>
          <w:szCs w:val="24"/>
        </w:rPr>
        <w:t>business relationship is another aspect, in which Indonesians aspire to build trust and rapport with each other</w:t>
      </w:r>
      <w:r w:rsidR="00FF53F4">
        <w:rPr>
          <w:rFonts w:cs="Times New Roman"/>
          <w:szCs w:val="24"/>
        </w:rPr>
        <w:t xml:space="preserve"> (</w:t>
      </w:r>
      <w:r w:rsidR="00FF53F4" w:rsidRPr="00FF53F4">
        <w:rPr>
          <w:rFonts w:cs="Times New Roman"/>
          <w:szCs w:val="24"/>
        </w:rPr>
        <w:t>Eurac, 2022</w:t>
      </w:r>
      <w:r w:rsidR="00FF53F4">
        <w:rPr>
          <w:rFonts w:cs="Times New Roman"/>
          <w:szCs w:val="24"/>
        </w:rPr>
        <w:t>)</w:t>
      </w:r>
      <w:r w:rsidR="00A528CF" w:rsidRPr="008470E2">
        <w:rPr>
          <w:rFonts w:cs="Times New Roman"/>
          <w:szCs w:val="24"/>
        </w:rPr>
        <w:t>. Thus Sainsbury’s objective irrespective of whom it is dealing</w:t>
      </w:r>
      <w:r w:rsidR="00F722BB" w:rsidRPr="008470E2">
        <w:rPr>
          <w:rFonts w:cs="Times New Roman"/>
          <w:szCs w:val="24"/>
        </w:rPr>
        <w:t xml:space="preserve"> with</w:t>
      </w:r>
      <w:r w:rsidR="00A528CF" w:rsidRPr="008470E2">
        <w:rPr>
          <w:rFonts w:cs="Times New Roman"/>
          <w:szCs w:val="24"/>
        </w:rPr>
        <w:t xml:space="preserve">, customers, suppliers, producers, </w:t>
      </w:r>
      <w:r w:rsidR="00F722BB" w:rsidRPr="008470E2">
        <w:rPr>
          <w:rFonts w:cs="Times New Roman"/>
          <w:szCs w:val="24"/>
        </w:rPr>
        <w:t xml:space="preserve">and </w:t>
      </w:r>
      <w:r w:rsidR="00A528CF" w:rsidRPr="008470E2">
        <w:rPr>
          <w:rFonts w:cs="Times New Roman"/>
          <w:szCs w:val="24"/>
        </w:rPr>
        <w:t xml:space="preserve">employees, should be based on rapport and </w:t>
      </w:r>
      <w:r w:rsidR="00F722BB" w:rsidRPr="008470E2">
        <w:rPr>
          <w:rFonts w:cs="Times New Roman"/>
          <w:szCs w:val="24"/>
        </w:rPr>
        <w:t>trust-building</w:t>
      </w:r>
      <w:r w:rsidR="00A528CF" w:rsidRPr="008470E2">
        <w:rPr>
          <w:rFonts w:cs="Times New Roman"/>
          <w:szCs w:val="24"/>
        </w:rPr>
        <w:t>.</w:t>
      </w:r>
      <w:r w:rsidR="004D71B5" w:rsidRPr="008470E2">
        <w:rPr>
          <w:rFonts w:cs="Times New Roman"/>
          <w:szCs w:val="24"/>
        </w:rPr>
        <w:t xml:space="preserve"> </w:t>
      </w:r>
      <w:r w:rsidR="00EB4B2E">
        <w:rPr>
          <w:rFonts w:cs="Times New Roman"/>
          <w:szCs w:val="24"/>
        </w:rPr>
        <w:t>The social</w:t>
      </w:r>
      <w:r w:rsidR="004D71B5" w:rsidRPr="008470E2">
        <w:rPr>
          <w:rFonts w:cs="Times New Roman"/>
          <w:szCs w:val="24"/>
        </w:rPr>
        <w:t xml:space="preserve"> hierarchy in Indonesia is different </w:t>
      </w:r>
      <w:r w:rsidR="00F722BB" w:rsidRPr="008470E2">
        <w:rPr>
          <w:rFonts w:cs="Times New Roman"/>
          <w:szCs w:val="24"/>
        </w:rPr>
        <w:t xml:space="preserve">from </w:t>
      </w:r>
      <w:r w:rsidR="00EB4B2E">
        <w:rPr>
          <w:rFonts w:cs="Times New Roman"/>
          <w:szCs w:val="24"/>
        </w:rPr>
        <w:t>that</w:t>
      </w:r>
      <w:r w:rsidR="004D71B5" w:rsidRPr="008470E2">
        <w:rPr>
          <w:rFonts w:cs="Times New Roman"/>
          <w:szCs w:val="24"/>
        </w:rPr>
        <w:t xml:space="preserve"> UK.  Wealth is the main determining factor of social status in </w:t>
      </w:r>
      <w:r w:rsidR="00F722BB" w:rsidRPr="008470E2">
        <w:rPr>
          <w:rFonts w:cs="Times New Roman"/>
          <w:szCs w:val="24"/>
        </w:rPr>
        <w:t xml:space="preserve">the </w:t>
      </w:r>
      <w:r w:rsidR="004D71B5" w:rsidRPr="008470E2">
        <w:rPr>
          <w:rFonts w:cs="Times New Roman"/>
          <w:szCs w:val="24"/>
        </w:rPr>
        <w:t xml:space="preserve">UK. Social hierarchy in Indonesia to some extent is based on the feudal concept of the olden days, where titles and surnames matter. </w:t>
      </w:r>
      <w:r w:rsidR="00680B35" w:rsidRPr="008470E2">
        <w:rPr>
          <w:rFonts w:cs="Times New Roman"/>
          <w:szCs w:val="24"/>
        </w:rPr>
        <w:t xml:space="preserve">UK population does not ascribe to such feudal titles and surnames except the royal families. Cultural differences like these indicate each country </w:t>
      </w:r>
      <w:r w:rsidR="00F722BB" w:rsidRPr="008470E2">
        <w:rPr>
          <w:rFonts w:cs="Times New Roman"/>
          <w:szCs w:val="24"/>
        </w:rPr>
        <w:t xml:space="preserve">where Sainsbury operates </w:t>
      </w:r>
      <w:r w:rsidR="00680B35" w:rsidRPr="008470E2">
        <w:rPr>
          <w:rFonts w:cs="Times New Roman"/>
          <w:szCs w:val="24"/>
        </w:rPr>
        <w:t xml:space="preserve">demands a different strategic approach. </w:t>
      </w:r>
    </w:p>
    <w:p w14:paraId="41BCBF73" w14:textId="77777777" w:rsidR="00D80066" w:rsidRPr="008470E2" w:rsidRDefault="00D80066" w:rsidP="005630E6">
      <w:pPr>
        <w:spacing w:line="360" w:lineRule="auto"/>
        <w:rPr>
          <w:rFonts w:cs="Times New Roman"/>
          <w:szCs w:val="24"/>
        </w:rPr>
      </w:pPr>
    </w:p>
    <w:p w14:paraId="41FFF374" w14:textId="308D632C" w:rsidR="00FC29F2" w:rsidRPr="008470E2" w:rsidRDefault="00D953EB" w:rsidP="005630E6">
      <w:pPr>
        <w:pStyle w:val="Heading3"/>
        <w:spacing w:line="360" w:lineRule="auto"/>
        <w:rPr>
          <w:rFonts w:cs="Times New Roman"/>
        </w:rPr>
      </w:pPr>
      <w:bookmarkStart w:id="8" w:name="_Toc102433490"/>
      <w:r w:rsidRPr="008470E2">
        <w:rPr>
          <w:rFonts w:cs="Times New Roman"/>
        </w:rPr>
        <w:t>2.1</w:t>
      </w:r>
      <w:r w:rsidR="00B46A12" w:rsidRPr="008470E2">
        <w:rPr>
          <w:rFonts w:cs="Times New Roman"/>
        </w:rPr>
        <w:t xml:space="preserve">.3 </w:t>
      </w:r>
      <w:r w:rsidR="00D11E1E" w:rsidRPr="008470E2">
        <w:rPr>
          <w:rFonts w:cs="Times New Roman"/>
        </w:rPr>
        <w:t>Cultural difference</w:t>
      </w:r>
      <w:bookmarkEnd w:id="8"/>
    </w:p>
    <w:p w14:paraId="3B22495B" w14:textId="2D64EEA4" w:rsidR="00680B35" w:rsidRPr="008470E2" w:rsidRDefault="00680B35" w:rsidP="005630E6">
      <w:pPr>
        <w:spacing w:line="360" w:lineRule="auto"/>
        <w:rPr>
          <w:rFonts w:cs="Times New Roman"/>
          <w:szCs w:val="24"/>
        </w:rPr>
      </w:pPr>
    </w:p>
    <w:p w14:paraId="1423E777" w14:textId="5F0D6B53" w:rsidR="00680B35" w:rsidRPr="008470E2" w:rsidRDefault="00C95364" w:rsidP="005630E6">
      <w:pPr>
        <w:spacing w:line="360" w:lineRule="auto"/>
        <w:rPr>
          <w:rFonts w:cs="Times New Roman"/>
          <w:szCs w:val="24"/>
        </w:rPr>
      </w:pPr>
      <w:r w:rsidRPr="008470E2">
        <w:rPr>
          <w:rFonts w:cs="Times New Roman"/>
          <w:noProof/>
          <w:szCs w:val="24"/>
          <w:lang w:eastAsia="en-IN"/>
        </w:rPr>
        <w:lastRenderedPageBreak/>
        <mc:AlternateContent>
          <mc:Choice Requires="wps">
            <w:drawing>
              <wp:anchor distT="0" distB="0" distL="114300" distR="114300" simplePos="0" relativeHeight="251659264" behindDoc="0" locked="0" layoutInCell="1" allowOverlap="1" wp14:anchorId="20DB4A1D" wp14:editId="26155F02">
                <wp:simplePos x="0" y="0"/>
                <wp:positionH relativeFrom="column">
                  <wp:posOffset>2430683</wp:posOffset>
                </wp:positionH>
                <wp:positionV relativeFrom="paragraph">
                  <wp:posOffset>749702</wp:posOffset>
                </wp:positionV>
                <wp:extent cx="659757" cy="475989"/>
                <wp:effectExtent l="0" t="0" r="26670" b="19685"/>
                <wp:wrapNone/>
                <wp:docPr id="19" name="Text Box 19"/>
                <wp:cNvGraphicFramePr/>
                <a:graphic xmlns:a="http://schemas.openxmlformats.org/drawingml/2006/main">
                  <a:graphicData uri="http://schemas.microsoft.com/office/word/2010/wordprocessingShape">
                    <wps:wsp>
                      <wps:cNvSpPr txBox="1"/>
                      <wps:spPr>
                        <a:xfrm>
                          <a:off x="0" y="0"/>
                          <a:ext cx="659757" cy="475989"/>
                        </a:xfrm>
                        <a:prstGeom prst="rect">
                          <a:avLst/>
                        </a:prstGeom>
                        <a:solidFill>
                          <a:schemeClr val="lt1"/>
                        </a:solidFill>
                        <a:ln w="6350">
                          <a:solidFill>
                            <a:schemeClr val="bg1"/>
                          </a:solidFill>
                        </a:ln>
                      </wps:spPr>
                      <wps:txbx>
                        <w:txbxContent>
                          <w:p w14:paraId="0132D12A" w14:textId="0687A4FA" w:rsidR="00DE01D9" w:rsidRPr="00C95364" w:rsidRDefault="00DE01D9" w:rsidP="00C95364">
                            <w:pPr>
                              <w:jc w:val="center"/>
                              <w:rPr>
                                <w:sz w:val="20"/>
                                <w:szCs w:val="20"/>
                              </w:rPr>
                            </w:pPr>
                            <w:r w:rsidRPr="00C95364">
                              <w:rPr>
                                <w:sz w:val="20"/>
                                <w:szCs w:val="20"/>
                              </w:rPr>
                              <w:t>Cultural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DB4A1D" id="_x0000_t202" coordsize="21600,21600" o:spt="202" path="m,l,21600r21600,l21600,xe">
                <v:stroke joinstyle="miter"/>
                <v:path gradientshapeok="t" o:connecttype="rect"/>
              </v:shapetype>
              <v:shape id="Text Box 19" o:spid="_x0000_s1026" type="#_x0000_t202" style="position:absolute;left:0;text-align:left;margin-left:191.4pt;margin-top:59.05pt;width:51.95pt;height: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" fillcolor="white [3201]" strokecolor="white [3212]" strokeweight=".5pt">
                <v:textbox>
                  <w:txbxContent>
                    <w:p w14:paraId="0132D12A" w14:textId="0687A4FA" w:rsidR="00DE01D9" w:rsidRPr="00C95364" w:rsidRDefault="00DE01D9" w:rsidP="00C95364">
                      <w:pPr>
                        <w:jc w:val="center"/>
                        <w:rPr>
                          <w:sz w:val="20"/>
                          <w:szCs w:val="20"/>
                        </w:rPr>
                      </w:pPr>
                      <w:r w:rsidRPr="00C95364">
                        <w:rPr>
                          <w:sz w:val="20"/>
                          <w:szCs w:val="20"/>
                        </w:rPr>
                        <w:t>Cultural Difference</w:t>
                      </w:r>
                    </w:p>
                  </w:txbxContent>
                </v:textbox>
              </v:shape>
            </w:pict>
          </mc:Fallback>
        </mc:AlternateContent>
      </w:r>
      <w:r w:rsidR="00680B35" w:rsidRPr="008470E2">
        <w:rPr>
          <w:rFonts w:cs="Times New Roman"/>
          <w:noProof/>
          <w:szCs w:val="24"/>
          <w:lang w:eastAsia="en-IN"/>
        </w:rPr>
        <w:drawing>
          <wp:inline distT="0" distB="0" distL="0" distR="0" wp14:anchorId="6BD62FA3" wp14:editId="5763E4AA">
            <wp:extent cx="5486400" cy="1972850"/>
            <wp:effectExtent l="0" t="0" r="0" b="2794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707ABF7" w14:textId="7FC71D99" w:rsidR="00D953EB" w:rsidRPr="008470E2" w:rsidRDefault="00D80066" w:rsidP="005630E6">
      <w:pPr>
        <w:spacing w:line="360" w:lineRule="auto"/>
        <w:jc w:val="center"/>
        <w:rPr>
          <w:rFonts w:cs="Times New Roman"/>
          <w:szCs w:val="24"/>
        </w:rPr>
      </w:pPr>
      <w:r w:rsidRPr="008470E2">
        <w:rPr>
          <w:rFonts w:cs="Times New Roman"/>
          <w:szCs w:val="24"/>
        </w:rPr>
        <w:t>Fig2</w:t>
      </w:r>
      <w:r w:rsidR="00D953EB" w:rsidRPr="008470E2">
        <w:rPr>
          <w:rFonts w:cs="Times New Roman"/>
          <w:szCs w:val="24"/>
        </w:rPr>
        <w:t>: Hofstede's Culture Dimension Theory</w:t>
      </w:r>
    </w:p>
    <w:p w14:paraId="14C77C8F" w14:textId="70C2818E" w:rsidR="002D069E" w:rsidRPr="008470E2" w:rsidRDefault="002D069E" w:rsidP="005630E6">
      <w:pPr>
        <w:spacing w:line="360" w:lineRule="auto"/>
        <w:jc w:val="center"/>
        <w:rPr>
          <w:rFonts w:cs="Times New Roman"/>
          <w:szCs w:val="24"/>
        </w:rPr>
      </w:pPr>
      <w:r w:rsidRPr="008470E2">
        <w:rPr>
          <w:rFonts w:cs="Times New Roman"/>
          <w:szCs w:val="24"/>
        </w:rPr>
        <w:t xml:space="preserve">(Source: </w:t>
      </w:r>
      <w:r w:rsidR="00FF6889" w:rsidRPr="008470E2">
        <w:rPr>
          <w:rFonts w:cs="Times New Roman"/>
          <w:szCs w:val="24"/>
        </w:rPr>
        <w:t>Business Communication, 2022)</w:t>
      </w:r>
    </w:p>
    <w:p w14:paraId="4C5CC592" w14:textId="65381E4D" w:rsidR="00FC29F2" w:rsidRPr="008470E2" w:rsidRDefault="00D953EB" w:rsidP="005630E6">
      <w:pPr>
        <w:spacing w:line="360" w:lineRule="auto"/>
        <w:rPr>
          <w:rFonts w:cs="Times New Roman"/>
          <w:b/>
          <w:szCs w:val="24"/>
        </w:rPr>
      </w:pPr>
      <w:r w:rsidRPr="008470E2">
        <w:rPr>
          <w:rFonts w:cs="Times New Roman"/>
          <w:b/>
          <w:szCs w:val="24"/>
        </w:rPr>
        <w:t>Hofstede's Culture Dimension Theory</w:t>
      </w:r>
    </w:p>
    <w:p w14:paraId="1E145DA3" w14:textId="39228794" w:rsidR="005072A5" w:rsidRPr="008470E2" w:rsidRDefault="00C95364" w:rsidP="005630E6">
      <w:pPr>
        <w:spacing w:line="360" w:lineRule="auto"/>
        <w:rPr>
          <w:rFonts w:cs="Times New Roman"/>
          <w:szCs w:val="24"/>
        </w:rPr>
      </w:pPr>
      <w:r w:rsidRPr="008470E2">
        <w:rPr>
          <w:rFonts w:cs="Times New Roman"/>
          <w:szCs w:val="24"/>
        </w:rPr>
        <w:t xml:space="preserve">There </w:t>
      </w:r>
      <w:r w:rsidR="00D859F0" w:rsidRPr="008470E2">
        <w:rPr>
          <w:rFonts w:cs="Times New Roman"/>
          <w:szCs w:val="24"/>
        </w:rPr>
        <w:t xml:space="preserve">6 main </w:t>
      </w:r>
      <w:r w:rsidRPr="008470E2">
        <w:rPr>
          <w:rFonts w:cs="Times New Roman"/>
          <w:szCs w:val="24"/>
        </w:rPr>
        <w:t xml:space="preserve">independent </w:t>
      </w:r>
      <w:r w:rsidR="00D859F0" w:rsidRPr="008470E2">
        <w:rPr>
          <w:rFonts w:cs="Times New Roman"/>
          <w:szCs w:val="24"/>
        </w:rPr>
        <w:t xml:space="preserve">dimensions </w:t>
      </w:r>
      <w:r w:rsidRPr="008470E2">
        <w:rPr>
          <w:rFonts w:cs="Times New Roman"/>
          <w:szCs w:val="24"/>
        </w:rPr>
        <w:t xml:space="preserve">that </w:t>
      </w:r>
      <w:r w:rsidR="00EB4B2E">
        <w:rPr>
          <w:rFonts w:cs="Times New Roman"/>
          <w:szCs w:val="24"/>
        </w:rPr>
        <w:t>give</w:t>
      </w:r>
      <w:r w:rsidRPr="008470E2">
        <w:rPr>
          <w:rFonts w:cs="Times New Roman"/>
          <w:szCs w:val="24"/>
        </w:rPr>
        <w:t xml:space="preserve"> rise to</w:t>
      </w:r>
      <w:r w:rsidR="005072A5" w:rsidRPr="008470E2">
        <w:rPr>
          <w:rFonts w:cs="Times New Roman"/>
          <w:szCs w:val="24"/>
        </w:rPr>
        <w:t xml:space="preserve"> cultural differences, </w:t>
      </w:r>
      <w:r w:rsidRPr="008470E2">
        <w:rPr>
          <w:rFonts w:cs="Times New Roman"/>
          <w:szCs w:val="24"/>
        </w:rPr>
        <w:t>such as</w:t>
      </w:r>
      <w:r w:rsidR="005072A5" w:rsidRPr="008470E2">
        <w:rPr>
          <w:rFonts w:cs="Times New Roman"/>
          <w:szCs w:val="24"/>
        </w:rPr>
        <w:t xml:space="preserve"> </w:t>
      </w:r>
      <w:r w:rsidR="00EB4B2E">
        <w:rPr>
          <w:rFonts w:cs="Times New Roman"/>
          <w:szCs w:val="24"/>
        </w:rPr>
        <w:t xml:space="preserve">the </w:t>
      </w:r>
      <w:r w:rsidR="005072A5" w:rsidRPr="008470E2">
        <w:rPr>
          <w:rFonts w:cs="Times New Roman"/>
          <w:szCs w:val="24"/>
        </w:rPr>
        <w:t>power</w:t>
      </w:r>
      <w:r w:rsidR="00EB4B2E">
        <w:rPr>
          <w:rFonts w:cs="Times New Roman"/>
          <w:szCs w:val="24"/>
        </w:rPr>
        <w:t xml:space="preserve"> </w:t>
      </w:r>
      <w:r w:rsidRPr="008470E2">
        <w:rPr>
          <w:rFonts w:cs="Times New Roman"/>
          <w:szCs w:val="24"/>
        </w:rPr>
        <w:t xml:space="preserve">to </w:t>
      </w:r>
      <w:r w:rsidR="005072A5" w:rsidRPr="008470E2">
        <w:rPr>
          <w:rFonts w:cs="Times New Roman"/>
          <w:szCs w:val="24"/>
        </w:rPr>
        <w:t xml:space="preserve">distance, uncertainty </w:t>
      </w:r>
      <w:r w:rsidRPr="008470E2">
        <w:rPr>
          <w:rFonts w:cs="Times New Roman"/>
          <w:szCs w:val="24"/>
        </w:rPr>
        <w:t xml:space="preserve">avoidance, </w:t>
      </w:r>
      <w:r w:rsidR="005072A5" w:rsidRPr="008470E2">
        <w:rPr>
          <w:rFonts w:cs="Times New Roman"/>
          <w:szCs w:val="24"/>
        </w:rPr>
        <w:t xml:space="preserve">masculinity </w:t>
      </w:r>
      <w:r w:rsidRPr="008470E2">
        <w:rPr>
          <w:rFonts w:cs="Times New Roman"/>
          <w:szCs w:val="24"/>
        </w:rPr>
        <w:t>and</w:t>
      </w:r>
      <w:r w:rsidR="005072A5" w:rsidRPr="008470E2">
        <w:rPr>
          <w:rFonts w:cs="Times New Roman"/>
          <w:szCs w:val="24"/>
        </w:rPr>
        <w:t xml:space="preserve"> </w:t>
      </w:r>
      <w:r w:rsidR="002D069E" w:rsidRPr="008470E2">
        <w:rPr>
          <w:rFonts w:cs="Times New Roman"/>
          <w:szCs w:val="24"/>
        </w:rPr>
        <w:t>feminism</w:t>
      </w:r>
      <w:r w:rsidR="005072A5" w:rsidRPr="008470E2">
        <w:rPr>
          <w:rFonts w:cs="Times New Roman"/>
          <w:szCs w:val="24"/>
        </w:rPr>
        <w:t>, long term orientation</w:t>
      </w:r>
      <w:r w:rsidRPr="008470E2">
        <w:rPr>
          <w:rFonts w:cs="Times New Roman"/>
          <w:szCs w:val="24"/>
        </w:rPr>
        <w:t>, collectivism and individualism</w:t>
      </w:r>
      <w:r w:rsidR="00B16ADD" w:rsidRPr="008470E2">
        <w:rPr>
          <w:rFonts w:cs="Times New Roman"/>
          <w:szCs w:val="24"/>
        </w:rPr>
        <w:t>.</w:t>
      </w:r>
    </w:p>
    <w:p w14:paraId="3C13E234" w14:textId="172FC2B3" w:rsidR="00B16ADD" w:rsidRPr="008470E2" w:rsidRDefault="00B16ADD" w:rsidP="005630E6">
      <w:pPr>
        <w:spacing w:line="360" w:lineRule="auto"/>
        <w:rPr>
          <w:rFonts w:cs="Times New Roman"/>
          <w:szCs w:val="24"/>
        </w:rPr>
      </w:pPr>
      <w:r w:rsidRPr="008470E2">
        <w:rPr>
          <w:rFonts w:cs="Times New Roman"/>
          <w:szCs w:val="24"/>
        </w:rPr>
        <w:t xml:space="preserve">This theory can help Sainsbury identify and segregate certain </w:t>
      </w:r>
      <w:r w:rsidR="00EB4B2E">
        <w:rPr>
          <w:rFonts w:cs="Times New Roman"/>
          <w:szCs w:val="24"/>
        </w:rPr>
        <w:t>patterns</w:t>
      </w:r>
      <w:r w:rsidRPr="008470E2">
        <w:rPr>
          <w:rFonts w:cs="Times New Roman"/>
          <w:szCs w:val="24"/>
        </w:rPr>
        <w:t xml:space="preserve"> in cultural differences between UK and Indonesia, which can be leveraged to maximize productivity. Indonesia has less </w:t>
      </w:r>
      <w:r w:rsidR="00995C6D" w:rsidRPr="008470E2">
        <w:rPr>
          <w:rFonts w:cs="Times New Roman"/>
          <w:szCs w:val="24"/>
        </w:rPr>
        <w:t>gap</w:t>
      </w:r>
      <w:r w:rsidRPr="008470E2">
        <w:rPr>
          <w:rFonts w:cs="Times New Roman"/>
          <w:szCs w:val="24"/>
        </w:rPr>
        <w:t xml:space="preserve"> between power distributions compared to </w:t>
      </w:r>
      <w:r w:rsidR="00EB4B2E">
        <w:rPr>
          <w:rFonts w:cs="Times New Roman"/>
          <w:szCs w:val="24"/>
        </w:rPr>
        <w:t xml:space="preserve">the </w:t>
      </w:r>
      <w:r w:rsidRPr="008470E2">
        <w:rPr>
          <w:rFonts w:cs="Times New Roman"/>
          <w:szCs w:val="24"/>
        </w:rPr>
        <w:t xml:space="preserve">UK. </w:t>
      </w:r>
      <w:r w:rsidR="00EB4B2E">
        <w:rPr>
          <w:rFonts w:cs="Times New Roman"/>
          <w:szCs w:val="24"/>
        </w:rPr>
        <w:t>The business</w:t>
      </w:r>
      <w:r w:rsidRPr="008470E2">
        <w:rPr>
          <w:rFonts w:cs="Times New Roman"/>
          <w:szCs w:val="24"/>
        </w:rPr>
        <w:t xml:space="preserve"> environment is more structured and corporate hierarchical based in </w:t>
      </w:r>
      <w:r w:rsidR="00EB4B2E">
        <w:rPr>
          <w:rFonts w:cs="Times New Roman"/>
          <w:szCs w:val="24"/>
        </w:rPr>
        <w:t xml:space="preserve">the </w:t>
      </w:r>
      <w:r w:rsidRPr="008470E2">
        <w:rPr>
          <w:rFonts w:cs="Times New Roman"/>
          <w:szCs w:val="24"/>
        </w:rPr>
        <w:t xml:space="preserve">UK than in Indonesia. </w:t>
      </w:r>
      <w:r w:rsidR="00995C6D" w:rsidRPr="008470E2">
        <w:rPr>
          <w:rFonts w:cs="Times New Roman"/>
          <w:szCs w:val="24"/>
        </w:rPr>
        <w:t xml:space="preserve">Less gap in power distribution in </w:t>
      </w:r>
      <w:r w:rsidR="003F3E2D" w:rsidRPr="008470E2">
        <w:rPr>
          <w:rFonts w:cs="Times New Roman"/>
          <w:szCs w:val="24"/>
        </w:rPr>
        <w:t>Indonesia’s</w:t>
      </w:r>
      <w:r w:rsidR="00995C6D" w:rsidRPr="008470E2">
        <w:rPr>
          <w:rFonts w:cs="Times New Roman"/>
          <w:szCs w:val="24"/>
        </w:rPr>
        <w:t xml:space="preserve"> business environment indicates that there is less inequality between people with and without power. For Sainsbury</w:t>
      </w:r>
      <w:r w:rsidR="003F3E2D" w:rsidRPr="008470E2">
        <w:rPr>
          <w:rFonts w:cs="Times New Roman"/>
          <w:szCs w:val="24"/>
        </w:rPr>
        <w:t>,</w:t>
      </w:r>
      <w:r w:rsidR="00995C6D" w:rsidRPr="008470E2">
        <w:rPr>
          <w:rFonts w:cs="Times New Roman"/>
          <w:szCs w:val="24"/>
        </w:rPr>
        <w:t xml:space="preserve"> this presents a different challenge to handle labour </w:t>
      </w:r>
      <w:r w:rsidR="003F3E2D" w:rsidRPr="008470E2">
        <w:rPr>
          <w:rFonts w:cs="Times New Roman"/>
          <w:szCs w:val="24"/>
        </w:rPr>
        <w:t>unions’</w:t>
      </w:r>
      <w:r w:rsidR="00995C6D" w:rsidRPr="008470E2">
        <w:rPr>
          <w:rFonts w:cs="Times New Roman"/>
          <w:szCs w:val="24"/>
        </w:rPr>
        <w:t xml:space="preserve"> demands and rights in Indonesia. </w:t>
      </w:r>
      <w:r w:rsidR="003F3E2D" w:rsidRPr="008470E2">
        <w:rPr>
          <w:rFonts w:cs="Times New Roman"/>
          <w:szCs w:val="24"/>
        </w:rPr>
        <w:t>The gender</w:t>
      </w:r>
      <w:r w:rsidR="00995C6D" w:rsidRPr="008470E2">
        <w:rPr>
          <w:rFonts w:cs="Times New Roman"/>
          <w:szCs w:val="24"/>
        </w:rPr>
        <w:t xml:space="preserve"> gap in Indonesia is wider </w:t>
      </w:r>
      <w:r w:rsidR="003F3E2D" w:rsidRPr="008470E2">
        <w:rPr>
          <w:rFonts w:cs="Times New Roman"/>
          <w:szCs w:val="24"/>
        </w:rPr>
        <w:t xml:space="preserve">the </w:t>
      </w:r>
      <w:r w:rsidR="00995C6D" w:rsidRPr="008470E2">
        <w:rPr>
          <w:rFonts w:cs="Times New Roman"/>
          <w:szCs w:val="24"/>
        </w:rPr>
        <w:t xml:space="preserve">han UK. Thus </w:t>
      </w:r>
      <w:r w:rsidR="003F3E2D" w:rsidRPr="008470E2">
        <w:rPr>
          <w:rFonts w:cs="Times New Roman"/>
          <w:szCs w:val="24"/>
        </w:rPr>
        <w:t xml:space="preserve">employee </w:t>
      </w:r>
      <w:r w:rsidR="00995C6D" w:rsidRPr="008470E2">
        <w:rPr>
          <w:rFonts w:cs="Times New Roman"/>
          <w:szCs w:val="24"/>
        </w:rPr>
        <w:t xml:space="preserve">rights and </w:t>
      </w:r>
      <w:r w:rsidR="003F3E2D" w:rsidRPr="008470E2">
        <w:rPr>
          <w:rFonts w:cs="Times New Roman"/>
          <w:szCs w:val="24"/>
        </w:rPr>
        <w:t xml:space="preserve">responsibilities are more gender-specific in Indonesia which is less obvious in </w:t>
      </w:r>
      <w:r w:rsidR="00EB4B2E">
        <w:rPr>
          <w:rFonts w:cs="Times New Roman"/>
          <w:szCs w:val="24"/>
        </w:rPr>
        <w:t xml:space="preserve">the </w:t>
      </w:r>
      <w:r w:rsidR="003F3E2D" w:rsidRPr="008470E2">
        <w:rPr>
          <w:rFonts w:cs="Times New Roman"/>
          <w:szCs w:val="24"/>
        </w:rPr>
        <w:t xml:space="preserve">UK. Communitarianism which is more prevalent in Indonesia than </w:t>
      </w:r>
      <w:r w:rsidR="00EB4B2E">
        <w:rPr>
          <w:rFonts w:cs="Times New Roman"/>
          <w:szCs w:val="24"/>
        </w:rPr>
        <w:t xml:space="preserve">in </w:t>
      </w:r>
      <w:r w:rsidR="003F3E2D" w:rsidRPr="008470E2">
        <w:rPr>
          <w:rFonts w:cs="Times New Roman"/>
          <w:szCs w:val="24"/>
        </w:rPr>
        <w:t>the UK also gives rise to collectivism</w:t>
      </w:r>
      <w:r w:rsidR="00FF6889" w:rsidRPr="008470E2">
        <w:rPr>
          <w:rFonts w:cs="Times New Roman"/>
          <w:szCs w:val="24"/>
        </w:rPr>
        <w:t xml:space="preserve"> (Annisa Hamud, 2022)</w:t>
      </w:r>
      <w:r w:rsidR="003F3E2D" w:rsidRPr="008470E2">
        <w:rPr>
          <w:rFonts w:cs="Times New Roman"/>
          <w:szCs w:val="24"/>
        </w:rPr>
        <w:t xml:space="preserve">.  Thus community-based feeling and unity </w:t>
      </w:r>
      <w:r w:rsidR="00EB4B2E">
        <w:rPr>
          <w:rFonts w:cs="Times New Roman"/>
          <w:szCs w:val="24"/>
        </w:rPr>
        <w:t>are</w:t>
      </w:r>
      <w:r w:rsidR="003F3E2D" w:rsidRPr="008470E2">
        <w:rPr>
          <w:rFonts w:cs="Times New Roman"/>
          <w:szCs w:val="24"/>
        </w:rPr>
        <w:t xml:space="preserve"> stronger in Indonesia than </w:t>
      </w:r>
      <w:r w:rsidR="00EB4B2E">
        <w:rPr>
          <w:rFonts w:cs="Times New Roman"/>
          <w:szCs w:val="24"/>
        </w:rPr>
        <w:t xml:space="preserve">in the </w:t>
      </w:r>
      <w:r w:rsidR="003F3E2D" w:rsidRPr="008470E2">
        <w:rPr>
          <w:rFonts w:cs="Times New Roman"/>
          <w:szCs w:val="24"/>
        </w:rPr>
        <w:t>UK. Thus any decision of Sainsbury that does not involve the benefit of the whole community may not be effective for Indonesians. As a nation</w:t>
      </w:r>
      <w:r w:rsidR="00EB4B2E">
        <w:rPr>
          <w:rFonts w:cs="Times New Roman"/>
          <w:szCs w:val="24"/>
        </w:rPr>
        <w:t>,</w:t>
      </w:r>
      <w:r w:rsidR="003F3E2D" w:rsidRPr="008470E2">
        <w:rPr>
          <w:rFonts w:cs="Times New Roman"/>
          <w:szCs w:val="24"/>
        </w:rPr>
        <w:t xml:space="preserve"> Indonesians have seen </w:t>
      </w:r>
      <w:r w:rsidR="00EB4B2E">
        <w:rPr>
          <w:rFonts w:cs="Times New Roman"/>
          <w:szCs w:val="24"/>
        </w:rPr>
        <w:t>several</w:t>
      </w:r>
      <w:r w:rsidR="003F3E2D" w:rsidRPr="008470E2">
        <w:rPr>
          <w:rFonts w:cs="Times New Roman"/>
          <w:szCs w:val="24"/>
        </w:rPr>
        <w:t xml:space="preserve"> social disturbances su</w:t>
      </w:r>
      <w:r w:rsidR="00ED388D" w:rsidRPr="008470E2">
        <w:rPr>
          <w:rFonts w:cs="Times New Roman"/>
          <w:szCs w:val="24"/>
        </w:rPr>
        <w:t xml:space="preserve">ch as riots and protests for better civil liberties and rights, </w:t>
      </w:r>
      <w:r w:rsidR="003F3E2D" w:rsidRPr="008470E2">
        <w:rPr>
          <w:rFonts w:cs="Times New Roman"/>
          <w:szCs w:val="24"/>
        </w:rPr>
        <w:t xml:space="preserve">unlike </w:t>
      </w:r>
      <w:r w:rsidR="00EB4B2E">
        <w:rPr>
          <w:rFonts w:cs="Times New Roman"/>
          <w:szCs w:val="24"/>
        </w:rPr>
        <w:t xml:space="preserve">the </w:t>
      </w:r>
      <w:r w:rsidR="003F3E2D" w:rsidRPr="008470E2">
        <w:rPr>
          <w:rFonts w:cs="Times New Roman"/>
          <w:szCs w:val="24"/>
        </w:rPr>
        <w:t>UK</w:t>
      </w:r>
      <w:r w:rsidR="00ED388D" w:rsidRPr="008470E2">
        <w:rPr>
          <w:rFonts w:cs="Times New Roman"/>
          <w:szCs w:val="24"/>
        </w:rPr>
        <w:t xml:space="preserve"> which is generally peaceful</w:t>
      </w:r>
      <w:r w:rsidR="00FF6889" w:rsidRPr="008470E2">
        <w:rPr>
          <w:rFonts w:cs="Times New Roman"/>
          <w:szCs w:val="24"/>
        </w:rPr>
        <w:t xml:space="preserve"> (Human Rights Watch, 2022)</w:t>
      </w:r>
      <w:r w:rsidR="00ED388D" w:rsidRPr="008470E2">
        <w:rPr>
          <w:rFonts w:cs="Times New Roman"/>
          <w:szCs w:val="24"/>
        </w:rPr>
        <w:t>. Indonesians thus don’t look for short term pragmatic solutions and neither they</w:t>
      </w:r>
      <w:r w:rsidR="00F722BB" w:rsidRPr="008470E2">
        <w:rPr>
          <w:rFonts w:cs="Times New Roman"/>
          <w:szCs w:val="24"/>
        </w:rPr>
        <w:t xml:space="preserve"> </w:t>
      </w:r>
      <w:r w:rsidR="00ED388D" w:rsidRPr="008470E2">
        <w:rPr>
          <w:rFonts w:cs="Times New Roman"/>
          <w:szCs w:val="24"/>
        </w:rPr>
        <w:t xml:space="preserve">seem to avoid confrontation with civil injustice. Thus Sainsbury needs to tread very carefully on matters related to civil </w:t>
      </w:r>
      <w:r w:rsidR="00EB4B2E">
        <w:rPr>
          <w:rFonts w:cs="Times New Roman"/>
          <w:szCs w:val="24"/>
        </w:rPr>
        <w:t>rights</w:t>
      </w:r>
      <w:r w:rsidR="00ED388D" w:rsidRPr="008470E2">
        <w:rPr>
          <w:rFonts w:cs="Times New Roman"/>
          <w:szCs w:val="24"/>
        </w:rPr>
        <w:t xml:space="preserve"> and responsibilities.</w:t>
      </w:r>
    </w:p>
    <w:p w14:paraId="00F52AD8" w14:textId="0AA89746" w:rsidR="003A7E40" w:rsidRPr="008470E2" w:rsidRDefault="00F7362A" w:rsidP="005630E6">
      <w:pPr>
        <w:pStyle w:val="Heading3"/>
        <w:spacing w:line="360" w:lineRule="auto"/>
        <w:rPr>
          <w:rFonts w:cs="Times New Roman"/>
        </w:rPr>
      </w:pPr>
      <w:bookmarkStart w:id="9" w:name="_Toc102433491"/>
      <w:r w:rsidRPr="008470E2">
        <w:rPr>
          <w:rStyle w:val="Heading3Char"/>
          <w:rFonts w:cs="Times New Roman"/>
          <w:b/>
        </w:rPr>
        <w:lastRenderedPageBreak/>
        <w:t xml:space="preserve">2.1.4 </w:t>
      </w:r>
      <w:r w:rsidR="003A7E40" w:rsidRPr="008470E2">
        <w:rPr>
          <w:rFonts w:cs="Times New Roman"/>
        </w:rPr>
        <w:t>Managing people in the international business environment</w:t>
      </w:r>
      <w:bookmarkEnd w:id="9"/>
    </w:p>
    <w:p w14:paraId="00C00A43" w14:textId="77777777" w:rsidR="00ED388D" w:rsidRPr="008470E2" w:rsidRDefault="00ED388D" w:rsidP="005630E6">
      <w:pPr>
        <w:spacing w:line="360" w:lineRule="auto"/>
        <w:rPr>
          <w:rFonts w:cs="Times New Roman"/>
          <w:szCs w:val="24"/>
        </w:rPr>
      </w:pPr>
    </w:p>
    <w:p w14:paraId="439025D3" w14:textId="39243A71" w:rsidR="005A5764" w:rsidRPr="008470E2" w:rsidRDefault="00ED388D" w:rsidP="005630E6">
      <w:pPr>
        <w:spacing w:line="360" w:lineRule="auto"/>
        <w:rPr>
          <w:rFonts w:cs="Times New Roman"/>
          <w:szCs w:val="24"/>
        </w:rPr>
      </w:pPr>
      <w:r w:rsidRPr="008470E2">
        <w:rPr>
          <w:rFonts w:cs="Times New Roman"/>
          <w:szCs w:val="24"/>
        </w:rPr>
        <w:t xml:space="preserve">Sometimes offices and operational units which are geographically located in a different time </w:t>
      </w:r>
      <w:r w:rsidR="00F47E5F" w:rsidRPr="008470E2">
        <w:rPr>
          <w:rFonts w:cs="Times New Roman"/>
          <w:szCs w:val="24"/>
        </w:rPr>
        <w:t xml:space="preserve">zone </w:t>
      </w:r>
      <w:r w:rsidRPr="008470E2">
        <w:rPr>
          <w:rFonts w:cs="Times New Roman"/>
          <w:szCs w:val="24"/>
        </w:rPr>
        <w:t xml:space="preserve">and </w:t>
      </w:r>
      <w:r w:rsidR="00F47E5F" w:rsidRPr="008470E2">
        <w:rPr>
          <w:rFonts w:cs="Times New Roman"/>
          <w:szCs w:val="24"/>
        </w:rPr>
        <w:t xml:space="preserve">separated by </w:t>
      </w:r>
      <w:r w:rsidR="00EB4B2E">
        <w:rPr>
          <w:rFonts w:cs="Times New Roman"/>
          <w:szCs w:val="24"/>
        </w:rPr>
        <w:t>cultural</w:t>
      </w:r>
      <w:r w:rsidRPr="008470E2">
        <w:rPr>
          <w:rFonts w:cs="Times New Roman"/>
          <w:szCs w:val="24"/>
        </w:rPr>
        <w:t xml:space="preserve"> </w:t>
      </w:r>
      <w:r w:rsidR="00F47E5F" w:rsidRPr="008470E2">
        <w:rPr>
          <w:rFonts w:cs="Times New Roman"/>
          <w:szCs w:val="24"/>
        </w:rPr>
        <w:t xml:space="preserve">differences can face difficulties in 3 main areas, which are communication, workplace etiquette and organizational hierarchy. The main hurdles to communication </w:t>
      </w:r>
      <w:r w:rsidR="00540DDE" w:rsidRPr="008470E2">
        <w:rPr>
          <w:rFonts w:cs="Times New Roman"/>
          <w:szCs w:val="24"/>
        </w:rPr>
        <w:t xml:space="preserve">Sainsbury will likely face with operations management in Indonesia </w:t>
      </w:r>
      <w:r w:rsidR="00EB4B2E">
        <w:rPr>
          <w:rFonts w:cs="Times New Roman"/>
          <w:szCs w:val="24"/>
        </w:rPr>
        <w:t>are</w:t>
      </w:r>
      <w:r w:rsidR="00540DDE" w:rsidRPr="008470E2">
        <w:rPr>
          <w:rFonts w:cs="Times New Roman"/>
          <w:szCs w:val="24"/>
        </w:rPr>
        <w:t xml:space="preserve"> not only bound by language impairment. Thus translators or managers efficient in both English and </w:t>
      </w:r>
      <w:r w:rsidR="00EB4B2E">
        <w:rPr>
          <w:rFonts w:cs="Times New Roman"/>
          <w:szCs w:val="24"/>
        </w:rPr>
        <w:t xml:space="preserve">the </w:t>
      </w:r>
      <w:r w:rsidR="00540DDE" w:rsidRPr="008470E2">
        <w:rPr>
          <w:rFonts w:cs="Times New Roman"/>
          <w:szCs w:val="24"/>
        </w:rPr>
        <w:t xml:space="preserve">local language can facilitate the process, but the flow of information and the intent of the message can change drastically while being communicated. Apart from limitations posed by </w:t>
      </w:r>
      <w:r w:rsidR="00EB4B2E">
        <w:rPr>
          <w:rFonts w:cs="Times New Roman"/>
          <w:szCs w:val="24"/>
        </w:rPr>
        <w:t xml:space="preserve">the </w:t>
      </w:r>
      <w:r w:rsidR="00540DDE" w:rsidRPr="008470E2">
        <w:rPr>
          <w:rFonts w:cs="Times New Roman"/>
          <w:szCs w:val="24"/>
        </w:rPr>
        <w:t xml:space="preserve">use of different languages, both cultures have different attitudes and </w:t>
      </w:r>
      <w:r w:rsidR="00EB4B2E">
        <w:rPr>
          <w:rFonts w:cs="Times New Roman"/>
          <w:szCs w:val="24"/>
        </w:rPr>
        <w:t>reactions</w:t>
      </w:r>
      <w:r w:rsidR="00540DDE" w:rsidRPr="008470E2">
        <w:rPr>
          <w:rFonts w:cs="Times New Roman"/>
          <w:szCs w:val="24"/>
        </w:rPr>
        <w:t xml:space="preserve"> to the way communication is facilitated. For example, the less power distance between employer and employee in Indonesia takes the form of </w:t>
      </w:r>
      <w:r w:rsidR="00EB4B2E">
        <w:rPr>
          <w:rFonts w:cs="Times New Roman"/>
          <w:szCs w:val="24"/>
        </w:rPr>
        <w:t xml:space="preserve">a </w:t>
      </w:r>
      <w:r w:rsidR="00540DDE" w:rsidRPr="008470E2">
        <w:rPr>
          <w:rFonts w:cs="Times New Roman"/>
          <w:szCs w:val="24"/>
        </w:rPr>
        <w:t xml:space="preserve">less formal way of communication, while n </w:t>
      </w:r>
      <w:r w:rsidR="00EB4B2E">
        <w:rPr>
          <w:rFonts w:cs="Times New Roman"/>
          <w:szCs w:val="24"/>
        </w:rPr>
        <w:t xml:space="preserve">the </w:t>
      </w:r>
      <w:r w:rsidR="00540DDE" w:rsidRPr="008470E2">
        <w:rPr>
          <w:rFonts w:cs="Times New Roman"/>
          <w:szCs w:val="24"/>
        </w:rPr>
        <w:t xml:space="preserve">case of </w:t>
      </w:r>
      <w:r w:rsidR="00EB4B2E">
        <w:rPr>
          <w:rFonts w:cs="Times New Roman"/>
          <w:szCs w:val="24"/>
        </w:rPr>
        <w:t xml:space="preserve">the </w:t>
      </w:r>
      <w:r w:rsidR="00540DDE" w:rsidRPr="008470E2">
        <w:rPr>
          <w:rFonts w:cs="Times New Roman"/>
          <w:szCs w:val="24"/>
        </w:rPr>
        <w:t>UK it is very formal and direct</w:t>
      </w:r>
      <w:r w:rsidR="00FF53F4">
        <w:rPr>
          <w:rFonts w:cs="Times New Roman"/>
          <w:szCs w:val="24"/>
        </w:rPr>
        <w:t xml:space="preserve"> (</w:t>
      </w:r>
      <w:r w:rsidR="00FF53F4" w:rsidRPr="00FF53F4">
        <w:rPr>
          <w:rFonts w:cs="Times New Roman"/>
          <w:szCs w:val="24"/>
        </w:rPr>
        <w:t>Cappelli, 2020</w:t>
      </w:r>
      <w:r w:rsidR="00FF53F4">
        <w:rPr>
          <w:rFonts w:cs="Times New Roman"/>
          <w:szCs w:val="24"/>
        </w:rPr>
        <w:t>)</w:t>
      </w:r>
      <w:r w:rsidR="00540DDE" w:rsidRPr="008470E2">
        <w:rPr>
          <w:rFonts w:cs="Times New Roman"/>
          <w:szCs w:val="24"/>
        </w:rPr>
        <w:t xml:space="preserve">. Apart from communication, few workplace etiquettes can come as a cultural shock for managers accustomed to UK cultural ways while working, in Indonesia. A simple example such as using the left hand for </w:t>
      </w:r>
      <w:r w:rsidR="001C7F62" w:rsidRPr="008470E2">
        <w:rPr>
          <w:rFonts w:cs="Times New Roman"/>
          <w:szCs w:val="24"/>
        </w:rPr>
        <w:t>passing</w:t>
      </w:r>
      <w:r w:rsidR="00540DDE" w:rsidRPr="008470E2">
        <w:rPr>
          <w:rFonts w:cs="Times New Roman"/>
          <w:szCs w:val="24"/>
        </w:rPr>
        <w:t xml:space="preserve"> anything </w:t>
      </w:r>
      <w:r w:rsidR="001C7F62" w:rsidRPr="008470E2">
        <w:rPr>
          <w:rFonts w:cs="Times New Roman"/>
          <w:szCs w:val="24"/>
        </w:rPr>
        <w:t xml:space="preserve">to an individual </w:t>
      </w:r>
      <w:r w:rsidR="00540DDE" w:rsidRPr="008470E2">
        <w:rPr>
          <w:rFonts w:cs="Times New Roman"/>
          <w:szCs w:val="24"/>
        </w:rPr>
        <w:t xml:space="preserve">in Indonesia is </w:t>
      </w:r>
      <w:r w:rsidR="001C7F62" w:rsidRPr="008470E2">
        <w:rPr>
          <w:rFonts w:cs="Times New Roman"/>
          <w:szCs w:val="24"/>
        </w:rPr>
        <w:t xml:space="preserve">culturally offensive and disrespectful, while it is not so in the UK. Without cultural sensitization, if actions like this go on unchecked and unchanged, then it can cause friction between Sainbury’s </w:t>
      </w:r>
      <w:r w:rsidR="00EB4B2E">
        <w:rPr>
          <w:rFonts w:cs="Times New Roman"/>
          <w:szCs w:val="24"/>
        </w:rPr>
        <w:t xml:space="preserve">the </w:t>
      </w:r>
      <w:r w:rsidR="001C7F62" w:rsidRPr="008470E2">
        <w:rPr>
          <w:rFonts w:cs="Times New Roman"/>
          <w:szCs w:val="24"/>
        </w:rPr>
        <w:t xml:space="preserve">UK and Indonesian counterparts working together in the country. The cultural differences pointed out in the previous section also calls for the establishment of different organisational hierarchy. This in turn changes the </w:t>
      </w:r>
      <w:r w:rsidR="00C224DD" w:rsidRPr="008470E2">
        <w:rPr>
          <w:rFonts w:cs="Times New Roman"/>
          <w:szCs w:val="24"/>
        </w:rPr>
        <w:t>power distribution</w:t>
      </w:r>
      <w:r w:rsidR="001C7F62" w:rsidRPr="008470E2">
        <w:rPr>
          <w:rFonts w:cs="Times New Roman"/>
          <w:szCs w:val="24"/>
        </w:rPr>
        <w:t xml:space="preserve"> in the organisational hierarchy of two units operating out of 2 different countries. For example, Sainsbury can have 4 </w:t>
      </w:r>
      <w:r w:rsidR="00C224DD" w:rsidRPr="008470E2">
        <w:rPr>
          <w:rFonts w:cs="Times New Roman"/>
          <w:szCs w:val="24"/>
        </w:rPr>
        <w:t xml:space="preserve">different </w:t>
      </w:r>
      <w:r w:rsidR="00EB4B2E">
        <w:rPr>
          <w:rFonts w:cs="Times New Roman"/>
          <w:szCs w:val="24"/>
        </w:rPr>
        <w:t>middle-level</w:t>
      </w:r>
      <w:r w:rsidR="001C7F62" w:rsidRPr="008470E2">
        <w:rPr>
          <w:rFonts w:cs="Times New Roman"/>
          <w:szCs w:val="24"/>
        </w:rPr>
        <w:t xml:space="preserve"> managers </w:t>
      </w:r>
      <w:r w:rsidR="00C224DD" w:rsidRPr="008470E2">
        <w:rPr>
          <w:rFonts w:cs="Times New Roman"/>
          <w:szCs w:val="24"/>
        </w:rPr>
        <w:t xml:space="preserve">in </w:t>
      </w:r>
      <w:r w:rsidR="00EB4B2E">
        <w:rPr>
          <w:rFonts w:cs="Times New Roman"/>
          <w:szCs w:val="24"/>
        </w:rPr>
        <w:t xml:space="preserve">the </w:t>
      </w:r>
      <w:r w:rsidR="00C224DD" w:rsidRPr="008470E2">
        <w:rPr>
          <w:rFonts w:cs="Times New Roman"/>
          <w:szCs w:val="24"/>
        </w:rPr>
        <w:t xml:space="preserve">same operations </w:t>
      </w:r>
      <w:r w:rsidR="001C7F62" w:rsidRPr="008470E2">
        <w:rPr>
          <w:rFonts w:cs="Times New Roman"/>
          <w:szCs w:val="24"/>
        </w:rPr>
        <w:t xml:space="preserve">with </w:t>
      </w:r>
      <w:r w:rsidR="00C224DD" w:rsidRPr="008470E2">
        <w:rPr>
          <w:rFonts w:cs="Times New Roman"/>
          <w:szCs w:val="24"/>
        </w:rPr>
        <w:t xml:space="preserve">the </w:t>
      </w:r>
      <w:r w:rsidR="00F722BB" w:rsidRPr="008470E2">
        <w:rPr>
          <w:rFonts w:cs="Times New Roman"/>
          <w:szCs w:val="24"/>
        </w:rPr>
        <w:t>same</w:t>
      </w:r>
      <w:r w:rsidR="00C224DD" w:rsidRPr="008470E2">
        <w:rPr>
          <w:rFonts w:cs="Times New Roman"/>
          <w:szCs w:val="24"/>
        </w:rPr>
        <w:t xml:space="preserve"> power vested in them</w:t>
      </w:r>
      <w:r w:rsidR="001C7F62" w:rsidRPr="008470E2">
        <w:rPr>
          <w:rFonts w:cs="Times New Roman"/>
          <w:szCs w:val="24"/>
        </w:rPr>
        <w:t xml:space="preserve">, while </w:t>
      </w:r>
      <w:r w:rsidR="00C224DD" w:rsidRPr="008470E2">
        <w:rPr>
          <w:rFonts w:cs="Times New Roman"/>
          <w:szCs w:val="24"/>
        </w:rPr>
        <w:t>the numbers</w:t>
      </w:r>
      <w:r w:rsidR="00EB4B2E">
        <w:rPr>
          <w:rFonts w:cs="Times New Roman"/>
          <w:szCs w:val="24"/>
        </w:rPr>
        <w:t>, as well as the power vested,</w:t>
      </w:r>
      <w:r w:rsidR="00C224DD" w:rsidRPr="008470E2">
        <w:rPr>
          <w:rFonts w:cs="Times New Roman"/>
          <w:szCs w:val="24"/>
        </w:rPr>
        <w:t xml:space="preserve"> can be </w:t>
      </w:r>
      <w:r w:rsidR="00F722BB" w:rsidRPr="008470E2">
        <w:rPr>
          <w:rFonts w:cs="Times New Roman"/>
          <w:szCs w:val="24"/>
        </w:rPr>
        <w:t>more or less</w:t>
      </w:r>
      <w:r w:rsidR="00C224DD" w:rsidRPr="008470E2">
        <w:rPr>
          <w:rFonts w:cs="Times New Roman"/>
          <w:szCs w:val="24"/>
        </w:rPr>
        <w:t xml:space="preserve"> in Indonesia. This differenc</w:t>
      </w:r>
      <w:r w:rsidR="00EB4B2E">
        <w:rPr>
          <w:rFonts w:cs="Times New Roman"/>
          <w:szCs w:val="24"/>
        </w:rPr>
        <w:t xml:space="preserve">e in invested </w:t>
      </w:r>
      <w:r w:rsidR="00EB4B2E" w:rsidRPr="008470E2">
        <w:rPr>
          <w:rFonts w:cs="Times New Roman"/>
          <w:szCs w:val="24"/>
        </w:rPr>
        <w:t>power</w:t>
      </w:r>
      <w:r w:rsidR="00C224DD" w:rsidRPr="008470E2">
        <w:rPr>
          <w:rFonts w:cs="Times New Roman"/>
          <w:szCs w:val="24"/>
        </w:rPr>
        <w:t xml:space="preserve"> in managers for the same operational level in 2 different countries can hinder the exchange of </w:t>
      </w:r>
      <w:r w:rsidR="00F722BB" w:rsidRPr="008470E2">
        <w:rPr>
          <w:rFonts w:cs="Times New Roman"/>
          <w:szCs w:val="24"/>
        </w:rPr>
        <w:t>information</w:t>
      </w:r>
      <w:r w:rsidR="00C224DD" w:rsidRPr="008470E2">
        <w:rPr>
          <w:rFonts w:cs="Times New Roman"/>
          <w:szCs w:val="24"/>
        </w:rPr>
        <w:t xml:space="preserve"> due to </w:t>
      </w:r>
      <w:r w:rsidR="00F722BB" w:rsidRPr="008470E2">
        <w:rPr>
          <w:rFonts w:cs="Times New Roman"/>
          <w:szCs w:val="24"/>
        </w:rPr>
        <w:t>the changed status level in authority.</w:t>
      </w:r>
    </w:p>
    <w:p w14:paraId="26712A22" w14:textId="77777777" w:rsidR="00ED388D" w:rsidRPr="008470E2" w:rsidRDefault="00ED388D" w:rsidP="005630E6">
      <w:pPr>
        <w:spacing w:line="360" w:lineRule="auto"/>
        <w:rPr>
          <w:rFonts w:cs="Times New Roman"/>
          <w:szCs w:val="24"/>
        </w:rPr>
      </w:pPr>
    </w:p>
    <w:p w14:paraId="0C07F81B" w14:textId="3C165678" w:rsidR="005A5764" w:rsidRPr="008470E2" w:rsidRDefault="00F7362A" w:rsidP="005630E6">
      <w:pPr>
        <w:pStyle w:val="Heading3"/>
        <w:spacing w:line="360" w:lineRule="auto"/>
        <w:rPr>
          <w:rFonts w:cs="Times New Roman"/>
        </w:rPr>
      </w:pPr>
      <w:bookmarkStart w:id="10" w:name="_Toc102433492"/>
      <w:r w:rsidRPr="008470E2">
        <w:rPr>
          <w:rFonts w:cs="Times New Roman"/>
        </w:rPr>
        <w:t xml:space="preserve">2.1.5 </w:t>
      </w:r>
      <w:r w:rsidR="005A5764" w:rsidRPr="008470E2">
        <w:rPr>
          <w:rFonts w:cs="Times New Roman"/>
        </w:rPr>
        <w:t>Managing cross-cultural negotiation and conflict</w:t>
      </w:r>
      <w:bookmarkEnd w:id="10"/>
    </w:p>
    <w:p w14:paraId="400016BB" w14:textId="5E74D54E" w:rsidR="007971F1" w:rsidRPr="008470E2" w:rsidRDefault="007971F1" w:rsidP="005630E6">
      <w:pPr>
        <w:spacing w:line="360" w:lineRule="auto"/>
        <w:rPr>
          <w:rFonts w:cs="Times New Roman"/>
          <w:szCs w:val="24"/>
        </w:rPr>
      </w:pPr>
    </w:p>
    <w:p w14:paraId="27CAD931" w14:textId="0D5B24B3" w:rsidR="00F722BB" w:rsidRPr="008470E2" w:rsidRDefault="00EB4B2E" w:rsidP="005630E6">
      <w:pPr>
        <w:spacing w:line="360" w:lineRule="auto"/>
        <w:rPr>
          <w:rFonts w:cs="Times New Roman"/>
          <w:szCs w:val="24"/>
        </w:rPr>
      </w:pPr>
      <w:r>
        <w:rPr>
          <w:rFonts w:cs="Times New Roman"/>
          <w:szCs w:val="24"/>
        </w:rPr>
        <w:t>Interactions</w:t>
      </w:r>
      <w:r w:rsidR="007971F1" w:rsidRPr="008470E2">
        <w:rPr>
          <w:rFonts w:cs="Times New Roman"/>
          <w:szCs w:val="24"/>
        </w:rPr>
        <w:t xml:space="preserve"> between two culturally different entities are bound to cause conflict. For this reason</w:t>
      </w:r>
      <w:r>
        <w:rPr>
          <w:rFonts w:cs="Times New Roman"/>
          <w:szCs w:val="24"/>
        </w:rPr>
        <w:t>,</w:t>
      </w:r>
      <w:r w:rsidR="007971F1" w:rsidRPr="008470E2">
        <w:rPr>
          <w:rFonts w:cs="Times New Roman"/>
          <w:szCs w:val="24"/>
        </w:rPr>
        <w:t xml:space="preserve"> the process of conflict resolution </w:t>
      </w:r>
      <w:r w:rsidR="00E67D8B" w:rsidRPr="008470E2">
        <w:rPr>
          <w:rFonts w:cs="Times New Roman"/>
          <w:szCs w:val="24"/>
        </w:rPr>
        <w:t xml:space="preserve">for Sainsbury </w:t>
      </w:r>
      <w:r w:rsidR="007971F1" w:rsidRPr="008470E2">
        <w:rPr>
          <w:rFonts w:cs="Times New Roman"/>
          <w:szCs w:val="24"/>
        </w:rPr>
        <w:t>through subsequent negotiation is also dependent upon the cultural practices</w:t>
      </w:r>
      <w:r w:rsidR="00E67D8B" w:rsidRPr="008470E2">
        <w:rPr>
          <w:rFonts w:cs="Times New Roman"/>
          <w:szCs w:val="24"/>
        </w:rPr>
        <w:t xml:space="preserve"> of Indonesia</w:t>
      </w:r>
      <w:r w:rsidR="007971F1" w:rsidRPr="008470E2">
        <w:rPr>
          <w:rFonts w:cs="Times New Roman"/>
          <w:szCs w:val="24"/>
        </w:rPr>
        <w:t xml:space="preserve">. </w:t>
      </w:r>
      <w:r w:rsidR="003867B9" w:rsidRPr="008470E2">
        <w:rPr>
          <w:rFonts w:cs="Times New Roman"/>
          <w:szCs w:val="24"/>
        </w:rPr>
        <w:t xml:space="preserve">The business environment in </w:t>
      </w:r>
      <w:r>
        <w:rPr>
          <w:rFonts w:cs="Times New Roman"/>
          <w:szCs w:val="24"/>
        </w:rPr>
        <w:t xml:space="preserve">the </w:t>
      </w:r>
      <w:r w:rsidR="003867B9" w:rsidRPr="008470E2">
        <w:rPr>
          <w:rFonts w:cs="Times New Roman"/>
          <w:szCs w:val="24"/>
        </w:rPr>
        <w:t xml:space="preserve">UK is </w:t>
      </w:r>
      <w:r w:rsidR="003867B9" w:rsidRPr="008470E2">
        <w:rPr>
          <w:rFonts w:cs="Times New Roman"/>
          <w:szCs w:val="24"/>
        </w:rPr>
        <w:lastRenderedPageBreak/>
        <w:t xml:space="preserve">more layered and structured compared to Indonesia. This kind of relationship between entities </w:t>
      </w:r>
      <w:r>
        <w:rPr>
          <w:rFonts w:cs="Times New Roman"/>
          <w:szCs w:val="24"/>
        </w:rPr>
        <w:t>is</w:t>
      </w:r>
      <w:r w:rsidR="003867B9" w:rsidRPr="008470E2">
        <w:rPr>
          <w:rFonts w:cs="Times New Roman"/>
          <w:szCs w:val="24"/>
        </w:rPr>
        <w:t xml:space="preserve"> bound by </w:t>
      </w:r>
      <w:r>
        <w:rPr>
          <w:rFonts w:cs="Times New Roman"/>
          <w:szCs w:val="24"/>
        </w:rPr>
        <w:t xml:space="preserve">a </w:t>
      </w:r>
      <w:r w:rsidR="003867B9" w:rsidRPr="008470E2">
        <w:rPr>
          <w:rFonts w:cs="Times New Roman"/>
          <w:szCs w:val="24"/>
        </w:rPr>
        <w:t>legally enforceable undertaking</w:t>
      </w:r>
      <w:r w:rsidR="00E67D8B" w:rsidRPr="008470E2">
        <w:rPr>
          <w:rFonts w:cs="Times New Roman"/>
          <w:szCs w:val="24"/>
        </w:rPr>
        <w:t xml:space="preserve"> where dispute and conflict resolution </w:t>
      </w:r>
      <w:r>
        <w:rPr>
          <w:rFonts w:cs="Times New Roman"/>
          <w:szCs w:val="24"/>
        </w:rPr>
        <w:t>are</w:t>
      </w:r>
      <w:r w:rsidR="00E67D8B" w:rsidRPr="008470E2">
        <w:rPr>
          <w:rFonts w:cs="Times New Roman"/>
          <w:szCs w:val="24"/>
        </w:rPr>
        <w:t xml:space="preserve"> settled through </w:t>
      </w:r>
      <w:r w:rsidR="003867B9" w:rsidRPr="008470E2">
        <w:rPr>
          <w:rFonts w:cs="Times New Roman"/>
          <w:szCs w:val="24"/>
        </w:rPr>
        <w:t>lawsuit</w:t>
      </w:r>
      <w:r w:rsidR="00E67D8B" w:rsidRPr="008470E2">
        <w:rPr>
          <w:rFonts w:cs="Times New Roman"/>
          <w:szCs w:val="24"/>
        </w:rPr>
        <w:t>s</w:t>
      </w:r>
      <w:r w:rsidR="003867B9" w:rsidRPr="008470E2">
        <w:rPr>
          <w:rFonts w:cs="Times New Roman"/>
          <w:szCs w:val="24"/>
        </w:rPr>
        <w:t xml:space="preserve">. </w:t>
      </w:r>
      <w:r w:rsidR="00E67D8B" w:rsidRPr="008470E2">
        <w:rPr>
          <w:rFonts w:cs="Times New Roman"/>
          <w:szCs w:val="24"/>
        </w:rPr>
        <w:t>I</w:t>
      </w:r>
      <w:r w:rsidR="003867B9" w:rsidRPr="008470E2">
        <w:rPr>
          <w:rFonts w:cs="Times New Roman"/>
          <w:szCs w:val="24"/>
        </w:rPr>
        <w:t xml:space="preserve">n </w:t>
      </w:r>
      <w:r>
        <w:rPr>
          <w:rFonts w:cs="Times New Roman"/>
          <w:szCs w:val="24"/>
        </w:rPr>
        <w:t xml:space="preserve">the </w:t>
      </w:r>
      <w:r w:rsidR="003867B9" w:rsidRPr="008470E2">
        <w:rPr>
          <w:rFonts w:cs="Times New Roman"/>
          <w:szCs w:val="24"/>
        </w:rPr>
        <w:t>case of Indonesia</w:t>
      </w:r>
      <w:r>
        <w:rPr>
          <w:rFonts w:cs="Times New Roman"/>
          <w:szCs w:val="24"/>
        </w:rPr>
        <w:t>,</w:t>
      </w:r>
      <w:r w:rsidR="003867B9" w:rsidRPr="008470E2">
        <w:rPr>
          <w:rFonts w:cs="Times New Roman"/>
          <w:szCs w:val="24"/>
        </w:rPr>
        <w:t xml:space="preserve"> the road to conflict resolution </w:t>
      </w:r>
      <w:r w:rsidR="00E67D8B" w:rsidRPr="008470E2">
        <w:rPr>
          <w:rFonts w:cs="Times New Roman"/>
          <w:szCs w:val="24"/>
        </w:rPr>
        <w:t xml:space="preserve">for business houses </w:t>
      </w:r>
      <w:r w:rsidR="003867B9" w:rsidRPr="008470E2">
        <w:rPr>
          <w:rFonts w:cs="Times New Roman"/>
          <w:szCs w:val="24"/>
        </w:rPr>
        <w:t xml:space="preserve">is </w:t>
      </w:r>
      <w:r w:rsidR="00E67D8B" w:rsidRPr="008470E2">
        <w:rPr>
          <w:rFonts w:cs="Times New Roman"/>
          <w:szCs w:val="24"/>
        </w:rPr>
        <w:t>less recourse towards litigations and more towards mediation</w:t>
      </w:r>
      <w:r w:rsidR="00FF6889" w:rsidRPr="008470E2">
        <w:rPr>
          <w:rFonts w:cs="Times New Roman"/>
          <w:szCs w:val="24"/>
        </w:rPr>
        <w:t xml:space="preserve"> (Linklaters, 2022)</w:t>
      </w:r>
      <w:r w:rsidR="00E67D8B" w:rsidRPr="008470E2">
        <w:rPr>
          <w:rFonts w:cs="Times New Roman"/>
          <w:szCs w:val="24"/>
        </w:rPr>
        <w:t xml:space="preserve">. </w:t>
      </w:r>
      <w:r>
        <w:rPr>
          <w:rFonts w:cs="Times New Roman"/>
          <w:szCs w:val="24"/>
        </w:rPr>
        <w:t>This</w:t>
      </w:r>
      <w:r w:rsidR="00E67D8B" w:rsidRPr="008470E2">
        <w:rPr>
          <w:rFonts w:cs="Times New Roman"/>
          <w:szCs w:val="24"/>
        </w:rPr>
        <w:t xml:space="preserve"> Sainsbury</w:t>
      </w:r>
      <w:r w:rsidR="003D1F72" w:rsidRPr="008470E2">
        <w:rPr>
          <w:rFonts w:cs="Times New Roman"/>
          <w:szCs w:val="24"/>
        </w:rPr>
        <w:t>’s</w:t>
      </w:r>
      <w:r w:rsidR="00E67D8B" w:rsidRPr="008470E2">
        <w:rPr>
          <w:rFonts w:cs="Times New Roman"/>
          <w:szCs w:val="24"/>
        </w:rPr>
        <w:t xml:space="preserve"> approach </w:t>
      </w:r>
      <w:r>
        <w:rPr>
          <w:rFonts w:cs="Times New Roman"/>
          <w:szCs w:val="24"/>
        </w:rPr>
        <w:t>toward</w:t>
      </w:r>
      <w:r w:rsidR="00E67D8B" w:rsidRPr="008470E2">
        <w:rPr>
          <w:rFonts w:cs="Times New Roman"/>
          <w:szCs w:val="24"/>
        </w:rPr>
        <w:t xml:space="preserve"> conflict resolution with local business enterprises or stakeholders or employees </w:t>
      </w:r>
      <w:r w:rsidR="009671B6" w:rsidRPr="008470E2">
        <w:rPr>
          <w:rFonts w:cs="Times New Roman"/>
          <w:szCs w:val="24"/>
        </w:rPr>
        <w:t xml:space="preserve">depends upon the mode of resolution chosen. On </w:t>
      </w:r>
      <w:r>
        <w:rPr>
          <w:rFonts w:cs="Times New Roman"/>
          <w:szCs w:val="24"/>
        </w:rPr>
        <w:t xml:space="preserve">the </w:t>
      </w:r>
      <w:r w:rsidR="009671B6" w:rsidRPr="008470E2">
        <w:rPr>
          <w:rFonts w:cs="Times New Roman"/>
          <w:szCs w:val="24"/>
        </w:rPr>
        <w:t>one hand</w:t>
      </w:r>
      <w:r>
        <w:rPr>
          <w:rFonts w:cs="Times New Roman"/>
          <w:szCs w:val="24"/>
        </w:rPr>
        <w:t>,</w:t>
      </w:r>
      <w:r w:rsidR="009671B6" w:rsidRPr="008470E2">
        <w:rPr>
          <w:rFonts w:cs="Times New Roman"/>
          <w:szCs w:val="24"/>
        </w:rPr>
        <w:t xml:space="preserve"> mediation can aid Sainsbury </w:t>
      </w:r>
      <w:r>
        <w:rPr>
          <w:rFonts w:cs="Times New Roman"/>
          <w:szCs w:val="24"/>
        </w:rPr>
        <w:t xml:space="preserve">to </w:t>
      </w:r>
      <w:r w:rsidR="009671B6" w:rsidRPr="008470E2">
        <w:rPr>
          <w:rFonts w:cs="Times New Roman"/>
          <w:szCs w:val="24"/>
        </w:rPr>
        <w:t xml:space="preserve">establish </w:t>
      </w:r>
      <w:r>
        <w:rPr>
          <w:rFonts w:cs="Times New Roman"/>
          <w:szCs w:val="24"/>
        </w:rPr>
        <w:t xml:space="preserve">a </w:t>
      </w:r>
      <w:r w:rsidR="009671B6" w:rsidRPr="008470E2">
        <w:rPr>
          <w:rFonts w:cs="Times New Roman"/>
          <w:szCs w:val="24"/>
        </w:rPr>
        <w:t>cordial relationship with Indonesians</w:t>
      </w:r>
      <w:r w:rsidR="003D1F72" w:rsidRPr="008470E2">
        <w:rPr>
          <w:rFonts w:cs="Times New Roman"/>
          <w:szCs w:val="24"/>
        </w:rPr>
        <w:t xml:space="preserve">, </w:t>
      </w:r>
      <w:r>
        <w:rPr>
          <w:rFonts w:cs="Times New Roman"/>
          <w:szCs w:val="24"/>
        </w:rPr>
        <w:t>on</w:t>
      </w:r>
      <w:r w:rsidR="003D1F72" w:rsidRPr="008470E2">
        <w:rPr>
          <w:rFonts w:cs="Times New Roman"/>
          <w:szCs w:val="24"/>
        </w:rPr>
        <w:t xml:space="preserve"> the other hand </w:t>
      </w:r>
      <w:r w:rsidR="009671B6" w:rsidRPr="008470E2">
        <w:rPr>
          <w:rFonts w:cs="Times New Roman"/>
          <w:szCs w:val="24"/>
        </w:rPr>
        <w:t>avoid</w:t>
      </w:r>
      <w:r w:rsidR="003D1F72" w:rsidRPr="008470E2">
        <w:rPr>
          <w:rFonts w:cs="Times New Roman"/>
          <w:szCs w:val="24"/>
        </w:rPr>
        <w:t>ing</w:t>
      </w:r>
      <w:r w:rsidR="009671B6" w:rsidRPr="008470E2">
        <w:rPr>
          <w:rFonts w:cs="Times New Roman"/>
          <w:szCs w:val="24"/>
        </w:rPr>
        <w:t xml:space="preserve"> litigations and lawsuits can put the company </w:t>
      </w:r>
      <w:r>
        <w:rPr>
          <w:rFonts w:cs="Times New Roman"/>
          <w:szCs w:val="24"/>
        </w:rPr>
        <w:t>in</w:t>
      </w:r>
      <w:r w:rsidR="009671B6" w:rsidRPr="008470E2">
        <w:rPr>
          <w:rFonts w:cs="Times New Roman"/>
          <w:szCs w:val="24"/>
        </w:rPr>
        <w:t xml:space="preserve"> </w:t>
      </w:r>
      <w:r w:rsidR="00DC5C44" w:rsidRPr="008470E2">
        <w:rPr>
          <w:rFonts w:cs="Times New Roman"/>
          <w:szCs w:val="24"/>
        </w:rPr>
        <w:t xml:space="preserve">a </w:t>
      </w:r>
      <w:r w:rsidR="009671B6" w:rsidRPr="008470E2">
        <w:rPr>
          <w:rFonts w:cs="Times New Roman"/>
          <w:szCs w:val="24"/>
        </w:rPr>
        <w:t>disadvantaged position</w:t>
      </w:r>
      <w:r w:rsidR="00E67D8B" w:rsidRPr="008470E2">
        <w:rPr>
          <w:rFonts w:cs="Times New Roman"/>
          <w:szCs w:val="24"/>
        </w:rPr>
        <w:t xml:space="preserve">. Another important distinction in </w:t>
      </w:r>
      <w:r w:rsidR="00DC5C44" w:rsidRPr="008470E2">
        <w:rPr>
          <w:rFonts w:cs="Times New Roman"/>
          <w:szCs w:val="24"/>
        </w:rPr>
        <w:t xml:space="preserve">the </w:t>
      </w:r>
      <w:r w:rsidR="00E67D8B" w:rsidRPr="008470E2">
        <w:rPr>
          <w:rFonts w:cs="Times New Roman"/>
          <w:szCs w:val="24"/>
        </w:rPr>
        <w:t xml:space="preserve">case of negotiations in Indonesia is influenced by the polychromic work culture of Indonesians, where multiple actions </w:t>
      </w:r>
      <w:r w:rsidR="00DC5C44" w:rsidRPr="008470E2">
        <w:rPr>
          <w:rFonts w:cs="Times New Roman"/>
          <w:szCs w:val="24"/>
        </w:rPr>
        <w:t>are</w:t>
      </w:r>
      <w:r w:rsidR="00E67D8B" w:rsidRPr="008470E2">
        <w:rPr>
          <w:rFonts w:cs="Times New Roman"/>
          <w:szCs w:val="24"/>
        </w:rPr>
        <w:t xml:space="preserve"> pursued in parallel</w:t>
      </w:r>
      <w:r w:rsidR="00FF6889" w:rsidRPr="008470E2">
        <w:rPr>
          <w:rFonts w:cs="Times New Roman"/>
          <w:szCs w:val="24"/>
        </w:rPr>
        <w:t xml:space="preserve"> (Leadership Cross Roads,  2022)</w:t>
      </w:r>
      <w:r w:rsidR="00E67D8B" w:rsidRPr="008470E2">
        <w:rPr>
          <w:rFonts w:cs="Times New Roman"/>
          <w:szCs w:val="24"/>
        </w:rPr>
        <w:t xml:space="preserve">.  </w:t>
      </w:r>
      <w:r w:rsidR="00DC5C44" w:rsidRPr="008470E2">
        <w:rPr>
          <w:rFonts w:cs="Times New Roman"/>
          <w:szCs w:val="24"/>
        </w:rPr>
        <w:t xml:space="preserve">The UK on the other hand follows monochromic work culture where time is sequential. Due to the polychronic work culture, the process of negotiation is also not sequential for Indonesians but rather </w:t>
      </w:r>
      <w:r w:rsidR="003A7364" w:rsidRPr="008470E2">
        <w:rPr>
          <w:rFonts w:cs="Times New Roman"/>
          <w:szCs w:val="24"/>
        </w:rPr>
        <w:t>takes on a continuous</w:t>
      </w:r>
      <w:r w:rsidR="00DC5C44" w:rsidRPr="008470E2">
        <w:rPr>
          <w:rFonts w:cs="Times New Roman"/>
          <w:szCs w:val="24"/>
        </w:rPr>
        <w:t xml:space="preserve"> holistic form.</w:t>
      </w:r>
      <w:r w:rsidR="003A7364" w:rsidRPr="008470E2">
        <w:rPr>
          <w:rFonts w:cs="Times New Roman"/>
          <w:szCs w:val="24"/>
        </w:rPr>
        <w:t xml:space="preserve"> For Sainsbury which has relied on a negotiation process in </w:t>
      </w:r>
      <w:r>
        <w:rPr>
          <w:rFonts w:cs="Times New Roman"/>
          <w:szCs w:val="24"/>
        </w:rPr>
        <w:t xml:space="preserve">the </w:t>
      </w:r>
      <w:r w:rsidR="003A7364" w:rsidRPr="008470E2">
        <w:rPr>
          <w:rFonts w:cs="Times New Roman"/>
          <w:szCs w:val="24"/>
        </w:rPr>
        <w:t>UK that is unidirectional, the negotiation tactics c</w:t>
      </w:r>
      <w:r w:rsidR="00090113" w:rsidRPr="008470E2">
        <w:rPr>
          <w:rFonts w:cs="Times New Roman"/>
          <w:szCs w:val="24"/>
        </w:rPr>
        <w:t xml:space="preserve">an become omnidirectional. Thus any conflict resolution with the suppliers/producers of raw materials </w:t>
      </w:r>
      <w:r w:rsidR="003D1F72" w:rsidRPr="008470E2">
        <w:rPr>
          <w:rFonts w:cs="Times New Roman"/>
          <w:szCs w:val="24"/>
        </w:rPr>
        <w:t xml:space="preserve">in Indonesia </w:t>
      </w:r>
      <w:r w:rsidR="00090113" w:rsidRPr="008470E2">
        <w:rPr>
          <w:rFonts w:cs="Times New Roman"/>
          <w:szCs w:val="24"/>
        </w:rPr>
        <w:t xml:space="preserve">can involve </w:t>
      </w:r>
      <w:r w:rsidR="003D1F72" w:rsidRPr="008470E2">
        <w:rPr>
          <w:rFonts w:cs="Times New Roman"/>
          <w:szCs w:val="24"/>
        </w:rPr>
        <w:t xml:space="preserve">dealing with matters that do not conform to industry standards in </w:t>
      </w:r>
      <w:r>
        <w:rPr>
          <w:rFonts w:cs="Times New Roman"/>
          <w:szCs w:val="24"/>
        </w:rPr>
        <w:t xml:space="preserve">the </w:t>
      </w:r>
      <w:r w:rsidR="003D1F72" w:rsidRPr="008470E2">
        <w:rPr>
          <w:rFonts w:cs="Times New Roman"/>
          <w:szCs w:val="24"/>
        </w:rPr>
        <w:t xml:space="preserve">UK for </w:t>
      </w:r>
      <w:r w:rsidR="00090113" w:rsidRPr="008470E2">
        <w:rPr>
          <w:rFonts w:cs="Times New Roman"/>
          <w:szCs w:val="24"/>
        </w:rPr>
        <w:t>Sainsbury</w:t>
      </w:r>
      <w:r w:rsidR="003D1F72" w:rsidRPr="008470E2">
        <w:rPr>
          <w:rFonts w:cs="Times New Roman"/>
          <w:szCs w:val="24"/>
        </w:rPr>
        <w:t>.</w:t>
      </w:r>
      <w:r w:rsidR="00090113" w:rsidRPr="008470E2">
        <w:rPr>
          <w:rFonts w:cs="Times New Roman"/>
          <w:szCs w:val="24"/>
        </w:rPr>
        <w:t xml:space="preserve"> </w:t>
      </w:r>
    </w:p>
    <w:p w14:paraId="75FD5D2C" w14:textId="245102EB" w:rsidR="00F722BB" w:rsidRPr="008470E2" w:rsidRDefault="00F722BB" w:rsidP="005630E6">
      <w:pPr>
        <w:spacing w:line="360" w:lineRule="auto"/>
        <w:rPr>
          <w:rFonts w:cs="Times New Roman"/>
          <w:szCs w:val="24"/>
        </w:rPr>
      </w:pPr>
    </w:p>
    <w:p w14:paraId="40B09D5B" w14:textId="5E388AD0" w:rsidR="00D80066" w:rsidRPr="008470E2" w:rsidRDefault="00005406" w:rsidP="005630E6">
      <w:pPr>
        <w:pStyle w:val="Heading2"/>
        <w:spacing w:line="360" w:lineRule="auto"/>
        <w:rPr>
          <w:rFonts w:cs="Times New Roman"/>
          <w:szCs w:val="24"/>
        </w:rPr>
      </w:pPr>
      <w:bookmarkStart w:id="11" w:name="_Toc102433493"/>
      <w:r w:rsidRPr="008470E2">
        <w:rPr>
          <w:rFonts w:cs="Times New Roman"/>
          <w:szCs w:val="24"/>
        </w:rPr>
        <w:t xml:space="preserve">2.2 </w:t>
      </w:r>
      <w:r w:rsidR="00F56EB9" w:rsidRPr="008470E2">
        <w:rPr>
          <w:rFonts w:cs="Times New Roman"/>
          <w:szCs w:val="24"/>
        </w:rPr>
        <w:t>The Global economy</w:t>
      </w:r>
      <w:bookmarkEnd w:id="11"/>
    </w:p>
    <w:p w14:paraId="01A73DAB" w14:textId="105B9102" w:rsidR="00D80066" w:rsidRPr="008470E2" w:rsidRDefault="00005406" w:rsidP="005630E6">
      <w:pPr>
        <w:pStyle w:val="Heading3"/>
        <w:spacing w:line="360" w:lineRule="auto"/>
        <w:rPr>
          <w:rFonts w:cs="Times New Roman"/>
        </w:rPr>
      </w:pPr>
      <w:bookmarkStart w:id="12" w:name="_Toc102433494"/>
      <w:r w:rsidRPr="008470E2">
        <w:rPr>
          <w:rFonts w:cs="Times New Roman"/>
        </w:rPr>
        <w:t xml:space="preserve">2.2.1 </w:t>
      </w:r>
      <w:r w:rsidR="00D80066" w:rsidRPr="008470E2">
        <w:rPr>
          <w:rFonts w:cs="Times New Roman"/>
        </w:rPr>
        <w:t>Globalisation and the world economy</w:t>
      </w:r>
      <w:bookmarkEnd w:id="12"/>
    </w:p>
    <w:p w14:paraId="7D33F921" w14:textId="65941A13" w:rsidR="00F56EB9" w:rsidRPr="008470E2" w:rsidRDefault="003D1F72"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M</w:t>
      </w:r>
      <w:r w:rsidR="00591FD2" w:rsidRPr="008470E2">
        <w:rPr>
          <w:rFonts w:ascii="Times New Roman" w:hAnsi="Times New Roman" w:cs="Times New Roman"/>
          <w:sz w:val="24"/>
          <w:szCs w:val="24"/>
        </w:rPr>
        <w:t xml:space="preserve">acroeconomic indicators </w:t>
      </w:r>
      <w:r w:rsidRPr="008470E2">
        <w:rPr>
          <w:rFonts w:ascii="Times New Roman" w:hAnsi="Times New Roman" w:cs="Times New Roman"/>
          <w:sz w:val="24"/>
          <w:szCs w:val="24"/>
        </w:rPr>
        <w:t xml:space="preserve">of </w:t>
      </w:r>
      <w:r w:rsidR="00591FD2" w:rsidRPr="008470E2">
        <w:rPr>
          <w:rFonts w:ascii="Times New Roman" w:hAnsi="Times New Roman" w:cs="Times New Roman"/>
          <w:sz w:val="24"/>
          <w:szCs w:val="24"/>
        </w:rPr>
        <w:t xml:space="preserve">such as </w:t>
      </w:r>
      <w:r w:rsidRPr="008470E2">
        <w:rPr>
          <w:rFonts w:ascii="Times New Roman" w:hAnsi="Times New Roman" w:cs="Times New Roman"/>
          <w:sz w:val="24"/>
          <w:szCs w:val="24"/>
        </w:rPr>
        <w:t xml:space="preserve">GDP, GDP per capita, and GNP are used to draw </w:t>
      </w:r>
      <w:r w:rsidR="00EB4B2E">
        <w:rPr>
          <w:rFonts w:ascii="Times New Roman" w:hAnsi="Times New Roman" w:cs="Times New Roman"/>
          <w:sz w:val="24"/>
          <w:szCs w:val="24"/>
        </w:rPr>
        <w:t>inferences</w:t>
      </w:r>
      <w:r w:rsidRPr="008470E2">
        <w:rPr>
          <w:rFonts w:ascii="Times New Roman" w:hAnsi="Times New Roman" w:cs="Times New Roman"/>
          <w:sz w:val="24"/>
          <w:szCs w:val="24"/>
        </w:rPr>
        <w:t xml:space="preserve"> </w:t>
      </w:r>
      <w:r w:rsidR="00EB4B2E">
        <w:rPr>
          <w:rFonts w:ascii="Times New Roman" w:hAnsi="Times New Roman" w:cs="Times New Roman"/>
          <w:sz w:val="24"/>
          <w:szCs w:val="24"/>
        </w:rPr>
        <w:t>about</w:t>
      </w:r>
      <w:r w:rsidRPr="008470E2">
        <w:rPr>
          <w:rFonts w:ascii="Times New Roman" w:hAnsi="Times New Roman" w:cs="Times New Roman"/>
          <w:sz w:val="24"/>
          <w:szCs w:val="24"/>
        </w:rPr>
        <w:t xml:space="preserve">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 xml:space="preserve">impact of globalisation on the </w:t>
      </w:r>
      <w:r w:rsidR="00BA4A92" w:rsidRPr="008470E2">
        <w:rPr>
          <w:rFonts w:ascii="Times New Roman" w:hAnsi="Times New Roman" w:cs="Times New Roman"/>
          <w:sz w:val="24"/>
          <w:szCs w:val="24"/>
        </w:rPr>
        <w:t xml:space="preserve">world </w:t>
      </w:r>
      <w:r w:rsidRPr="008470E2">
        <w:rPr>
          <w:rFonts w:ascii="Times New Roman" w:hAnsi="Times New Roman" w:cs="Times New Roman"/>
          <w:sz w:val="24"/>
          <w:szCs w:val="24"/>
        </w:rPr>
        <w:t>economy in the past 2 decades.</w:t>
      </w:r>
    </w:p>
    <w:p w14:paraId="15085BE9" w14:textId="76620594" w:rsidR="00DB1425" w:rsidRPr="008470E2" w:rsidRDefault="00090507" w:rsidP="005630E6">
      <w:pPr>
        <w:pStyle w:val="ListParagraph"/>
        <w:spacing w:before="120" w:after="120" w:line="360" w:lineRule="auto"/>
        <w:ind w:left="0" w:right="-613"/>
        <w:jc w:val="center"/>
        <w:rPr>
          <w:rFonts w:ascii="Times New Roman" w:hAnsi="Times New Roman" w:cs="Times New Roman"/>
          <w:sz w:val="24"/>
          <w:szCs w:val="24"/>
        </w:rPr>
      </w:pPr>
      <w:r w:rsidRPr="008470E2">
        <w:rPr>
          <w:rFonts w:ascii="Times New Roman" w:hAnsi="Times New Roman" w:cs="Times New Roman"/>
          <w:noProof/>
          <w:sz w:val="24"/>
          <w:szCs w:val="24"/>
          <w:lang w:val="en-IN" w:eastAsia="en-IN"/>
        </w:rPr>
        <w:drawing>
          <wp:inline distT="0" distB="0" distL="0" distR="0" wp14:anchorId="297D01F7" wp14:editId="56BB5CFE">
            <wp:extent cx="3482707" cy="15024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552" t="41708" r="29658" b="11651"/>
                    <a:stretch/>
                  </pic:blipFill>
                  <pic:spPr bwMode="auto">
                    <a:xfrm>
                      <a:off x="0" y="0"/>
                      <a:ext cx="3484186" cy="1503048"/>
                    </a:xfrm>
                    <a:prstGeom prst="rect">
                      <a:avLst/>
                    </a:prstGeom>
                    <a:ln>
                      <a:noFill/>
                    </a:ln>
                    <a:extLst>
                      <a:ext uri="{53640926-AAD7-44D8-BBD7-CCE9431645EC}">
                        <a14:shadowObscured xmlns:a14="http://schemas.microsoft.com/office/drawing/2010/main"/>
                      </a:ext>
                    </a:extLst>
                  </pic:spPr>
                </pic:pic>
              </a:graphicData>
            </a:graphic>
          </wp:inline>
        </w:drawing>
      </w:r>
    </w:p>
    <w:p w14:paraId="3EE833DC" w14:textId="7C7D66F8" w:rsidR="00BA4A92" w:rsidRPr="008470E2" w:rsidRDefault="003D1F72"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b/>
          <w:sz w:val="24"/>
          <w:szCs w:val="24"/>
        </w:rPr>
        <w:t xml:space="preserve">Fig 4: World GDP </w:t>
      </w:r>
      <w:r w:rsidR="00090507" w:rsidRPr="008470E2">
        <w:rPr>
          <w:rFonts w:ascii="Times New Roman" w:hAnsi="Times New Roman" w:cs="Times New Roman"/>
          <w:b/>
          <w:sz w:val="24"/>
          <w:szCs w:val="24"/>
        </w:rPr>
        <w:t xml:space="preserve">growth </w:t>
      </w:r>
      <w:r w:rsidR="00EB4B2E">
        <w:rPr>
          <w:rFonts w:ascii="Times New Roman" w:hAnsi="Times New Roman" w:cs="Times New Roman"/>
          <w:b/>
          <w:sz w:val="24"/>
          <w:szCs w:val="24"/>
        </w:rPr>
        <w:t xml:space="preserve">from </w:t>
      </w:r>
      <w:r w:rsidRPr="008470E2">
        <w:rPr>
          <w:rFonts w:ascii="Times New Roman" w:hAnsi="Times New Roman" w:cs="Times New Roman"/>
          <w:b/>
          <w:sz w:val="24"/>
          <w:szCs w:val="24"/>
        </w:rPr>
        <w:t>2000</w:t>
      </w:r>
      <w:r w:rsidR="00DB1425" w:rsidRPr="008470E2">
        <w:rPr>
          <w:rFonts w:ascii="Times New Roman" w:hAnsi="Times New Roman" w:cs="Times New Roman"/>
          <w:b/>
          <w:sz w:val="24"/>
          <w:szCs w:val="24"/>
        </w:rPr>
        <w:t xml:space="preserve"> to 2020</w:t>
      </w:r>
    </w:p>
    <w:p w14:paraId="17A08362" w14:textId="6C775E9E" w:rsidR="00BA4A92" w:rsidRPr="008470E2" w:rsidRDefault="00BA4A92" w:rsidP="005630E6">
      <w:pPr>
        <w:pStyle w:val="ListParagraph"/>
        <w:spacing w:before="120" w:after="120" w:line="360" w:lineRule="auto"/>
        <w:ind w:left="0" w:right="-613"/>
        <w:jc w:val="center"/>
        <w:rPr>
          <w:rFonts w:ascii="Times New Roman" w:hAnsi="Times New Roman" w:cs="Times New Roman"/>
          <w:sz w:val="24"/>
          <w:szCs w:val="24"/>
        </w:rPr>
      </w:pPr>
      <w:r w:rsidRPr="008470E2">
        <w:rPr>
          <w:rFonts w:ascii="Times New Roman" w:hAnsi="Times New Roman" w:cs="Times New Roman"/>
          <w:b/>
          <w:sz w:val="24"/>
          <w:szCs w:val="24"/>
        </w:rPr>
        <w:t>(</w:t>
      </w:r>
      <w:r w:rsidRPr="008470E2">
        <w:rPr>
          <w:rFonts w:ascii="Times New Roman" w:hAnsi="Times New Roman" w:cs="Times New Roman"/>
          <w:sz w:val="24"/>
          <w:szCs w:val="24"/>
        </w:rPr>
        <w:t>Source:</w:t>
      </w:r>
      <w:r w:rsidR="00FF6889" w:rsidRPr="008470E2">
        <w:rPr>
          <w:rFonts w:ascii="Times New Roman" w:hAnsi="Times New Roman" w:cs="Times New Roman"/>
          <w:sz w:val="24"/>
          <w:szCs w:val="24"/>
        </w:rPr>
        <w:t xml:space="preserve"> World GDP Growth Trading Economics, 2022</w:t>
      </w:r>
      <w:r w:rsidRPr="008470E2">
        <w:rPr>
          <w:rFonts w:ascii="Times New Roman" w:hAnsi="Times New Roman" w:cs="Times New Roman"/>
          <w:sz w:val="24"/>
          <w:szCs w:val="24"/>
        </w:rPr>
        <w:t>)</w:t>
      </w:r>
    </w:p>
    <w:p w14:paraId="26F440B4" w14:textId="77777777" w:rsidR="00BA4A92" w:rsidRPr="008470E2" w:rsidRDefault="00BA4A92" w:rsidP="005630E6">
      <w:pPr>
        <w:pStyle w:val="ListParagraph"/>
        <w:spacing w:before="120" w:after="120" w:line="360" w:lineRule="auto"/>
        <w:ind w:left="0" w:right="-613"/>
        <w:jc w:val="both"/>
        <w:rPr>
          <w:rFonts w:ascii="Times New Roman" w:hAnsi="Times New Roman" w:cs="Times New Roman"/>
          <w:b/>
          <w:sz w:val="24"/>
          <w:szCs w:val="24"/>
        </w:rPr>
      </w:pPr>
    </w:p>
    <w:p w14:paraId="07EEB240" w14:textId="65423FB0" w:rsidR="00BA4A92" w:rsidRPr="008470E2" w:rsidRDefault="00090507"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noProof/>
          <w:sz w:val="24"/>
          <w:szCs w:val="24"/>
          <w:lang w:val="en-IN" w:eastAsia="en-IN"/>
        </w:rPr>
        <w:lastRenderedPageBreak/>
        <w:drawing>
          <wp:inline distT="0" distB="0" distL="0" distR="0" wp14:anchorId="39922EE9" wp14:editId="147C1C9F">
            <wp:extent cx="3615055" cy="1474961"/>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769" t="45798" r="30141" b="8422"/>
                    <a:stretch/>
                  </pic:blipFill>
                  <pic:spPr bwMode="auto">
                    <a:xfrm>
                      <a:off x="0" y="0"/>
                      <a:ext cx="3615986" cy="1475341"/>
                    </a:xfrm>
                    <a:prstGeom prst="rect">
                      <a:avLst/>
                    </a:prstGeom>
                    <a:ln>
                      <a:noFill/>
                    </a:ln>
                    <a:extLst>
                      <a:ext uri="{53640926-AAD7-44D8-BBD7-CCE9431645EC}">
                        <a14:shadowObscured xmlns:a14="http://schemas.microsoft.com/office/drawing/2010/main"/>
                      </a:ext>
                    </a:extLst>
                  </pic:spPr>
                </pic:pic>
              </a:graphicData>
            </a:graphic>
          </wp:inline>
        </w:drawing>
      </w:r>
    </w:p>
    <w:p w14:paraId="0510FE3A" w14:textId="77777777" w:rsidR="00BA4A92" w:rsidRPr="008470E2" w:rsidRDefault="00BA4A92" w:rsidP="005630E6">
      <w:pPr>
        <w:pStyle w:val="ListParagraph"/>
        <w:spacing w:before="120" w:after="120" w:line="360" w:lineRule="auto"/>
        <w:ind w:left="0" w:right="-613"/>
        <w:jc w:val="both"/>
        <w:rPr>
          <w:rFonts w:ascii="Times New Roman" w:hAnsi="Times New Roman" w:cs="Times New Roman"/>
          <w:b/>
          <w:sz w:val="24"/>
          <w:szCs w:val="24"/>
        </w:rPr>
      </w:pPr>
    </w:p>
    <w:p w14:paraId="62A6F4CF" w14:textId="411BFF1D" w:rsidR="00F56EB9" w:rsidRPr="008470E2" w:rsidRDefault="00DB1425"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b/>
          <w:sz w:val="24"/>
          <w:szCs w:val="24"/>
        </w:rPr>
        <w:t xml:space="preserve">Fig 5: World GDP per capita </w:t>
      </w:r>
      <w:r w:rsidR="00090507" w:rsidRPr="008470E2">
        <w:rPr>
          <w:rFonts w:ascii="Times New Roman" w:hAnsi="Times New Roman" w:cs="Times New Roman"/>
          <w:b/>
          <w:sz w:val="24"/>
          <w:szCs w:val="24"/>
        </w:rPr>
        <w:t xml:space="preserve">growth </w:t>
      </w:r>
      <w:r w:rsidR="00EB4B2E">
        <w:rPr>
          <w:rFonts w:ascii="Times New Roman" w:hAnsi="Times New Roman" w:cs="Times New Roman"/>
          <w:b/>
          <w:sz w:val="24"/>
          <w:szCs w:val="24"/>
        </w:rPr>
        <w:t xml:space="preserve">from </w:t>
      </w:r>
      <w:r w:rsidRPr="008470E2">
        <w:rPr>
          <w:rFonts w:ascii="Times New Roman" w:hAnsi="Times New Roman" w:cs="Times New Roman"/>
          <w:b/>
          <w:sz w:val="24"/>
          <w:szCs w:val="24"/>
        </w:rPr>
        <w:t>20</w:t>
      </w:r>
      <w:r w:rsidR="003D1F72" w:rsidRPr="008470E2">
        <w:rPr>
          <w:rFonts w:ascii="Times New Roman" w:hAnsi="Times New Roman" w:cs="Times New Roman"/>
          <w:b/>
          <w:sz w:val="24"/>
          <w:szCs w:val="24"/>
        </w:rPr>
        <w:t>00</w:t>
      </w:r>
      <w:r w:rsidRPr="008470E2">
        <w:rPr>
          <w:rFonts w:ascii="Times New Roman" w:hAnsi="Times New Roman" w:cs="Times New Roman"/>
          <w:b/>
          <w:sz w:val="24"/>
          <w:szCs w:val="24"/>
        </w:rPr>
        <w:t xml:space="preserve"> to 2020</w:t>
      </w:r>
    </w:p>
    <w:p w14:paraId="24A52DB7" w14:textId="4E66373E" w:rsidR="00B9316B" w:rsidRPr="008470E2" w:rsidRDefault="00FF6889"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sz w:val="24"/>
          <w:szCs w:val="24"/>
        </w:rPr>
        <w:t>(</w:t>
      </w:r>
      <w:r w:rsidR="00B9316B" w:rsidRPr="008470E2">
        <w:rPr>
          <w:rFonts w:ascii="Times New Roman" w:hAnsi="Times New Roman" w:cs="Times New Roman"/>
          <w:sz w:val="24"/>
          <w:szCs w:val="24"/>
        </w:rPr>
        <w:t>Source</w:t>
      </w:r>
      <w:r w:rsidRPr="008470E2">
        <w:rPr>
          <w:rFonts w:ascii="Times New Roman" w:hAnsi="Times New Roman" w:cs="Times New Roman"/>
          <w:sz w:val="24"/>
          <w:szCs w:val="24"/>
        </w:rPr>
        <w:t>: World GDP Per Cap Growth Trading Economics, 2022)</w:t>
      </w:r>
    </w:p>
    <w:p w14:paraId="3895062E" w14:textId="4275BF75" w:rsidR="00DB1425" w:rsidRPr="008470E2" w:rsidRDefault="001C514C" w:rsidP="005630E6">
      <w:pPr>
        <w:pStyle w:val="ListParagraph"/>
        <w:spacing w:before="120" w:after="120" w:line="360" w:lineRule="auto"/>
        <w:ind w:left="0" w:right="-613"/>
        <w:jc w:val="center"/>
        <w:rPr>
          <w:rFonts w:ascii="Times New Roman" w:hAnsi="Times New Roman" w:cs="Times New Roman"/>
          <w:sz w:val="24"/>
          <w:szCs w:val="24"/>
        </w:rPr>
      </w:pPr>
      <w:r w:rsidRPr="008470E2">
        <w:rPr>
          <w:rFonts w:ascii="Times New Roman" w:hAnsi="Times New Roman" w:cs="Times New Roman"/>
          <w:noProof/>
          <w:sz w:val="24"/>
          <w:szCs w:val="24"/>
          <w:lang w:val="en-IN" w:eastAsia="en-IN"/>
        </w:rPr>
        <w:drawing>
          <wp:inline distT="0" distB="0" distL="0" distR="0" wp14:anchorId="3A3EB54F" wp14:editId="5DE56243">
            <wp:extent cx="3469640" cy="14893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671" t="37189" r="29778" b="16584"/>
                    <a:stretch/>
                  </pic:blipFill>
                  <pic:spPr bwMode="auto">
                    <a:xfrm>
                      <a:off x="0" y="0"/>
                      <a:ext cx="3470446" cy="1489710"/>
                    </a:xfrm>
                    <a:prstGeom prst="rect">
                      <a:avLst/>
                    </a:prstGeom>
                    <a:ln>
                      <a:noFill/>
                    </a:ln>
                    <a:extLst>
                      <a:ext uri="{53640926-AAD7-44D8-BBD7-CCE9431645EC}">
                        <a14:shadowObscured xmlns:a14="http://schemas.microsoft.com/office/drawing/2010/main"/>
                      </a:ext>
                    </a:extLst>
                  </pic:spPr>
                </pic:pic>
              </a:graphicData>
            </a:graphic>
          </wp:inline>
        </w:drawing>
      </w:r>
    </w:p>
    <w:p w14:paraId="48F5B339" w14:textId="14E9767D" w:rsidR="00B9316B" w:rsidRPr="008470E2" w:rsidRDefault="00B9316B" w:rsidP="005630E6">
      <w:pPr>
        <w:pStyle w:val="ListParagraph"/>
        <w:spacing w:before="120" w:after="120" w:line="360" w:lineRule="auto"/>
        <w:ind w:left="0" w:right="-613"/>
        <w:jc w:val="center"/>
        <w:rPr>
          <w:rFonts w:ascii="Times New Roman" w:hAnsi="Times New Roman" w:cs="Times New Roman"/>
          <w:sz w:val="24"/>
          <w:szCs w:val="24"/>
        </w:rPr>
      </w:pPr>
    </w:p>
    <w:p w14:paraId="20CF7312" w14:textId="75ED768A" w:rsidR="00B9316B" w:rsidRPr="008470E2" w:rsidRDefault="00B9316B"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b/>
          <w:sz w:val="24"/>
          <w:szCs w:val="24"/>
        </w:rPr>
        <w:t>Fig 6: Foreign direct investment, net inflows (% of GDP) 2000 to 2020</w:t>
      </w:r>
    </w:p>
    <w:p w14:paraId="517E44B1" w14:textId="4FDA394A" w:rsidR="00B9316B" w:rsidRPr="008470E2" w:rsidRDefault="00FF6889" w:rsidP="005630E6">
      <w:pPr>
        <w:pStyle w:val="ListParagraph"/>
        <w:spacing w:before="120" w:after="120" w:line="360" w:lineRule="auto"/>
        <w:ind w:left="0" w:right="-613"/>
        <w:jc w:val="center"/>
        <w:rPr>
          <w:rFonts w:ascii="Times New Roman" w:hAnsi="Times New Roman" w:cs="Times New Roman"/>
          <w:b/>
          <w:sz w:val="24"/>
          <w:szCs w:val="24"/>
        </w:rPr>
      </w:pPr>
      <w:r w:rsidRPr="008470E2">
        <w:rPr>
          <w:rFonts w:ascii="Times New Roman" w:hAnsi="Times New Roman" w:cs="Times New Roman"/>
          <w:sz w:val="24"/>
          <w:szCs w:val="24"/>
        </w:rPr>
        <w:t>(</w:t>
      </w:r>
      <w:r w:rsidR="00B9316B" w:rsidRPr="008470E2">
        <w:rPr>
          <w:rFonts w:ascii="Times New Roman" w:hAnsi="Times New Roman" w:cs="Times New Roman"/>
          <w:sz w:val="24"/>
          <w:szCs w:val="24"/>
        </w:rPr>
        <w:t>Source</w:t>
      </w:r>
      <w:r w:rsidRPr="008470E2">
        <w:rPr>
          <w:rFonts w:ascii="Times New Roman" w:hAnsi="Times New Roman" w:cs="Times New Roman"/>
          <w:sz w:val="24"/>
          <w:szCs w:val="24"/>
        </w:rPr>
        <w:t>: World FDI Tradingeconomics.com. 2022)</w:t>
      </w:r>
    </w:p>
    <w:p w14:paraId="5B7358A6" w14:textId="48BCADB2" w:rsidR="00B9316B" w:rsidRPr="008470E2" w:rsidRDefault="00B9316B" w:rsidP="005630E6">
      <w:pPr>
        <w:pStyle w:val="ListParagraph"/>
        <w:spacing w:before="120" w:after="120" w:line="360" w:lineRule="auto"/>
        <w:ind w:left="0" w:right="-613"/>
        <w:jc w:val="center"/>
        <w:rPr>
          <w:rFonts w:ascii="Times New Roman" w:hAnsi="Times New Roman" w:cs="Times New Roman"/>
          <w:sz w:val="24"/>
          <w:szCs w:val="24"/>
        </w:rPr>
      </w:pPr>
    </w:p>
    <w:p w14:paraId="09606427" w14:textId="51EEE184" w:rsidR="00B9316B" w:rsidRPr="008470E2" w:rsidRDefault="00B9316B" w:rsidP="005630E6">
      <w:pPr>
        <w:pStyle w:val="ListParagraph"/>
        <w:spacing w:before="120" w:after="120" w:line="360" w:lineRule="auto"/>
        <w:ind w:left="0" w:right="-613"/>
        <w:jc w:val="center"/>
        <w:rPr>
          <w:rFonts w:ascii="Times New Roman" w:hAnsi="Times New Roman" w:cs="Times New Roman"/>
          <w:sz w:val="24"/>
          <w:szCs w:val="24"/>
        </w:rPr>
      </w:pPr>
    </w:p>
    <w:p w14:paraId="496DCBDD" w14:textId="1DCE58D2" w:rsidR="00DB1425" w:rsidRPr="008470E2" w:rsidRDefault="0046523D"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 xml:space="preserve">Globalisation has made a significant impact </w:t>
      </w:r>
      <w:r w:rsidR="00EB4B2E">
        <w:rPr>
          <w:rFonts w:ascii="Times New Roman" w:hAnsi="Times New Roman" w:cs="Times New Roman"/>
          <w:sz w:val="24"/>
          <w:szCs w:val="24"/>
        </w:rPr>
        <w:t>on</w:t>
      </w:r>
      <w:r w:rsidRPr="008470E2">
        <w:rPr>
          <w:rFonts w:ascii="Times New Roman" w:hAnsi="Times New Roman" w:cs="Times New Roman"/>
          <w:sz w:val="24"/>
          <w:szCs w:val="24"/>
        </w:rPr>
        <w:t xml:space="preserve"> the world economy in the last two decades. As different countries opened their borders for increased export and import, it lead to increased domestic and international competition. Some competition</w:t>
      </w:r>
      <w:r w:rsidR="008F0335" w:rsidRPr="008470E2">
        <w:rPr>
          <w:rFonts w:ascii="Times New Roman" w:hAnsi="Times New Roman" w:cs="Times New Roman"/>
          <w:sz w:val="24"/>
          <w:szCs w:val="24"/>
        </w:rPr>
        <w:t>s</w:t>
      </w:r>
      <w:r w:rsidRPr="008470E2">
        <w:rPr>
          <w:rFonts w:ascii="Times New Roman" w:hAnsi="Times New Roman" w:cs="Times New Roman"/>
          <w:sz w:val="24"/>
          <w:szCs w:val="24"/>
        </w:rPr>
        <w:t xml:space="preserve"> </w:t>
      </w:r>
      <w:r w:rsidR="008F0335" w:rsidRPr="008470E2">
        <w:rPr>
          <w:rFonts w:ascii="Times New Roman" w:hAnsi="Times New Roman" w:cs="Times New Roman"/>
          <w:sz w:val="24"/>
          <w:szCs w:val="24"/>
        </w:rPr>
        <w:t>were</w:t>
      </w:r>
      <w:r w:rsidRPr="008470E2">
        <w:rPr>
          <w:rFonts w:ascii="Times New Roman" w:hAnsi="Times New Roman" w:cs="Times New Roman"/>
          <w:sz w:val="24"/>
          <w:szCs w:val="24"/>
        </w:rPr>
        <w:t xml:space="preserve"> healthy while others were not. </w:t>
      </w:r>
      <w:r w:rsidR="00EB4B2E">
        <w:rPr>
          <w:rFonts w:ascii="Times New Roman" w:hAnsi="Times New Roman" w:cs="Times New Roman"/>
          <w:sz w:val="24"/>
          <w:szCs w:val="24"/>
        </w:rPr>
        <w:t>Globalisation</w:t>
      </w:r>
      <w:r w:rsidRPr="008470E2">
        <w:rPr>
          <w:rFonts w:ascii="Times New Roman" w:hAnsi="Times New Roman" w:cs="Times New Roman"/>
          <w:sz w:val="24"/>
          <w:szCs w:val="24"/>
        </w:rPr>
        <w:t xml:space="preserve"> has enabled smaller and medium scaled enterprises </w:t>
      </w:r>
      <w:r w:rsidR="00EB4B2E">
        <w:rPr>
          <w:rFonts w:ascii="Times New Roman" w:hAnsi="Times New Roman" w:cs="Times New Roman"/>
          <w:sz w:val="24"/>
          <w:szCs w:val="24"/>
        </w:rPr>
        <w:t xml:space="preserve">to </w:t>
      </w:r>
      <w:r w:rsidRPr="008470E2">
        <w:rPr>
          <w:rFonts w:ascii="Times New Roman" w:hAnsi="Times New Roman" w:cs="Times New Roman"/>
          <w:sz w:val="24"/>
          <w:szCs w:val="24"/>
        </w:rPr>
        <w:t>make their products available on the doorstep of foreign countries</w:t>
      </w:r>
      <w:r w:rsidR="00FF53F4">
        <w:rPr>
          <w:rFonts w:ascii="Times New Roman" w:hAnsi="Times New Roman" w:cs="Times New Roman"/>
          <w:sz w:val="24"/>
          <w:szCs w:val="24"/>
        </w:rPr>
        <w:t xml:space="preserve"> (</w:t>
      </w:r>
      <w:r w:rsidR="00FF53F4" w:rsidRPr="00FF53F4">
        <w:rPr>
          <w:rFonts w:ascii="Times New Roman" w:hAnsi="Times New Roman" w:cs="Times New Roman"/>
          <w:sz w:val="24"/>
          <w:szCs w:val="24"/>
        </w:rPr>
        <w:t>Glushkova</w:t>
      </w:r>
      <w:r w:rsidR="00FF53F4">
        <w:rPr>
          <w:rFonts w:ascii="Times New Roman" w:hAnsi="Times New Roman" w:cs="Times New Roman"/>
          <w:sz w:val="24"/>
          <w:szCs w:val="24"/>
        </w:rPr>
        <w:t xml:space="preserve"> et al., </w:t>
      </w:r>
      <w:r w:rsidR="00FF53F4" w:rsidRPr="00FF53F4">
        <w:rPr>
          <w:rFonts w:ascii="Times New Roman" w:hAnsi="Times New Roman" w:cs="Times New Roman"/>
          <w:sz w:val="24"/>
          <w:szCs w:val="24"/>
        </w:rPr>
        <w:t>2019</w:t>
      </w:r>
      <w:r w:rsidR="00FF53F4">
        <w:rPr>
          <w:rFonts w:ascii="Times New Roman" w:hAnsi="Times New Roman" w:cs="Times New Roman"/>
          <w:sz w:val="24"/>
          <w:szCs w:val="24"/>
        </w:rPr>
        <w:t>)</w:t>
      </w:r>
      <w:r w:rsidRPr="008470E2">
        <w:rPr>
          <w:rFonts w:ascii="Times New Roman" w:hAnsi="Times New Roman" w:cs="Times New Roman"/>
          <w:sz w:val="24"/>
          <w:szCs w:val="24"/>
        </w:rPr>
        <w:t xml:space="preserve">. </w:t>
      </w:r>
      <w:r w:rsidR="008F0335" w:rsidRPr="008470E2">
        <w:rPr>
          <w:rFonts w:ascii="Times New Roman" w:hAnsi="Times New Roman" w:cs="Times New Roman"/>
          <w:sz w:val="24"/>
          <w:szCs w:val="24"/>
        </w:rPr>
        <w:t xml:space="preserve">Traditional industries that were heavily dependent upon domestic </w:t>
      </w:r>
      <w:r w:rsidR="00EB4B2E">
        <w:rPr>
          <w:rFonts w:ascii="Times New Roman" w:hAnsi="Times New Roman" w:cs="Times New Roman"/>
          <w:sz w:val="24"/>
          <w:szCs w:val="24"/>
        </w:rPr>
        <w:t>consumers</w:t>
      </w:r>
      <w:r w:rsidR="008F0335" w:rsidRPr="008470E2">
        <w:rPr>
          <w:rFonts w:ascii="Times New Roman" w:hAnsi="Times New Roman" w:cs="Times New Roman"/>
          <w:sz w:val="24"/>
          <w:szCs w:val="24"/>
        </w:rPr>
        <w:t xml:space="preserve"> faced intense completion from foreign companies. In some emerging economies</w:t>
      </w:r>
      <w:r w:rsidR="00EB4B2E">
        <w:rPr>
          <w:rFonts w:ascii="Times New Roman" w:hAnsi="Times New Roman" w:cs="Times New Roman"/>
          <w:sz w:val="24"/>
          <w:szCs w:val="24"/>
        </w:rPr>
        <w:t>,</w:t>
      </w:r>
      <w:r w:rsidR="008F0335" w:rsidRPr="008470E2">
        <w:rPr>
          <w:rFonts w:ascii="Times New Roman" w:hAnsi="Times New Roman" w:cs="Times New Roman"/>
          <w:sz w:val="24"/>
          <w:szCs w:val="24"/>
        </w:rPr>
        <w:t xml:space="preserve"> the traditional industries were wiped away as there </w:t>
      </w:r>
      <w:r w:rsidR="00EB4B2E">
        <w:rPr>
          <w:rFonts w:ascii="Times New Roman" w:hAnsi="Times New Roman" w:cs="Times New Roman"/>
          <w:sz w:val="24"/>
          <w:szCs w:val="24"/>
        </w:rPr>
        <w:t xml:space="preserve">was </w:t>
      </w:r>
      <w:r w:rsidR="008F0335" w:rsidRPr="008470E2">
        <w:rPr>
          <w:rFonts w:ascii="Times New Roman" w:hAnsi="Times New Roman" w:cs="Times New Roman"/>
          <w:sz w:val="24"/>
          <w:szCs w:val="24"/>
        </w:rPr>
        <w:t xml:space="preserve">no necessary infrastructure present to safeguard such industries.  This trend is more noticeable in emerging or developing Asian economies </w:t>
      </w:r>
      <w:r w:rsidR="001C514C" w:rsidRPr="008470E2">
        <w:rPr>
          <w:rFonts w:ascii="Times New Roman" w:hAnsi="Times New Roman" w:cs="Times New Roman"/>
          <w:sz w:val="24"/>
          <w:szCs w:val="24"/>
        </w:rPr>
        <w:t xml:space="preserve">where </w:t>
      </w:r>
      <w:r w:rsidR="00EB4B2E">
        <w:rPr>
          <w:rFonts w:ascii="Times New Roman" w:hAnsi="Times New Roman" w:cs="Times New Roman"/>
          <w:sz w:val="24"/>
          <w:szCs w:val="24"/>
        </w:rPr>
        <w:t>traditions</w:t>
      </w:r>
      <w:r w:rsidR="001C514C" w:rsidRPr="008470E2">
        <w:rPr>
          <w:rFonts w:ascii="Times New Roman" w:hAnsi="Times New Roman" w:cs="Times New Roman"/>
          <w:sz w:val="24"/>
          <w:szCs w:val="24"/>
        </w:rPr>
        <w:t xml:space="preserve"> were negatively impacted due to globalisation. The effect of globalisation is not without its demerits. As the world economy became more integrated and connected, any major turbulence in one part creates an </w:t>
      </w:r>
      <w:r w:rsidR="00EB4B2E">
        <w:rPr>
          <w:rFonts w:ascii="Times New Roman" w:hAnsi="Times New Roman" w:cs="Times New Roman"/>
          <w:sz w:val="24"/>
          <w:szCs w:val="24"/>
        </w:rPr>
        <w:t>aftereffect</w:t>
      </w:r>
      <w:r w:rsidR="001C514C" w:rsidRPr="008470E2">
        <w:rPr>
          <w:rFonts w:ascii="Times New Roman" w:hAnsi="Times New Roman" w:cs="Times New Roman"/>
          <w:sz w:val="24"/>
          <w:szCs w:val="24"/>
        </w:rPr>
        <w:t xml:space="preserve"> on other connected parts also. For example</w:t>
      </w:r>
      <w:r w:rsidR="00EB4B2E">
        <w:rPr>
          <w:rFonts w:ascii="Times New Roman" w:hAnsi="Times New Roman" w:cs="Times New Roman"/>
          <w:sz w:val="24"/>
          <w:szCs w:val="24"/>
        </w:rPr>
        <w:t>,</w:t>
      </w:r>
      <w:r w:rsidR="001C514C" w:rsidRPr="008470E2">
        <w:rPr>
          <w:rFonts w:ascii="Times New Roman" w:hAnsi="Times New Roman" w:cs="Times New Roman"/>
          <w:sz w:val="24"/>
          <w:szCs w:val="24"/>
        </w:rPr>
        <w:t xml:space="preserve"> a close inspection of the macro indicators like World GDP, World GDP per capita,</w:t>
      </w:r>
      <w:r w:rsidR="00EB4B2E">
        <w:rPr>
          <w:rFonts w:ascii="Times New Roman" w:hAnsi="Times New Roman" w:cs="Times New Roman"/>
          <w:sz w:val="24"/>
          <w:szCs w:val="24"/>
        </w:rPr>
        <w:t xml:space="preserve"> and </w:t>
      </w:r>
      <w:r w:rsidR="001C514C" w:rsidRPr="008470E2">
        <w:rPr>
          <w:rFonts w:ascii="Times New Roman" w:hAnsi="Times New Roman" w:cs="Times New Roman"/>
          <w:sz w:val="24"/>
          <w:szCs w:val="24"/>
        </w:rPr>
        <w:t xml:space="preserve">World FDI, for the </w:t>
      </w:r>
      <w:r w:rsidR="00EB4B2E">
        <w:rPr>
          <w:rFonts w:ascii="Times New Roman" w:hAnsi="Times New Roman" w:cs="Times New Roman"/>
          <w:sz w:val="24"/>
          <w:szCs w:val="24"/>
        </w:rPr>
        <w:t>years</w:t>
      </w:r>
      <w:r w:rsidR="001C514C" w:rsidRPr="008470E2">
        <w:rPr>
          <w:rFonts w:ascii="Times New Roman" w:hAnsi="Times New Roman" w:cs="Times New Roman"/>
          <w:sz w:val="24"/>
          <w:szCs w:val="24"/>
        </w:rPr>
        <w:t xml:space="preserve"> 2000 to 2020 indicates an almost similar trend in </w:t>
      </w:r>
      <w:r w:rsidR="00EB4B2E">
        <w:rPr>
          <w:rFonts w:ascii="Times New Roman" w:hAnsi="Times New Roman" w:cs="Times New Roman"/>
          <w:sz w:val="24"/>
          <w:szCs w:val="24"/>
        </w:rPr>
        <w:t>rising</w:t>
      </w:r>
      <w:r w:rsidR="001C514C" w:rsidRPr="008470E2">
        <w:rPr>
          <w:rFonts w:ascii="Times New Roman" w:hAnsi="Times New Roman" w:cs="Times New Roman"/>
          <w:sz w:val="24"/>
          <w:szCs w:val="24"/>
        </w:rPr>
        <w:t xml:space="preserve"> and fall. This close synchronous action </w:t>
      </w:r>
      <w:r w:rsidR="001C514C" w:rsidRPr="008470E2">
        <w:rPr>
          <w:rFonts w:ascii="Times New Roman" w:hAnsi="Times New Roman" w:cs="Times New Roman"/>
          <w:sz w:val="24"/>
          <w:szCs w:val="24"/>
        </w:rPr>
        <w:lastRenderedPageBreak/>
        <w:t xml:space="preserve">across major indicators like these </w:t>
      </w:r>
      <w:r w:rsidR="00E6677A" w:rsidRPr="008470E2">
        <w:rPr>
          <w:rFonts w:ascii="Times New Roman" w:hAnsi="Times New Roman" w:cs="Times New Roman"/>
          <w:sz w:val="24"/>
          <w:szCs w:val="24"/>
        </w:rPr>
        <w:t>points to the</w:t>
      </w:r>
      <w:r w:rsidR="00534D79" w:rsidRPr="008470E2">
        <w:rPr>
          <w:rFonts w:ascii="Times New Roman" w:hAnsi="Times New Roman" w:cs="Times New Roman"/>
          <w:sz w:val="24"/>
          <w:szCs w:val="24"/>
        </w:rPr>
        <w:t xml:space="preserve"> </w:t>
      </w:r>
      <w:r w:rsidR="00E6677A" w:rsidRPr="008470E2">
        <w:rPr>
          <w:rFonts w:ascii="Times New Roman" w:hAnsi="Times New Roman" w:cs="Times New Roman"/>
          <w:sz w:val="24"/>
          <w:szCs w:val="24"/>
        </w:rPr>
        <w:t>fact that t</w:t>
      </w:r>
      <w:r w:rsidR="00534D79" w:rsidRPr="008470E2">
        <w:rPr>
          <w:rFonts w:ascii="Times New Roman" w:hAnsi="Times New Roman" w:cs="Times New Roman"/>
          <w:sz w:val="24"/>
          <w:szCs w:val="24"/>
        </w:rPr>
        <w:t>he world economy has become a complex network of connections, through the process of globalisation.</w:t>
      </w:r>
    </w:p>
    <w:p w14:paraId="2909D1A1" w14:textId="7174ED06" w:rsidR="00534D79" w:rsidRPr="008470E2" w:rsidRDefault="00C31B5C"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noProof/>
          <w:sz w:val="24"/>
          <w:szCs w:val="24"/>
          <w:lang w:val="en-IN" w:eastAsia="en-IN"/>
        </w:rPr>
        <w:drawing>
          <wp:inline distT="0" distB="0" distL="0" distR="0" wp14:anchorId="186A8743" wp14:editId="56CDC7B7">
            <wp:extent cx="2860964" cy="153715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587" t="43644" r="29895" b="8618"/>
                    <a:stretch/>
                  </pic:blipFill>
                  <pic:spPr bwMode="auto">
                    <a:xfrm>
                      <a:off x="0" y="0"/>
                      <a:ext cx="2871744" cy="1542945"/>
                    </a:xfrm>
                    <a:prstGeom prst="rect">
                      <a:avLst/>
                    </a:prstGeom>
                    <a:ln>
                      <a:noFill/>
                    </a:ln>
                    <a:extLst>
                      <a:ext uri="{53640926-AAD7-44D8-BBD7-CCE9431645EC}">
                        <a14:shadowObscured xmlns:a14="http://schemas.microsoft.com/office/drawing/2010/main"/>
                      </a:ext>
                    </a:extLst>
                  </pic:spPr>
                </pic:pic>
              </a:graphicData>
            </a:graphic>
          </wp:inline>
        </w:drawing>
      </w:r>
      <w:r w:rsidR="00534D79" w:rsidRPr="008470E2">
        <w:rPr>
          <w:rFonts w:ascii="Times New Roman" w:hAnsi="Times New Roman" w:cs="Times New Roman"/>
          <w:noProof/>
          <w:sz w:val="24"/>
          <w:szCs w:val="24"/>
          <w:lang w:eastAsia="en-IN"/>
        </w:rPr>
        <w:t xml:space="preserve"> </w:t>
      </w:r>
      <w:r w:rsidRPr="008470E2">
        <w:rPr>
          <w:rFonts w:ascii="Times New Roman" w:hAnsi="Times New Roman" w:cs="Times New Roman"/>
          <w:noProof/>
          <w:sz w:val="24"/>
          <w:szCs w:val="24"/>
          <w:lang w:val="en-IN" w:eastAsia="en-IN"/>
        </w:rPr>
        <w:drawing>
          <wp:inline distT="0" distB="0" distL="0" distR="0" wp14:anchorId="2DB5E502" wp14:editId="3E01DE34">
            <wp:extent cx="3089564" cy="1474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550" t="43653" r="29294" b="10566"/>
                    <a:stretch/>
                  </pic:blipFill>
                  <pic:spPr bwMode="auto">
                    <a:xfrm>
                      <a:off x="0" y="0"/>
                      <a:ext cx="3096580" cy="1477664"/>
                    </a:xfrm>
                    <a:prstGeom prst="rect">
                      <a:avLst/>
                    </a:prstGeom>
                    <a:ln>
                      <a:noFill/>
                    </a:ln>
                    <a:extLst>
                      <a:ext uri="{53640926-AAD7-44D8-BBD7-CCE9431645EC}">
                        <a14:shadowObscured xmlns:a14="http://schemas.microsoft.com/office/drawing/2010/main"/>
                      </a:ext>
                    </a:extLst>
                  </pic:spPr>
                </pic:pic>
              </a:graphicData>
            </a:graphic>
          </wp:inline>
        </w:drawing>
      </w:r>
    </w:p>
    <w:p w14:paraId="08F16D5C" w14:textId="067EA653" w:rsidR="00C31B5C" w:rsidRPr="008470E2" w:rsidRDefault="00C31B5C" w:rsidP="005630E6">
      <w:pPr>
        <w:spacing w:line="360" w:lineRule="auto"/>
        <w:jc w:val="left"/>
        <w:rPr>
          <w:rFonts w:cs="Times New Roman"/>
          <w:szCs w:val="24"/>
        </w:rPr>
      </w:pPr>
      <w:r w:rsidRPr="008470E2">
        <w:rPr>
          <w:rFonts w:cs="Times New Roman"/>
          <w:szCs w:val="24"/>
        </w:rPr>
        <w:t xml:space="preserve">Fig 7: Indonesia GDP growth 2000-20    </w:t>
      </w:r>
      <w:r w:rsidR="00090507" w:rsidRPr="008470E2">
        <w:rPr>
          <w:rFonts w:cs="Times New Roman"/>
          <w:szCs w:val="24"/>
        </w:rPr>
        <w:t xml:space="preserve">   </w:t>
      </w:r>
      <w:r w:rsidRPr="008470E2">
        <w:rPr>
          <w:rFonts w:cs="Times New Roman"/>
          <w:szCs w:val="24"/>
        </w:rPr>
        <w:t xml:space="preserve">Fig 7: Indonesia GDP per capita </w:t>
      </w:r>
      <w:r w:rsidR="00090507" w:rsidRPr="008470E2">
        <w:rPr>
          <w:rFonts w:cs="Times New Roman"/>
          <w:szCs w:val="24"/>
        </w:rPr>
        <w:t>growth 2000-20</w:t>
      </w:r>
    </w:p>
    <w:p w14:paraId="094BAA9C" w14:textId="16FE7DED" w:rsidR="008F0335" w:rsidRPr="008470E2" w:rsidRDefault="00C31B5C" w:rsidP="005630E6">
      <w:pPr>
        <w:spacing w:line="360" w:lineRule="auto"/>
        <w:jc w:val="left"/>
        <w:rPr>
          <w:rFonts w:cs="Times New Roman"/>
          <w:szCs w:val="24"/>
        </w:rPr>
      </w:pPr>
      <w:r w:rsidRPr="008470E2">
        <w:rPr>
          <w:rFonts w:cs="Times New Roman"/>
          <w:szCs w:val="24"/>
        </w:rPr>
        <w:t>(Source:</w:t>
      </w:r>
      <w:r w:rsidR="00FF6889" w:rsidRPr="008470E2">
        <w:rPr>
          <w:rFonts w:cs="Times New Roman"/>
          <w:szCs w:val="24"/>
        </w:rPr>
        <w:t xml:space="preserve"> GDP Growth Trading Economics. 2022</w:t>
      </w:r>
      <w:r w:rsidR="00144478" w:rsidRPr="008470E2">
        <w:rPr>
          <w:rFonts w:cs="Times New Roman"/>
          <w:szCs w:val="24"/>
        </w:rPr>
        <w:t>)</w:t>
      </w:r>
      <w:r w:rsidRPr="008470E2">
        <w:rPr>
          <w:rFonts w:cs="Times New Roman"/>
          <w:szCs w:val="24"/>
        </w:rPr>
        <w:t xml:space="preserve">   </w:t>
      </w:r>
      <w:r w:rsidR="00144478" w:rsidRPr="008470E2">
        <w:rPr>
          <w:rFonts w:cs="Times New Roman"/>
          <w:szCs w:val="24"/>
        </w:rPr>
        <w:t>(</w:t>
      </w:r>
      <w:r w:rsidRPr="008470E2">
        <w:rPr>
          <w:rFonts w:cs="Times New Roman"/>
          <w:szCs w:val="24"/>
        </w:rPr>
        <w:t>Source</w:t>
      </w:r>
      <w:r w:rsidR="00144478" w:rsidRPr="008470E2">
        <w:rPr>
          <w:rFonts w:cs="Times New Roman"/>
          <w:szCs w:val="24"/>
        </w:rPr>
        <w:t>: GDP per cap Trading Economics. 2022)</w:t>
      </w:r>
    </w:p>
    <w:p w14:paraId="562B97D8" w14:textId="2C226629" w:rsidR="00C31B5C" w:rsidRPr="008470E2" w:rsidRDefault="00090507" w:rsidP="005630E6">
      <w:pPr>
        <w:spacing w:line="360" w:lineRule="auto"/>
        <w:rPr>
          <w:rFonts w:cs="Times New Roman"/>
          <w:szCs w:val="24"/>
        </w:rPr>
      </w:pPr>
      <w:r w:rsidRPr="008470E2">
        <w:rPr>
          <w:rFonts w:cs="Times New Roman"/>
          <w:szCs w:val="24"/>
        </w:rPr>
        <w:t>A comparison</w:t>
      </w:r>
      <w:r w:rsidR="00C31B5C" w:rsidRPr="008470E2">
        <w:rPr>
          <w:rFonts w:cs="Times New Roman"/>
          <w:szCs w:val="24"/>
        </w:rPr>
        <w:t xml:space="preserve"> of the world economic macro indicators and the </w:t>
      </w:r>
      <w:r w:rsidRPr="008470E2">
        <w:rPr>
          <w:rFonts w:cs="Times New Roman"/>
          <w:szCs w:val="24"/>
        </w:rPr>
        <w:t>country-specific</w:t>
      </w:r>
      <w:r w:rsidR="00C31B5C" w:rsidRPr="008470E2">
        <w:rPr>
          <w:rFonts w:cs="Times New Roman"/>
          <w:szCs w:val="24"/>
        </w:rPr>
        <w:t xml:space="preserve"> macro indicators of Indonesia such as GDP growth rate and GDP per capita </w:t>
      </w:r>
      <w:r w:rsidRPr="008470E2">
        <w:rPr>
          <w:rFonts w:cs="Times New Roman"/>
          <w:szCs w:val="24"/>
        </w:rPr>
        <w:t xml:space="preserve">growth rate resembled a near similar pattern of </w:t>
      </w:r>
      <w:r w:rsidR="00EB4B2E">
        <w:rPr>
          <w:rFonts w:cs="Times New Roman"/>
          <w:szCs w:val="24"/>
        </w:rPr>
        <w:t>rising</w:t>
      </w:r>
      <w:r w:rsidRPr="008470E2">
        <w:rPr>
          <w:rFonts w:cs="Times New Roman"/>
          <w:szCs w:val="24"/>
        </w:rPr>
        <w:t xml:space="preserve"> and fall. For example</w:t>
      </w:r>
      <w:r w:rsidR="00EB4B2E">
        <w:rPr>
          <w:rFonts w:cs="Times New Roman"/>
          <w:szCs w:val="24"/>
        </w:rPr>
        <w:t>,</w:t>
      </w:r>
      <w:r w:rsidRPr="008470E2">
        <w:rPr>
          <w:rFonts w:cs="Times New Roman"/>
          <w:szCs w:val="24"/>
        </w:rPr>
        <w:t xml:space="preserve"> the sudden fall across all the four indicators for both World and Indonesia occurred almost around the same time of 2008-2009 and during 2020. </w:t>
      </w:r>
      <w:r w:rsidR="00483B35" w:rsidRPr="008470E2">
        <w:rPr>
          <w:rFonts w:cs="Times New Roman"/>
          <w:szCs w:val="24"/>
        </w:rPr>
        <w:t xml:space="preserve">The dip in the growth rate during 2008 is attributed to the global financial crisis during the housing crisis </w:t>
      </w:r>
      <w:r w:rsidR="00EB4B2E">
        <w:rPr>
          <w:rFonts w:cs="Times New Roman"/>
          <w:szCs w:val="24"/>
        </w:rPr>
        <w:t>in</w:t>
      </w:r>
      <w:r w:rsidR="00483B35" w:rsidRPr="008470E2">
        <w:rPr>
          <w:rFonts w:cs="Times New Roman"/>
          <w:szCs w:val="24"/>
        </w:rPr>
        <w:t xml:space="preserve"> the US and the Covid crisis of 2021. </w:t>
      </w:r>
    </w:p>
    <w:p w14:paraId="41F1B6CB" w14:textId="161997BC" w:rsidR="009F1E9D" w:rsidRPr="008470E2" w:rsidRDefault="009F1E9D" w:rsidP="005630E6">
      <w:pPr>
        <w:spacing w:line="360" w:lineRule="auto"/>
        <w:rPr>
          <w:rFonts w:cs="Times New Roman"/>
          <w:szCs w:val="24"/>
        </w:rPr>
      </w:pPr>
    </w:p>
    <w:p w14:paraId="4A84C877" w14:textId="57AD9E35" w:rsidR="000866A4" w:rsidRPr="008470E2" w:rsidRDefault="00F7362A" w:rsidP="005630E6">
      <w:pPr>
        <w:pStyle w:val="Heading3"/>
        <w:spacing w:line="360" w:lineRule="auto"/>
        <w:rPr>
          <w:rFonts w:cs="Times New Roman"/>
        </w:rPr>
      </w:pPr>
      <w:bookmarkStart w:id="13" w:name="_Toc102433495"/>
      <w:r w:rsidRPr="008470E2">
        <w:rPr>
          <w:rFonts w:cs="Times New Roman"/>
        </w:rPr>
        <w:t xml:space="preserve">2.2.2 </w:t>
      </w:r>
      <w:r w:rsidR="000866A4" w:rsidRPr="008470E2">
        <w:rPr>
          <w:rFonts w:cs="Times New Roman"/>
        </w:rPr>
        <w:t>International trade</w:t>
      </w:r>
      <w:bookmarkEnd w:id="13"/>
    </w:p>
    <w:p w14:paraId="7BB6CADC" w14:textId="61074DD6" w:rsidR="00826F9F" w:rsidRPr="008470E2" w:rsidRDefault="00682EF7" w:rsidP="005630E6">
      <w:pPr>
        <w:spacing w:line="360" w:lineRule="auto"/>
        <w:rPr>
          <w:rFonts w:cs="Times New Roman"/>
          <w:b/>
          <w:szCs w:val="24"/>
        </w:rPr>
      </w:pPr>
      <w:r w:rsidRPr="008470E2">
        <w:rPr>
          <w:rFonts w:cs="Times New Roman"/>
          <w:b/>
          <w:szCs w:val="24"/>
        </w:rPr>
        <w:t>Global Strategic Rivalry Theory</w:t>
      </w:r>
    </w:p>
    <w:p w14:paraId="6282F0D0" w14:textId="4C8219D1" w:rsidR="00682EF7" w:rsidRPr="008470E2" w:rsidRDefault="001B1F49"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 xml:space="preserve">This </w:t>
      </w:r>
      <w:r w:rsidR="00682EF7" w:rsidRPr="008470E2">
        <w:rPr>
          <w:rFonts w:ascii="Times New Roman" w:hAnsi="Times New Roman" w:cs="Times New Roman"/>
          <w:sz w:val="24"/>
          <w:szCs w:val="24"/>
        </w:rPr>
        <w:t>theory indicates ways MNCs direct efforts to have a competitive advantage over other global firms in their industry</w:t>
      </w:r>
      <w:r w:rsidR="00144478" w:rsidRPr="008470E2">
        <w:rPr>
          <w:rFonts w:ascii="Times New Roman" w:hAnsi="Times New Roman" w:cs="Times New Roman"/>
          <w:sz w:val="24"/>
          <w:szCs w:val="24"/>
        </w:rPr>
        <w:t xml:space="preserve"> (Github. 2022)</w:t>
      </w:r>
      <w:r w:rsidR="00682EF7" w:rsidRPr="008470E2">
        <w:rPr>
          <w:rFonts w:ascii="Times New Roman" w:hAnsi="Times New Roman" w:cs="Times New Roman"/>
          <w:sz w:val="24"/>
          <w:szCs w:val="24"/>
        </w:rPr>
        <w:t xml:space="preserve">. </w:t>
      </w:r>
      <w:r w:rsidR="00D50BC6" w:rsidRPr="008470E2">
        <w:rPr>
          <w:rFonts w:ascii="Times New Roman" w:hAnsi="Times New Roman" w:cs="Times New Roman"/>
          <w:sz w:val="24"/>
          <w:szCs w:val="24"/>
        </w:rPr>
        <w:t xml:space="preserve">Sainsbury </w:t>
      </w:r>
      <w:r w:rsidR="0082315A" w:rsidRPr="008470E2">
        <w:rPr>
          <w:rFonts w:ascii="Times New Roman" w:hAnsi="Times New Roman" w:cs="Times New Roman"/>
          <w:sz w:val="24"/>
          <w:szCs w:val="24"/>
        </w:rPr>
        <w:t>does not face</w:t>
      </w:r>
      <w:r w:rsidR="00D50BC6" w:rsidRPr="008470E2">
        <w:rPr>
          <w:rFonts w:ascii="Times New Roman" w:hAnsi="Times New Roman" w:cs="Times New Roman"/>
          <w:sz w:val="24"/>
          <w:szCs w:val="24"/>
        </w:rPr>
        <w:t xml:space="preserve"> </w:t>
      </w:r>
      <w:r w:rsidR="00EB4B2E">
        <w:rPr>
          <w:rFonts w:ascii="Times New Roman" w:hAnsi="Times New Roman" w:cs="Times New Roman"/>
          <w:sz w:val="24"/>
          <w:szCs w:val="24"/>
        </w:rPr>
        <w:t xml:space="preserve">a </w:t>
      </w:r>
      <w:r w:rsidR="0082315A" w:rsidRPr="008470E2">
        <w:rPr>
          <w:rFonts w:ascii="Times New Roman" w:hAnsi="Times New Roman" w:cs="Times New Roman"/>
          <w:sz w:val="24"/>
          <w:szCs w:val="24"/>
        </w:rPr>
        <w:t xml:space="preserve">high </w:t>
      </w:r>
      <w:r w:rsidR="00D50BC6" w:rsidRPr="008470E2">
        <w:rPr>
          <w:rFonts w:ascii="Times New Roman" w:hAnsi="Times New Roman" w:cs="Times New Roman"/>
          <w:sz w:val="24"/>
          <w:szCs w:val="24"/>
        </w:rPr>
        <w:t xml:space="preserve">barrier to </w:t>
      </w:r>
      <w:r w:rsidR="0082315A" w:rsidRPr="008470E2">
        <w:rPr>
          <w:rFonts w:ascii="Times New Roman" w:hAnsi="Times New Roman" w:cs="Times New Roman"/>
          <w:sz w:val="24"/>
          <w:szCs w:val="24"/>
        </w:rPr>
        <w:t>entry in Indonesia</w:t>
      </w:r>
      <w:r w:rsidR="00D50BC6" w:rsidRPr="008470E2">
        <w:rPr>
          <w:rFonts w:ascii="Times New Roman" w:hAnsi="Times New Roman" w:cs="Times New Roman"/>
          <w:sz w:val="24"/>
          <w:szCs w:val="24"/>
        </w:rPr>
        <w:t xml:space="preserve"> to compete </w:t>
      </w:r>
      <w:r w:rsidR="0082315A" w:rsidRPr="008470E2">
        <w:rPr>
          <w:rFonts w:ascii="Times New Roman" w:hAnsi="Times New Roman" w:cs="Times New Roman"/>
          <w:sz w:val="24"/>
          <w:szCs w:val="24"/>
        </w:rPr>
        <w:t>successfully</w:t>
      </w:r>
      <w:r w:rsidR="00D50BC6" w:rsidRPr="008470E2">
        <w:rPr>
          <w:rFonts w:ascii="Times New Roman" w:hAnsi="Times New Roman" w:cs="Times New Roman"/>
          <w:sz w:val="24"/>
          <w:szCs w:val="24"/>
        </w:rPr>
        <w:t xml:space="preserve"> with other global firms. </w:t>
      </w:r>
      <w:r w:rsidR="0082315A" w:rsidRPr="008470E2">
        <w:rPr>
          <w:rFonts w:ascii="Times New Roman" w:hAnsi="Times New Roman" w:cs="Times New Roman"/>
          <w:sz w:val="24"/>
          <w:szCs w:val="24"/>
        </w:rPr>
        <w:t xml:space="preserve">Sainsbury can use two competitive advantage over other domestic players in Indonesia, which is economies of scale and low cost of raw material sourcing from neighbouring countries. </w:t>
      </w:r>
      <w:r w:rsidR="003A1ABA" w:rsidRPr="008470E2">
        <w:rPr>
          <w:rFonts w:ascii="Times New Roman" w:hAnsi="Times New Roman" w:cs="Times New Roman"/>
          <w:sz w:val="24"/>
          <w:szCs w:val="24"/>
        </w:rPr>
        <w:t xml:space="preserve">Sainsbury </w:t>
      </w:r>
      <w:r w:rsidR="00EB4B2E">
        <w:rPr>
          <w:rFonts w:ascii="Times New Roman" w:hAnsi="Times New Roman" w:cs="Times New Roman"/>
          <w:sz w:val="24"/>
          <w:szCs w:val="24"/>
        </w:rPr>
        <w:t>can</w:t>
      </w:r>
      <w:r w:rsidR="003A1ABA" w:rsidRPr="008470E2">
        <w:rPr>
          <w:rFonts w:ascii="Times New Roman" w:hAnsi="Times New Roman" w:cs="Times New Roman"/>
          <w:sz w:val="24"/>
          <w:szCs w:val="24"/>
        </w:rPr>
        <w:t xml:space="preserve"> scale its production facility in Indonesia through capital infusion diverted from other subsidiary units in different countries in the form of FDI. In case the decision to scale up </w:t>
      </w:r>
      <w:r w:rsidR="00EB4B2E">
        <w:rPr>
          <w:rFonts w:ascii="Times New Roman" w:hAnsi="Times New Roman" w:cs="Times New Roman"/>
          <w:sz w:val="24"/>
          <w:szCs w:val="24"/>
        </w:rPr>
        <w:t xml:space="preserve">the </w:t>
      </w:r>
      <w:r w:rsidR="003A1ABA" w:rsidRPr="008470E2">
        <w:rPr>
          <w:rFonts w:ascii="Times New Roman" w:hAnsi="Times New Roman" w:cs="Times New Roman"/>
          <w:sz w:val="24"/>
          <w:szCs w:val="24"/>
        </w:rPr>
        <w:t xml:space="preserve">production facility is not undertaken, it can still offer products at competitive pricing through </w:t>
      </w:r>
      <w:r w:rsidR="00EB4B2E">
        <w:rPr>
          <w:rFonts w:ascii="Times New Roman" w:hAnsi="Times New Roman" w:cs="Times New Roman"/>
          <w:sz w:val="24"/>
          <w:szCs w:val="24"/>
        </w:rPr>
        <w:t xml:space="preserve">the </w:t>
      </w:r>
      <w:r w:rsidR="003A1ABA" w:rsidRPr="008470E2">
        <w:rPr>
          <w:rFonts w:ascii="Times New Roman" w:hAnsi="Times New Roman" w:cs="Times New Roman"/>
          <w:sz w:val="24"/>
          <w:szCs w:val="24"/>
        </w:rPr>
        <w:t xml:space="preserve">low cost of </w:t>
      </w:r>
      <w:r w:rsidR="00EB4B2E">
        <w:rPr>
          <w:rFonts w:ascii="Times New Roman" w:hAnsi="Times New Roman" w:cs="Times New Roman"/>
          <w:sz w:val="24"/>
          <w:szCs w:val="24"/>
        </w:rPr>
        <w:t>source</w:t>
      </w:r>
      <w:r w:rsidR="003A1ABA" w:rsidRPr="008470E2">
        <w:rPr>
          <w:rFonts w:ascii="Times New Roman" w:hAnsi="Times New Roman" w:cs="Times New Roman"/>
          <w:sz w:val="24"/>
          <w:szCs w:val="24"/>
        </w:rPr>
        <w:t xml:space="preserve"> of finished products from neighbouring places such as China, Hong Kong, </w:t>
      </w:r>
      <w:r w:rsidR="00EB4B2E">
        <w:rPr>
          <w:rFonts w:ascii="Times New Roman" w:hAnsi="Times New Roman" w:cs="Times New Roman"/>
          <w:sz w:val="24"/>
          <w:szCs w:val="24"/>
        </w:rPr>
        <w:t>and Bangladesh</w:t>
      </w:r>
      <w:r w:rsidR="003A1ABA" w:rsidRPr="008470E2">
        <w:rPr>
          <w:rFonts w:ascii="Times New Roman" w:hAnsi="Times New Roman" w:cs="Times New Roman"/>
          <w:sz w:val="24"/>
          <w:szCs w:val="24"/>
        </w:rPr>
        <w:t xml:space="preserve"> and finish the product packaging </w:t>
      </w:r>
      <w:r w:rsidR="00EB4B2E">
        <w:rPr>
          <w:rFonts w:ascii="Times New Roman" w:hAnsi="Times New Roman" w:cs="Times New Roman"/>
          <w:sz w:val="24"/>
          <w:szCs w:val="24"/>
        </w:rPr>
        <w:t xml:space="preserve">for the </w:t>
      </w:r>
      <w:r w:rsidR="003A1ABA" w:rsidRPr="008470E2">
        <w:rPr>
          <w:rFonts w:ascii="Times New Roman" w:hAnsi="Times New Roman" w:cs="Times New Roman"/>
          <w:sz w:val="24"/>
          <w:szCs w:val="24"/>
        </w:rPr>
        <w:t>final consumers in Indonesia.</w:t>
      </w:r>
    </w:p>
    <w:p w14:paraId="30667444" w14:textId="3958D327" w:rsidR="00E50989" w:rsidRPr="008470E2" w:rsidRDefault="00E50989" w:rsidP="005630E6">
      <w:pPr>
        <w:pStyle w:val="ListParagraph"/>
        <w:spacing w:before="120" w:after="120" w:line="360" w:lineRule="auto"/>
        <w:ind w:left="0" w:right="-613"/>
        <w:jc w:val="both"/>
        <w:rPr>
          <w:rFonts w:ascii="Times New Roman" w:hAnsi="Times New Roman" w:cs="Times New Roman"/>
          <w:sz w:val="24"/>
          <w:szCs w:val="24"/>
        </w:rPr>
      </w:pPr>
    </w:p>
    <w:p w14:paraId="1FA94095" w14:textId="3D8BFBA5" w:rsidR="00340405" w:rsidRPr="008470E2" w:rsidRDefault="00340405" w:rsidP="005630E6">
      <w:pPr>
        <w:pStyle w:val="ListParagraph"/>
        <w:spacing w:before="120" w:after="120" w:line="360" w:lineRule="auto"/>
        <w:ind w:left="0" w:right="-613"/>
        <w:jc w:val="both"/>
        <w:rPr>
          <w:rFonts w:ascii="Times New Roman" w:hAnsi="Times New Roman" w:cs="Times New Roman"/>
          <w:i/>
          <w:sz w:val="24"/>
          <w:szCs w:val="24"/>
        </w:rPr>
      </w:pPr>
      <w:r w:rsidRPr="008470E2">
        <w:rPr>
          <w:rFonts w:ascii="Times New Roman" w:hAnsi="Times New Roman" w:cs="Times New Roman"/>
          <w:sz w:val="24"/>
          <w:szCs w:val="24"/>
        </w:rPr>
        <w:lastRenderedPageBreak/>
        <w:t xml:space="preserve">International trade relations between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 xml:space="preserve">UK and </w:t>
      </w:r>
      <w:r w:rsidR="00EB4B2E">
        <w:rPr>
          <w:rFonts w:ascii="Times New Roman" w:hAnsi="Times New Roman" w:cs="Times New Roman"/>
          <w:sz w:val="24"/>
          <w:szCs w:val="24"/>
        </w:rPr>
        <w:t>Indonesia</w:t>
      </w:r>
      <w:r w:rsidRPr="008470E2">
        <w:rPr>
          <w:rFonts w:ascii="Times New Roman" w:hAnsi="Times New Roman" w:cs="Times New Roman"/>
          <w:sz w:val="24"/>
          <w:szCs w:val="24"/>
        </w:rPr>
        <w:t xml:space="preserve"> </w:t>
      </w:r>
      <w:r w:rsidR="00EB4B2E">
        <w:rPr>
          <w:rFonts w:ascii="Times New Roman" w:hAnsi="Times New Roman" w:cs="Times New Roman"/>
          <w:sz w:val="24"/>
          <w:szCs w:val="24"/>
        </w:rPr>
        <w:t>are</w:t>
      </w:r>
      <w:r w:rsidRPr="008470E2">
        <w:rPr>
          <w:rFonts w:ascii="Times New Roman" w:hAnsi="Times New Roman" w:cs="Times New Roman"/>
          <w:sz w:val="24"/>
          <w:szCs w:val="24"/>
        </w:rPr>
        <w:t xml:space="preserve"> slowly picking up and </w:t>
      </w:r>
      <w:r w:rsidR="001B1F49" w:rsidRPr="008470E2">
        <w:rPr>
          <w:rFonts w:ascii="Times New Roman" w:hAnsi="Times New Roman" w:cs="Times New Roman"/>
          <w:sz w:val="24"/>
          <w:szCs w:val="24"/>
        </w:rPr>
        <w:t xml:space="preserve">although </w:t>
      </w:r>
      <w:r w:rsidRPr="008470E2">
        <w:rPr>
          <w:rFonts w:ascii="Times New Roman" w:hAnsi="Times New Roman" w:cs="Times New Roman"/>
          <w:sz w:val="24"/>
          <w:szCs w:val="24"/>
        </w:rPr>
        <w:t>currently</w:t>
      </w:r>
      <w:r w:rsidR="005630E6">
        <w:rPr>
          <w:rFonts w:ascii="Times New Roman" w:hAnsi="Times New Roman" w:cs="Times New Roman"/>
          <w:sz w:val="24"/>
          <w:szCs w:val="24"/>
        </w:rPr>
        <w:t>,</w:t>
      </w:r>
      <w:r w:rsidRPr="008470E2">
        <w:rPr>
          <w:rFonts w:ascii="Times New Roman" w:hAnsi="Times New Roman" w:cs="Times New Roman"/>
          <w:sz w:val="24"/>
          <w:szCs w:val="24"/>
        </w:rPr>
        <w:t xml:space="preserve"> </w:t>
      </w:r>
      <w:r w:rsidR="005630E6">
        <w:rPr>
          <w:rFonts w:ascii="Times New Roman" w:hAnsi="Times New Roman" w:cs="Times New Roman"/>
          <w:sz w:val="24"/>
          <w:szCs w:val="24"/>
        </w:rPr>
        <w:t>Indonesia’s</w:t>
      </w:r>
      <w:r w:rsidRPr="008470E2">
        <w:rPr>
          <w:rFonts w:ascii="Times New Roman" w:hAnsi="Times New Roman" w:cs="Times New Roman"/>
          <w:sz w:val="24"/>
          <w:szCs w:val="24"/>
        </w:rPr>
        <w:t xml:space="preserve"> exports to and from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 xml:space="preserve">UK </w:t>
      </w:r>
      <w:r w:rsidR="00EB4B2E">
        <w:rPr>
          <w:rFonts w:ascii="Times New Roman" w:hAnsi="Times New Roman" w:cs="Times New Roman"/>
          <w:sz w:val="24"/>
          <w:szCs w:val="24"/>
        </w:rPr>
        <w:t>constitute</w:t>
      </w:r>
      <w:r w:rsidRPr="008470E2">
        <w:rPr>
          <w:rFonts w:ascii="Times New Roman" w:hAnsi="Times New Roman" w:cs="Times New Roman"/>
          <w:sz w:val="24"/>
          <w:szCs w:val="24"/>
        </w:rPr>
        <w:t xml:space="preserve"> less than 1% of the total trade volume in 2021</w:t>
      </w:r>
      <w:r w:rsidR="001B1F49" w:rsidRPr="008470E2">
        <w:rPr>
          <w:rFonts w:ascii="Times New Roman" w:hAnsi="Times New Roman" w:cs="Times New Roman"/>
          <w:sz w:val="24"/>
          <w:szCs w:val="24"/>
        </w:rPr>
        <w:t xml:space="preserve"> the export volume is supposed to increase in the future</w:t>
      </w:r>
      <w:r w:rsidR="00144478" w:rsidRPr="008470E2">
        <w:rPr>
          <w:rFonts w:ascii="Times New Roman" w:hAnsi="Times New Roman" w:cs="Times New Roman"/>
          <w:sz w:val="24"/>
          <w:szCs w:val="24"/>
        </w:rPr>
        <w:t xml:space="preserve"> (The Jakarta Post, 2022)</w:t>
      </w:r>
      <w:r w:rsidRPr="008470E2">
        <w:rPr>
          <w:rFonts w:ascii="Times New Roman" w:hAnsi="Times New Roman" w:cs="Times New Roman"/>
          <w:sz w:val="24"/>
          <w:szCs w:val="24"/>
        </w:rPr>
        <w:t xml:space="preserve">. The top 5 products that were imported from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 xml:space="preserve">UK to Indonesia </w:t>
      </w:r>
      <w:r w:rsidR="00EB4B2E">
        <w:rPr>
          <w:rFonts w:ascii="Times New Roman" w:hAnsi="Times New Roman" w:cs="Times New Roman"/>
          <w:sz w:val="24"/>
          <w:szCs w:val="24"/>
        </w:rPr>
        <w:t xml:space="preserve">are </w:t>
      </w:r>
      <w:r w:rsidRPr="008470E2">
        <w:rPr>
          <w:rFonts w:ascii="Times New Roman" w:hAnsi="Times New Roman" w:cs="Times New Roman"/>
          <w:sz w:val="24"/>
          <w:szCs w:val="24"/>
        </w:rPr>
        <w:t xml:space="preserve">paper products, metal ores, industrial machinery, </w:t>
      </w:r>
      <w:r w:rsidR="00EB4B2E">
        <w:rPr>
          <w:rFonts w:ascii="Times New Roman" w:hAnsi="Times New Roman" w:cs="Times New Roman"/>
          <w:sz w:val="24"/>
          <w:szCs w:val="24"/>
        </w:rPr>
        <w:t xml:space="preserve">and </w:t>
      </w:r>
      <w:r w:rsidRPr="008470E2">
        <w:rPr>
          <w:rFonts w:ascii="Times New Roman" w:hAnsi="Times New Roman" w:cs="Times New Roman"/>
          <w:sz w:val="24"/>
          <w:szCs w:val="24"/>
        </w:rPr>
        <w:t xml:space="preserve">cars. While the top categories exported to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UK from Indonesia are footwear, wood and cork manufacturers, clothing,</w:t>
      </w:r>
      <w:r w:rsidR="001B1F49" w:rsidRPr="008470E2">
        <w:rPr>
          <w:rFonts w:ascii="Times New Roman" w:hAnsi="Times New Roman" w:cs="Times New Roman"/>
          <w:sz w:val="24"/>
          <w:szCs w:val="24"/>
        </w:rPr>
        <w:t xml:space="preserve"> and</w:t>
      </w:r>
      <w:r w:rsidRPr="008470E2">
        <w:rPr>
          <w:rFonts w:ascii="Times New Roman" w:hAnsi="Times New Roman" w:cs="Times New Roman"/>
          <w:sz w:val="24"/>
          <w:szCs w:val="24"/>
        </w:rPr>
        <w:t xml:space="preserve"> furniture. A closer look at the export list from Indonesia to </w:t>
      </w:r>
      <w:r w:rsidR="00EB4B2E">
        <w:rPr>
          <w:rFonts w:ascii="Times New Roman" w:hAnsi="Times New Roman" w:cs="Times New Roman"/>
          <w:sz w:val="24"/>
          <w:szCs w:val="24"/>
        </w:rPr>
        <w:t xml:space="preserve">the </w:t>
      </w:r>
      <w:r w:rsidRPr="008470E2">
        <w:rPr>
          <w:rFonts w:ascii="Times New Roman" w:hAnsi="Times New Roman" w:cs="Times New Roman"/>
          <w:sz w:val="24"/>
          <w:szCs w:val="24"/>
        </w:rPr>
        <w:t xml:space="preserve">UK reveals products that are already in the product category list of Sainsbury. UK </w:t>
      </w:r>
      <w:r w:rsidR="001B1F49" w:rsidRPr="008470E2">
        <w:rPr>
          <w:rFonts w:ascii="Times New Roman" w:hAnsi="Times New Roman" w:cs="Times New Roman"/>
          <w:sz w:val="24"/>
          <w:szCs w:val="24"/>
        </w:rPr>
        <w:t>is thus one of the preferred destinations for Indonesian exporters</w:t>
      </w:r>
      <w:r w:rsidR="00144478" w:rsidRPr="008470E2">
        <w:rPr>
          <w:rFonts w:ascii="Times New Roman" w:hAnsi="Times New Roman" w:cs="Times New Roman"/>
          <w:sz w:val="24"/>
          <w:szCs w:val="24"/>
        </w:rPr>
        <w:t xml:space="preserve"> (Assets Publishing Service Gov UK, 2022)</w:t>
      </w:r>
      <w:r w:rsidR="001B1F49" w:rsidRPr="008470E2">
        <w:rPr>
          <w:rFonts w:ascii="Times New Roman" w:hAnsi="Times New Roman" w:cs="Times New Roman"/>
          <w:sz w:val="24"/>
          <w:szCs w:val="24"/>
        </w:rPr>
        <w:t xml:space="preserve">. As the trade relations </w:t>
      </w:r>
      <w:r w:rsidR="00EB4B2E">
        <w:rPr>
          <w:rFonts w:ascii="Times New Roman" w:hAnsi="Times New Roman" w:cs="Times New Roman"/>
          <w:sz w:val="24"/>
          <w:szCs w:val="24"/>
        </w:rPr>
        <w:t>between</w:t>
      </w:r>
      <w:r w:rsidR="001B1F49" w:rsidRPr="008470E2">
        <w:rPr>
          <w:rFonts w:ascii="Times New Roman" w:hAnsi="Times New Roman" w:cs="Times New Roman"/>
          <w:sz w:val="24"/>
          <w:szCs w:val="24"/>
        </w:rPr>
        <w:t xml:space="preserve"> the two countries are st</w:t>
      </w:r>
      <w:r w:rsidR="00C4373F" w:rsidRPr="008470E2">
        <w:rPr>
          <w:rFonts w:ascii="Times New Roman" w:hAnsi="Times New Roman" w:cs="Times New Roman"/>
          <w:sz w:val="24"/>
          <w:szCs w:val="24"/>
        </w:rPr>
        <w:t xml:space="preserve">ill in the development stage, Sainsbury can increase its trade export volume from Indonesia to </w:t>
      </w:r>
      <w:r w:rsidR="00EB4B2E">
        <w:rPr>
          <w:rFonts w:ascii="Times New Roman" w:hAnsi="Times New Roman" w:cs="Times New Roman"/>
          <w:sz w:val="24"/>
          <w:szCs w:val="24"/>
        </w:rPr>
        <w:t xml:space="preserve">the </w:t>
      </w:r>
      <w:r w:rsidR="00C4373F" w:rsidRPr="008470E2">
        <w:rPr>
          <w:rFonts w:ascii="Times New Roman" w:hAnsi="Times New Roman" w:cs="Times New Roman"/>
          <w:sz w:val="24"/>
          <w:szCs w:val="24"/>
        </w:rPr>
        <w:t>UK and use this opportunity to expand</w:t>
      </w:r>
      <w:r w:rsidR="00EB4B2E">
        <w:rPr>
          <w:rFonts w:ascii="Times New Roman" w:hAnsi="Times New Roman" w:cs="Times New Roman"/>
          <w:sz w:val="24"/>
          <w:szCs w:val="24"/>
        </w:rPr>
        <w:t xml:space="preserve"> </w:t>
      </w:r>
      <w:r w:rsidR="00C4373F" w:rsidRPr="008470E2">
        <w:rPr>
          <w:rFonts w:ascii="Times New Roman" w:hAnsi="Times New Roman" w:cs="Times New Roman"/>
          <w:sz w:val="24"/>
          <w:szCs w:val="24"/>
        </w:rPr>
        <w:t>its business in Indonesia.</w:t>
      </w:r>
    </w:p>
    <w:p w14:paraId="046F79C8" w14:textId="39B7CD4A" w:rsidR="000A3187" w:rsidRPr="008470E2" w:rsidRDefault="00F7362A" w:rsidP="005630E6">
      <w:pPr>
        <w:pStyle w:val="Heading3"/>
        <w:spacing w:line="360" w:lineRule="auto"/>
        <w:rPr>
          <w:rFonts w:cs="Times New Roman"/>
        </w:rPr>
      </w:pPr>
      <w:bookmarkStart w:id="14" w:name="_Toc102433496"/>
      <w:r w:rsidRPr="008470E2">
        <w:rPr>
          <w:rFonts w:cs="Times New Roman"/>
        </w:rPr>
        <w:t xml:space="preserve">2.2.3 </w:t>
      </w:r>
      <w:r w:rsidR="00E50989" w:rsidRPr="008470E2">
        <w:rPr>
          <w:rFonts w:cs="Times New Roman"/>
        </w:rPr>
        <w:t>The macroeconomic environment</w:t>
      </w:r>
      <w:bookmarkEnd w:id="14"/>
    </w:p>
    <w:p w14:paraId="17C02376" w14:textId="33C4A770" w:rsidR="00E50989" w:rsidRPr="008470E2" w:rsidRDefault="00C4373F"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 xml:space="preserve">Indonesia’s macro-economic environment </w:t>
      </w:r>
      <w:r w:rsidR="00056EE8" w:rsidRPr="008470E2">
        <w:rPr>
          <w:rFonts w:ascii="Times New Roman" w:hAnsi="Times New Roman" w:cs="Times New Roman"/>
          <w:sz w:val="24"/>
          <w:szCs w:val="24"/>
        </w:rPr>
        <w:t xml:space="preserve">is </w:t>
      </w:r>
      <w:r w:rsidRPr="008470E2">
        <w:rPr>
          <w:rFonts w:ascii="Times New Roman" w:hAnsi="Times New Roman" w:cs="Times New Roman"/>
          <w:sz w:val="24"/>
          <w:szCs w:val="24"/>
        </w:rPr>
        <w:t>evaluated with</w:t>
      </w:r>
      <w:r w:rsidR="00056EE8" w:rsidRPr="008470E2">
        <w:rPr>
          <w:rFonts w:ascii="Times New Roman" w:hAnsi="Times New Roman" w:cs="Times New Roman"/>
          <w:sz w:val="24"/>
          <w:szCs w:val="24"/>
        </w:rPr>
        <w:t xml:space="preserve"> indicators </w:t>
      </w:r>
      <w:r w:rsidRPr="008470E2">
        <w:rPr>
          <w:rFonts w:ascii="Times New Roman" w:hAnsi="Times New Roman" w:cs="Times New Roman"/>
          <w:sz w:val="24"/>
          <w:szCs w:val="24"/>
        </w:rPr>
        <w:t>like</w:t>
      </w:r>
      <w:r w:rsidR="00056EE8" w:rsidRPr="008470E2">
        <w:rPr>
          <w:rFonts w:ascii="Times New Roman" w:hAnsi="Times New Roman" w:cs="Times New Roman"/>
          <w:sz w:val="24"/>
          <w:szCs w:val="24"/>
        </w:rPr>
        <w:t xml:space="preserve"> GDP, GDP per capita, </w:t>
      </w:r>
      <w:r w:rsidRPr="008470E2">
        <w:rPr>
          <w:rFonts w:ascii="Times New Roman" w:hAnsi="Times New Roman" w:cs="Times New Roman"/>
          <w:sz w:val="24"/>
          <w:szCs w:val="24"/>
        </w:rPr>
        <w:t xml:space="preserve">percentage of </w:t>
      </w:r>
      <w:r w:rsidR="00056EE8" w:rsidRPr="008470E2">
        <w:rPr>
          <w:rFonts w:ascii="Times New Roman" w:hAnsi="Times New Roman" w:cs="Times New Roman"/>
          <w:sz w:val="24"/>
          <w:szCs w:val="24"/>
        </w:rPr>
        <w:t>unemployment</w:t>
      </w:r>
      <w:r w:rsidRPr="008470E2">
        <w:rPr>
          <w:rFonts w:ascii="Times New Roman" w:hAnsi="Times New Roman" w:cs="Times New Roman"/>
          <w:sz w:val="24"/>
          <w:szCs w:val="24"/>
        </w:rPr>
        <w:t xml:space="preserve">, inflation rate, </w:t>
      </w:r>
      <w:r w:rsidR="00056EE8" w:rsidRPr="008470E2">
        <w:rPr>
          <w:rFonts w:ascii="Times New Roman" w:hAnsi="Times New Roman" w:cs="Times New Roman"/>
          <w:sz w:val="24"/>
          <w:szCs w:val="24"/>
        </w:rPr>
        <w:t>personal remittances received</w:t>
      </w:r>
      <w:r w:rsidR="00520E6D" w:rsidRPr="008470E2">
        <w:rPr>
          <w:rFonts w:ascii="Times New Roman" w:hAnsi="Times New Roman" w:cs="Times New Roman"/>
          <w:sz w:val="24"/>
          <w:szCs w:val="24"/>
        </w:rPr>
        <w:t xml:space="preserve"> and sovereign debt</w:t>
      </w:r>
      <w:r w:rsidR="00056EE8" w:rsidRPr="008470E2">
        <w:rPr>
          <w:rFonts w:ascii="Times New Roman" w:hAnsi="Times New Roman" w:cs="Times New Roman"/>
          <w:sz w:val="24"/>
          <w:szCs w:val="24"/>
        </w:rPr>
        <w:t xml:space="preserve">. </w:t>
      </w:r>
    </w:p>
    <w:p w14:paraId="28EA9D4E" w14:textId="4BA1743B" w:rsidR="00056EE8" w:rsidRPr="008470E2" w:rsidRDefault="00056EE8" w:rsidP="005630E6">
      <w:pPr>
        <w:pStyle w:val="ListParagraph"/>
        <w:spacing w:before="120" w:after="120" w:line="360" w:lineRule="auto"/>
        <w:ind w:left="0" w:right="-613"/>
        <w:jc w:val="both"/>
        <w:rPr>
          <w:rFonts w:ascii="Times New Roman" w:hAnsi="Times New Roman" w:cs="Times New Roman"/>
          <w:sz w:val="24"/>
          <w:szCs w:val="24"/>
        </w:rPr>
      </w:pPr>
    </w:p>
    <w:p w14:paraId="0BF4CC6F" w14:textId="68BA18CC" w:rsidR="00056EE8" w:rsidRPr="008470E2" w:rsidRDefault="00C4373F" w:rsidP="005630E6">
      <w:pPr>
        <w:pStyle w:val="ListParagraph"/>
        <w:spacing w:before="120" w:after="120" w:line="360" w:lineRule="auto"/>
        <w:ind w:left="0" w:right="-613"/>
        <w:jc w:val="both"/>
        <w:rPr>
          <w:rFonts w:ascii="Times New Roman" w:hAnsi="Times New Roman" w:cs="Times New Roman"/>
          <w:b/>
          <w:sz w:val="24"/>
          <w:szCs w:val="24"/>
        </w:rPr>
      </w:pPr>
      <w:r w:rsidRPr="008470E2">
        <w:rPr>
          <w:rFonts w:ascii="Times New Roman" w:hAnsi="Times New Roman" w:cs="Times New Roman"/>
          <w:noProof/>
          <w:sz w:val="24"/>
          <w:szCs w:val="24"/>
          <w:lang w:val="en-IN" w:eastAsia="en-IN"/>
        </w:rPr>
        <w:drawing>
          <wp:inline distT="0" distB="0" distL="0" distR="0" wp14:anchorId="3F5C1778" wp14:editId="23B98898">
            <wp:extent cx="2957945" cy="15511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765" t="41489" r="29400" b="10337"/>
                    <a:stretch/>
                  </pic:blipFill>
                  <pic:spPr bwMode="auto">
                    <a:xfrm>
                      <a:off x="0" y="0"/>
                      <a:ext cx="2970378" cy="1557707"/>
                    </a:xfrm>
                    <a:prstGeom prst="rect">
                      <a:avLst/>
                    </a:prstGeom>
                    <a:ln>
                      <a:noFill/>
                    </a:ln>
                    <a:extLst>
                      <a:ext uri="{53640926-AAD7-44D8-BBD7-CCE9431645EC}">
                        <a14:shadowObscured xmlns:a14="http://schemas.microsoft.com/office/drawing/2010/main"/>
                      </a:ext>
                    </a:extLst>
                  </pic:spPr>
                </pic:pic>
              </a:graphicData>
            </a:graphic>
          </wp:inline>
        </w:drawing>
      </w:r>
      <w:r w:rsidRPr="008470E2">
        <w:rPr>
          <w:rFonts w:ascii="Times New Roman" w:hAnsi="Times New Roman" w:cs="Times New Roman"/>
          <w:noProof/>
          <w:sz w:val="24"/>
          <w:szCs w:val="24"/>
          <w:lang w:eastAsia="en-IN"/>
        </w:rPr>
        <w:t xml:space="preserve"> </w:t>
      </w:r>
      <w:r w:rsidRPr="008470E2">
        <w:rPr>
          <w:rFonts w:ascii="Times New Roman" w:hAnsi="Times New Roman" w:cs="Times New Roman"/>
          <w:noProof/>
          <w:sz w:val="24"/>
          <w:szCs w:val="24"/>
          <w:lang w:val="en-IN" w:eastAsia="en-IN"/>
        </w:rPr>
        <w:drawing>
          <wp:inline distT="0" distB="0" distL="0" distR="0" wp14:anchorId="1F3B002D" wp14:editId="6A2604B8">
            <wp:extent cx="2722418" cy="154426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365" t="38485" r="30383" b="13579"/>
                    <a:stretch/>
                  </pic:blipFill>
                  <pic:spPr bwMode="auto">
                    <a:xfrm>
                      <a:off x="0" y="0"/>
                      <a:ext cx="2726450" cy="1546552"/>
                    </a:xfrm>
                    <a:prstGeom prst="rect">
                      <a:avLst/>
                    </a:prstGeom>
                    <a:ln>
                      <a:noFill/>
                    </a:ln>
                    <a:extLst>
                      <a:ext uri="{53640926-AAD7-44D8-BBD7-CCE9431645EC}">
                        <a14:shadowObscured xmlns:a14="http://schemas.microsoft.com/office/drawing/2010/main"/>
                      </a:ext>
                    </a:extLst>
                  </pic:spPr>
                </pic:pic>
              </a:graphicData>
            </a:graphic>
          </wp:inline>
        </w:drawing>
      </w:r>
    </w:p>
    <w:p w14:paraId="60C56AB9" w14:textId="31A4862D" w:rsidR="002D069E" w:rsidRPr="008470E2" w:rsidRDefault="00056EE8"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 xml:space="preserve">Fig 8: GDP Current Value </w:t>
      </w:r>
      <w:r w:rsidR="00C4373F" w:rsidRPr="008470E2">
        <w:rPr>
          <w:rFonts w:ascii="Times New Roman" w:hAnsi="Times New Roman" w:cs="Times New Roman"/>
          <w:sz w:val="24"/>
          <w:szCs w:val="24"/>
        </w:rPr>
        <w:t>Indonesia</w:t>
      </w:r>
      <w:r w:rsidRPr="008470E2">
        <w:rPr>
          <w:rFonts w:ascii="Times New Roman" w:hAnsi="Times New Roman" w:cs="Times New Roman"/>
          <w:sz w:val="24"/>
          <w:szCs w:val="24"/>
        </w:rPr>
        <w:t xml:space="preserve"> 20</w:t>
      </w:r>
      <w:r w:rsidR="00C4373F" w:rsidRPr="008470E2">
        <w:rPr>
          <w:rFonts w:ascii="Times New Roman" w:hAnsi="Times New Roman" w:cs="Times New Roman"/>
          <w:sz w:val="24"/>
          <w:szCs w:val="24"/>
        </w:rPr>
        <w:t>12</w:t>
      </w:r>
      <w:r w:rsidRPr="008470E2">
        <w:rPr>
          <w:rFonts w:ascii="Times New Roman" w:hAnsi="Times New Roman" w:cs="Times New Roman"/>
          <w:sz w:val="24"/>
          <w:szCs w:val="24"/>
        </w:rPr>
        <w:t xml:space="preserve">-20         Fig 9: GDP Per capita </w:t>
      </w:r>
      <w:r w:rsidR="00C4373F" w:rsidRPr="008470E2">
        <w:rPr>
          <w:rFonts w:ascii="Times New Roman" w:hAnsi="Times New Roman" w:cs="Times New Roman"/>
          <w:sz w:val="24"/>
          <w:szCs w:val="24"/>
        </w:rPr>
        <w:t>Indonesia</w:t>
      </w:r>
      <w:r w:rsidRPr="008470E2">
        <w:rPr>
          <w:rFonts w:ascii="Times New Roman" w:hAnsi="Times New Roman" w:cs="Times New Roman"/>
          <w:sz w:val="24"/>
          <w:szCs w:val="24"/>
        </w:rPr>
        <w:t xml:space="preserve"> 20</w:t>
      </w:r>
      <w:r w:rsidR="00C4373F" w:rsidRPr="008470E2">
        <w:rPr>
          <w:rFonts w:ascii="Times New Roman" w:hAnsi="Times New Roman" w:cs="Times New Roman"/>
          <w:sz w:val="24"/>
          <w:szCs w:val="24"/>
        </w:rPr>
        <w:t>12</w:t>
      </w:r>
      <w:r w:rsidRPr="008470E2">
        <w:rPr>
          <w:rFonts w:ascii="Times New Roman" w:hAnsi="Times New Roman" w:cs="Times New Roman"/>
          <w:sz w:val="24"/>
          <w:szCs w:val="24"/>
        </w:rPr>
        <w:t>-20</w:t>
      </w:r>
    </w:p>
    <w:p w14:paraId="187120DD" w14:textId="01431621" w:rsidR="00056EE8" w:rsidRPr="008470E2" w:rsidRDefault="002D069E" w:rsidP="005630E6">
      <w:pPr>
        <w:pStyle w:val="ListParagraph"/>
        <w:spacing w:before="120" w:after="120" w:line="360" w:lineRule="auto"/>
        <w:ind w:left="0" w:right="-613"/>
        <w:jc w:val="both"/>
        <w:rPr>
          <w:rFonts w:ascii="Times New Roman" w:hAnsi="Times New Roman" w:cs="Times New Roman"/>
          <w:sz w:val="24"/>
          <w:szCs w:val="24"/>
        </w:rPr>
      </w:pPr>
      <w:r w:rsidRPr="008470E2">
        <w:rPr>
          <w:rFonts w:ascii="Times New Roman" w:hAnsi="Times New Roman" w:cs="Times New Roman"/>
          <w:sz w:val="24"/>
          <w:szCs w:val="24"/>
        </w:rPr>
        <w:t>(Sour</w:t>
      </w:r>
      <w:r w:rsidR="00144478" w:rsidRPr="008470E2">
        <w:rPr>
          <w:rFonts w:ascii="Times New Roman" w:hAnsi="Times New Roman" w:cs="Times New Roman"/>
          <w:sz w:val="24"/>
          <w:szCs w:val="24"/>
        </w:rPr>
        <w:t xml:space="preserve">ce: GDP Trading Economics. 2022)         </w:t>
      </w:r>
      <w:r w:rsidRPr="008470E2">
        <w:rPr>
          <w:rFonts w:ascii="Times New Roman" w:hAnsi="Times New Roman" w:cs="Times New Roman"/>
          <w:sz w:val="24"/>
          <w:szCs w:val="24"/>
        </w:rPr>
        <w:t xml:space="preserve"> (Sourc</w:t>
      </w:r>
      <w:r w:rsidR="00144478" w:rsidRPr="008470E2">
        <w:rPr>
          <w:rFonts w:ascii="Times New Roman" w:hAnsi="Times New Roman" w:cs="Times New Roman"/>
          <w:sz w:val="24"/>
          <w:szCs w:val="24"/>
        </w:rPr>
        <w:t>e: Indonesia GDP per cap Trading Economics. 2022)</w:t>
      </w:r>
    </w:p>
    <w:p w14:paraId="01D2D1CA" w14:textId="77777777" w:rsidR="00DA13F4" w:rsidRPr="008470E2" w:rsidRDefault="00DA13F4" w:rsidP="005630E6">
      <w:pPr>
        <w:spacing w:line="360" w:lineRule="auto"/>
        <w:jc w:val="center"/>
        <w:rPr>
          <w:rFonts w:cs="Times New Roman"/>
          <w:szCs w:val="24"/>
        </w:rPr>
      </w:pPr>
    </w:p>
    <w:p w14:paraId="699A56BA" w14:textId="7CA2DE86" w:rsidR="00C4373F" w:rsidRPr="008470E2" w:rsidRDefault="00C4373F" w:rsidP="005630E6">
      <w:pPr>
        <w:spacing w:line="360" w:lineRule="auto"/>
        <w:rPr>
          <w:rFonts w:cs="Times New Roman"/>
          <w:szCs w:val="24"/>
        </w:rPr>
      </w:pPr>
      <w:r w:rsidRPr="008470E2">
        <w:rPr>
          <w:rFonts w:cs="Times New Roman"/>
          <w:szCs w:val="24"/>
        </w:rPr>
        <w:t>According to the data published by Trading</w:t>
      </w:r>
      <w:r w:rsidR="00EB4B2E">
        <w:rPr>
          <w:rFonts w:cs="Times New Roman"/>
          <w:szCs w:val="24"/>
        </w:rPr>
        <w:t>,</w:t>
      </w:r>
      <w:r w:rsidRPr="008470E2">
        <w:rPr>
          <w:rFonts w:cs="Times New Roman"/>
          <w:szCs w:val="24"/>
        </w:rPr>
        <w:t xml:space="preserve"> Economics Indonesia is witnessing strong economic development as evident from the two graphs above. </w:t>
      </w:r>
      <w:r w:rsidR="00C126F5" w:rsidRPr="008470E2">
        <w:rPr>
          <w:rFonts w:cs="Times New Roman"/>
          <w:szCs w:val="24"/>
        </w:rPr>
        <w:t>Th</w:t>
      </w:r>
      <w:r w:rsidR="00144478" w:rsidRPr="008470E2">
        <w:rPr>
          <w:rFonts w:cs="Times New Roman"/>
          <w:szCs w:val="24"/>
        </w:rPr>
        <w:t>e forecast provided by Trading E</w:t>
      </w:r>
      <w:r w:rsidR="00C126F5" w:rsidRPr="008470E2">
        <w:rPr>
          <w:rFonts w:cs="Times New Roman"/>
          <w:szCs w:val="24"/>
        </w:rPr>
        <w:t xml:space="preserve">conomics with regards to Indonesia’s GDP in 2020 indicates a positive trend. Due to </w:t>
      </w:r>
      <w:r w:rsidR="00EB4B2E">
        <w:rPr>
          <w:rFonts w:cs="Times New Roman"/>
          <w:szCs w:val="24"/>
        </w:rPr>
        <w:t xml:space="preserve">the </w:t>
      </w:r>
      <w:r w:rsidR="00C126F5" w:rsidRPr="008470E2">
        <w:rPr>
          <w:rFonts w:cs="Times New Roman"/>
          <w:szCs w:val="24"/>
        </w:rPr>
        <w:t xml:space="preserve">Covid outbreak in 2020, the GDP and per capita GDP of Indonesia both took a hit as indicated in the negative trend of the graphs.  </w:t>
      </w:r>
    </w:p>
    <w:p w14:paraId="6A178475" w14:textId="76C3602C" w:rsidR="00C126F5" w:rsidRPr="008470E2" w:rsidRDefault="00C126F5" w:rsidP="005630E6">
      <w:pPr>
        <w:spacing w:line="360" w:lineRule="auto"/>
        <w:rPr>
          <w:rFonts w:cs="Times New Roman"/>
          <w:szCs w:val="24"/>
        </w:rPr>
      </w:pPr>
      <w:r w:rsidRPr="008470E2">
        <w:rPr>
          <w:rFonts w:cs="Times New Roman"/>
          <w:b/>
          <w:szCs w:val="24"/>
        </w:rPr>
        <w:t>National Income theory</w:t>
      </w:r>
    </w:p>
    <w:p w14:paraId="0C08F1CD" w14:textId="775DB728" w:rsidR="00C4373F" w:rsidRPr="008470E2" w:rsidRDefault="00EB4B2E" w:rsidP="005630E6">
      <w:pPr>
        <w:spacing w:line="360" w:lineRule="auto"/>
        <w:rPr>
          <w:rFonts w:cs="Times New Roman"/>
          <w:szCs w:val="24"/>
        </w:rPr>
      </w:pPr>
      <w:r>
        <w:rPr>
          <w:rFonts w:cs="Times New Roman"/>
          <w:szCs w:val="24"/>
        </w:rPr>
        <w:lastRenderedPageBreak/>
        <w:t>To</w:t>
      </w:r>
      <w:r w:rsidR="00C126F5" w:rsidRPr="008470E2">
        <w:rPr>
          <w:rFonts w:cs="Times New Roman"/>
          <w:szCs w:val="24"/>
        </w:rPr>
        <w:t xml:space="preserve"> explain the relationship between national output and Sainsbury’s business expansion in Indonesia, two concepts </w:t>
      </w:r>
      <w:r w:rsidR="005630E6">
        <w:rPr>
          <w:rFonts w:cs="Times New Roman"/>
          <w:szCs w:val="24"/>
        </w:rPr>
        <w:t xml:space="preserve">were </w:t>
      </w:r>
      <w:r>
        <w:rPr>
          <w:rFonts w:cs="Times New Roman"/>
          <w:szCs w:val="24"/>
        </w:rPr>
        <w:t>reintroduced</w:t>
      </w:r>
      <w:r w:rsidR="00C126F5" w:rsidRPr="008470E2">
        <w:rPr>
          <w:rFonts w:cs="Times New Roman"/>
          <w:szCs w:val="24"/>
        </w:rPr>
        <w:t xml:space="preserve">, which are (i) </w:t>
      </w:r>
      <w:r w:rsidR="005630E6">
        <w:rPr>
          <w:rFonts w:cs="Times New Roman"/>
          <w:szCs w:val="24"/>
        </w:rPr>
        <w:t>national income</w:t>
      </w:r>
      <w:r w:rsidR="00C126F5" w:rsidRPr="008470E2">
        <w:rPr>
          <w:rFonts w:cs="Times New Roman"/>
          <w:szCs w:val="24"/>
        </w:rPr>
        <w:t xml:space="preserve"> and the other being economic fluctuation. National income denoted the total output of the economy which is </w:t>
      </w:r>
      <w:r>
        <w:rPr>
          <w:rFonts w:cs="Times New Roman"/>
          <w:szCs w:val="24"/>
        </w:rPr>
        <w:t xml:space="preserve">the </w:t>
      </w:r>
      <w:r w:rsidR="00C126F5" w:rsidRPr="008470E2">
        <w:rPr>
          <w:rFonts w:cs="Times New Roman"/>
          <w:szCs w:val="24"/>
        </w:rPr>
        <w:t>culmination of factors such as consumer spending, investment, government spending, exports and imports</w:t>
      </w:r>
      <w:r w:rsidR="00885983">
        <w:rPr>
          <w:rFonts w:cs="Times New Roman"/>
          <w:szCs w:val="24"/>
        </w:rPr>
        <w:t xml:space="preserve"> (</w:t>
      </w:r>
      <w:r w:rsidR="00885983" w:rsidRPr="00885983">
        <w:rPr>
          <w:rFonts w:cs="Times New Roman"/>
          <w:szCs w:val="24"/>
        </w:rPr>
        <w:t>Barata, 2019</w:t>
      </w:r>
      <w:r w:rsidR="00885983">
        <w:rPr>
          <w:rFonts w:cs="Times New Roman"/>
          <w:szCs w:val="24"/>
        </w:rPr>
        <w:t>)</w:t>
      </w:r>
      <w:r w:rsidR="00C126F5" w:rsidRPr="008470E2">
        <w:rPr>
          <w:rFonts w:cs="Times New Roman"/>
          <w:szCs w:val="24"/>
        </w:rPr>
        <w:t>.</w:t>
      </w:r>
    </w:p>
    <w:p w14:paraId="4EB33F88" w14:textId="7733B951" w:rsidR="00E72422" w:rsidRPr="008470E2" w:rsidRDefault="00C126F5" w:rsidP="005630E6">
      <w:pPr>
        <w:spacing w:line="360" w:lineRule="auto"/>
        <w:rPr>
          <w:rFonts w:cs="Times New Roman"/>
          <w:b/>
          <w:szCs w:val="24"/>
        </w:rPr>
      </w:pPr>
      <w:r w:rsidRPr="008470E2">
        <w:rPr>
          <w:rFonts w:cs="Times New Roman"/>
          <w:b/>
          <w:szCs w:val="24"/>
        </w:rPr>
        <w:t>E</w:t>
      </w:r>
      <w:r w:rsidR="00E72422" w:rsidRPr="008470E2">
        <w:rPr>
          <w:rFonts w:cs="Times New Roman"/>
          <w:b/>
          <w:szCs w:val="24"/>
        </w:rPr>
        <w:t>conomic fluctuation</w:t>
      </w:r>
      <w:r w:rsidR="001E6AB8" w:rsidRPr="008470E2">
        <w:rPr>
          <w:rFonts w:cs="Times New Roman"/>
          <w:b/>
          <w:szCs w:val="24"/>
        </w:rPr>
        <w:t xml:space="preserve"> </w:t>
      </w:r>
      <w:r w:rsidRPr="008470E2">
        <w:rPr>
          <w:rFonts w:cs="Times New Roman"/>
          <w:b/>
          <w:szCs w:val="24"/>
        </w:rPr>
        <w:t>theory</w:t>
      </w:r>
    </w:p>
    <w:p w14:paraId="08D27D2F" w14:textId="52B65D37" w:rsidR="00E72422" w:rsidRPr="008470E2" w:rsidRDefault="00C126F5" w:rsidP="005630E6">
      <w:pPr>
        <w:spacing w:line="360" w:lineRule="auto"/>
        <w:rPr>
          <w:rFonts w:cs="Times New Roman"/>
          <w:szCs w:val="24"/>
        </w:rPr>
      </w:pPr>
      <w:r w:rsidRPr="008470E2">
        <w:rPr>
          <w:rFonts w:cs="Times New Roman"/>
          <w:szCs w:val="24"/>
        </w:rPr>
        <w:t xml:space="preserve">The national income of any country goes through cycles of increase and decrease. Sometimes the rise and fall of national incomes are seasonal, which comes and goes and in some </w:t>
      </w:r>
      <w:r w:rsidR="005630E6">
        <w:rPr>
          <w:rFonts w:cs="Times New Roman"/>
          <w:szCs w:val="24"/>
        </w:rPr>
        <w:t>cases</w:t>
      </w:r>
      <w:r w:rsidR="00EB4B2E">
        <w:rPr>
          <w:rFonts w:cs="Times New Roman"/>
          <w:szCs w:val="24"/>
        </w:rPr>
        <w:t>,</w:t>
      </w:r>
      <w:r w:rsidRPr="008470E2">
        <w:rPr>
          <w:rFonts w:cs="Times New Roman"/>
          <w:szCs w:val="24"/>
        </w:rPr>
        <w:t xml:space="preserve"> </w:t>
      </w:r>
      <w:r w:rsidR="005630E6">
        <w:rPr>
          <w:rFonts w:cs="Times New Roman"/>
          <w:szCs w:val="24"/>
        </w:rPr>
        <w:t>the</w:t>
      </w:r>
      <w:r w:rsidRPr="008470E2">
        <w:rPr>
          <w:rFonts w:cs="Times New Roman"/>
          <w:szCs w:val="24"/>
        </w:rPr>
        <w:t xml:space="preserve"> long term</w:t>
      </w:r>
      <w:r w:rsidR="00885983">
        <w:rPr>
          <w:rFonts w:cs="Times New Roman"/>
          <w:szCs w:val="24"/>
        </w:rPr>
        <w:t xml:space="preserve"> (</w:t>
      </w:r>
      <w:r w:rsidR="00885983" w:rsidRPr="00885983">
        <w:rPr>
          <w:rFonts w:cs="Times New Roman"/>
          <w:szCs w:val="24"/>
        </w:rPr>
        <w:t>Isaic, 2019</w:t>
      </w:r>
      <w:r w:rsidR="00885983">
        <w:rPr>
          <w:rFonts w:cs="Times New Roman"/>
          <w:szCs w:val="24"/>
        </w:rPr>
        <w:t>)</w:t>
      </w:r>
      <w:r w:rsidRPr="008470E2">
        <w:rPr>
          <w:rFonts w:cs="Times New Roman"/>
          <w:szCs w:val="24"/>
        </w:rPr>
        <w:t xml:space="preserve">.  In times when </w:t>
      </w:r>
      <w:r w:rsidR="002B46F9" w:rsidRPr="008470E2">
        <w:rPr>
          <w:rFonts w:cs="Times New Roman"/>
          <w:szCs w:val="24"/>
        </w:rPr>
        <w:t xml:space="preserve">consumer spending. Government spending is expanding with increased investment and </w:t>
      </w:r>
      <w:r w:rsidR="00EB4B2E">
        <w:rPr>
          <w:rFonts w:cs="Times New Roman"/>
          <w:szCs w:val="24"/>
        </w:rPr>
        <w:t xml:space="preserve">a </w:t>
      </w:r>
      <w:r w:rsidR="002B46F9" w:rsidRPr="008470E2">
        <w:rPr>
          <w:rFonts w:cs="Times New Roman"/>
          <w:szCs w:val="24"/>
        </w:rPr>
        <w:t xml:space="preserve">low rate of inflation, </w:t>
      </w:r>
      <w:r w:rsidR="00EB4B2E">
        <w:rPr>
          <w:rFonts w:cs="Times New Roman"/>
          <w:szCs w:val="24"/>
        </w:rPr>
        <w:t xml:space="preserve">and </w:t>
      </w:r>
      <w:r w:rsidR="002B46F9" w:rsidRPr="008470E2">
        <w:rPr>
          <w:rFonts w:cs="Times New Roman"/>
          <w:szCs w:val="24"/>
        </w:rPr>
        <w:t xml:space="preserve">the national income experiences an uprising trend. When the economy is facing </w:t>
      </w:r>
      <w:r w:rsidR="00EB4B2E">
        <w:rPr>
          <w:rFonts w:cs="Times New Roman"/>
          <w:szCs w:val="24"/>
        </w:rPr>
        <w:t xml:space="preserve">a </w:t>
      </w:r>
      <w:r w:rsidR="002B46F9" w:rsidRPr="008470E2">
        <w:rPr>
          <w:rFonts w:cs="Times New Roman"/>
          <w:szCs w:val="24"/>
        </w:rPr>
        <w:t>high rate of inflation and unemployment, consumer spending goes down and the national income registers decreasing trend.</w:t>
      </w:r>
    </w:p>
    <w:p w14:paraId="2F39F7B7" w14:textId="77777777" w:rsidR="002B46F9" w:rsidRPr="008470E2" w:rsidRDefault="002B46F9" w:rsidP="005630E6">
      <w:pPr>
        <w:pStyle w:val="Heading3"/>
        <w:spacing w:line="360" w:lineRule="auto"/>
        <w:jc w:val="both"/>
        <w:rPr>
          <w:rFonts w:cs="Times New Roman"/>
        </w:rPr>
      </w:pPr>
    </w:p>
    <w:p w14:paraId="19955424" w14:textId="6E1C6FE2" w:rsidR="002B46F9" w:rsidRPr="008470E2" w:rsidRDefault="002B46F9" w:rsidP="005630E6">
      <w:pPr>
        <w:spacing w:line="360" w:lineRule="auto"/>
        <w:rPr>
          <w:rFonts w:cs="Times New Roman"/>
          <w:b/>
          <w:szCs w:val="24"/>
        </w:rPr>
      </w:pPr>
      <w:r w:rsidRPr="008470E2">
        <w:rPr>
          <w:rFonts w:cs="Times New Roman"/>
          <w:szCs w:val="24"/>
        </w:rPr>
        <w:t xml:space="preserve">Sainsbury’s business operations viability is dependent upon 3 important macro-economic factors </w:t>
      </w:r>
      <w:r w:rsidR="00EB4B2E">
        <w:rPr>
          <w:rFonts w:cs="Times New Roman"/>
          <w:szCs w:val="24"/>
        </w:rPr>
        <w:t>in</w:t>
      </w:r>
      <w:r w:rsidRPr="008470E2">
        <w:rPr>
          <w:rFonts w:cs="Times New Roman"/>
          <w:szCs w:val="24"/>
        </w:rPr>
        <w:t xml:space="preserve"> Indonesia, one is consumer spending, second is government spending and third is </w:t>
      </w:r>
      <w:r w:rsidR="005630E6">
        <w:rPr>
          <w:rFonts w:cs="Times New Roman"/>
          <w:szCs w:val="24"/>
        </w:rPr>
        <w:t xml:space="preserve">an </w:t>
      </w:r>
      <w:r w:rsidRPr="008470E2">
        <w:rPr>
          <w:rFonts w:cs="Times New Roman"/>
          <w:szCs w:val="24"/>
        </w:rPr>
        <w:t xml:space="preserve">investment. Low consumer spending will impact the profit margin of all business organisations including Sainsbury’s. As profit margin decreases, business organisations </w:t>
      </w:r>
      <w:r w:rsidR="00EB4B2E">
        <w:rPr>
          <w:rFonts w:cs="Times New Roman"/>
          <w:szCs w:val="24"/>
        </w:rPr>
        <w:t>slow</w:t>
      </w:r>
      <w:r w:rsidRPr="008470E2">
        <w:rPr>
          <w:rFonts w:cs="Times New Roman"/>
          <w:szCs w:val="24"/>
        </w:rPr>
        <w:t xml:space="preserve"> down investment. With low investment, the economic activity slows down even further. Foreign economies increase their risk perception for Indonesia and this affects the flow of FDI in Indonesia. As Sainsbury will not be able to </w:t>
      </w:r>
      <w:r w:rsidR="00EB4B2E">
        <w:rPr>
          <w:rFonts w:cs="Times New Roman"/>
          <w:szCs w:val="24"/>
        </w:rPr>
        <w:t>depend</w:t>
      </w:r>
      <w:r w:rsidRPr="008470E2">
        <w:rPr>
          <w:rFonts w:cs="Times New Roman"/>
          <w:szCs w:val="24"/>
        </w:rPr>
        <w:t xml:space="preserve"> </w:t>
      </w:r>
      <w:r w:rsidR="00EB4B2E">
        <w:rPr>
          <w:rFonts w:cs="Times New Roman"/>
          <w:szCs w:val="24"/>
        </w:rPr>
        <w:t xml:space="preserve">upon </w:t>
      </w:r>
      <w:r w:rsidRPr="008470E2">
        <w:rPr>
          <w:rFonts w:cs="Times New Roman"/>
          <w:szCs w:val="24"/>
        </w:rPr>
        <w:t>FDI</w:t>
      </w:r>
      <w:r w:rsidR="00EB4B2E">
        <w:rPr>
          <w:rFonts w:cs="Times New Roman"/>
          <w:szCs w:val="24"/>
        </w:rPr>
        <w:t xml:space="preserve"> inflow</w:t>
      </w:r>
      <w:r w:rsidRPr="008470E2">
        <w:rPr>
          <w:rFonts w:cs="Times New Roman"/>
          <w:szCs w:val="24"/>
        </w:rPr>
        <w:t>, its business expansion will also slow down. In this way</w:t>
      </w:r>
      <w:r w:rsidR="00EB4B2E">
        <w:rPr>
          <w:rFonts w:cs="Times New Roman"/>
          <w:szCs w:val="24"/>
        </w:rPr>
        <w:t>,</w:t>
      </w:r>
      <w:r w:rsidRPr="008470E2">
        <w:rPr>
          <w:rFonts w:cs="Times New Roman"/>
          <w:szCs w:val="24"/>
        </w:rPr>
        <w:t xml:space="preserve"> </w:t>
      </w:r>
      <w:r w:rsidR="005630E6">
        <w:rPr>
          <w:rFonts w:cs="Times New Roman"/>
          <w:szCs w:val="24"/>
        </w:rPr>
        <w:t xml:space="preserve">a </w:t>
      </w:r>
      <w:r w:rsidRPr="008470E2">
        <w:rPr>
          <w:rFonts w:cs="Times New Roman"/>
          <w:szCs w:val="24"/>
        </w:rPr>
        <w:t xml:space="preserve">bad turn of events in the domestic economic decisions by Indonesia can jeopardise </w:t>
      </w:r>
      <w:r w:rsidR="00EB4B2E">
        <w:rPr>
          <w:rFonts w:cs="Times New Roman"/>
          <w:szCs w:val="24"/>
        </w:rPr>
        <w:t xml:space="preserve">the </w:t>
      </w:r>
      <w:r w:rsidRPr="008470E2">
        <w:rPr>
          <w:rFonts w:cs="Times New Roman"/>
          <w:szCs w:val="24"/>
        </w:rPr>
        <w:t>expansion and viability of Sainsbury in the country.</w:t>
      </w:r>
    </w:p>
    <w:p w14:paraId="15E9389F" w14:textId="5DE0F149" w:rsidR="00475201" w:rsidRPr="008470E2" w:rsidRDefault="00F7362A" w:rsidP="005630E6">
      <w:pPr>
        <w:pStyle w:val="Heading3"/>
        <w:spacing w:line="360" w:lineRule="auto"/>
        <w:rPr>
          <w:rFonts w:cs="Times New Roman"/>
        </w:rPr>
      </w:pPr>
      <w:bookmarkStart w:id="15" w:name="_Toc102433497"/>
      <w:r w:rsidRPr="008470E2">
        <w:rPr>
          <w:rFonts w:cs="Times New Roman"/>
        </w:rPr>
        <w:t xml:space="preserve">2.2.4 </w:t>
      </w:r>
      <w:r w:rsidR="00475201" w:rsidRPr="008470E2">
        <w:rPr>
          <w:rFonts w:cs="Times New Roman"/>
        </w:rPr>
        <w:t>Exchange Rate and competitiveness</w:t>
      </w:r>
      <w:bookmarkEnd w:id="15"/>
    </w:p>
    <w:p w14:paraId="79EDD8DA" w14:textId="0FA2B264" w:rsidR="00B30C9A" w:rsidRPr="008470E2" w:rsidRDefault="00B30C9A" w:rsidP="005630E6">
      <w:pPr>
        <w:spacing w:line="360" w:lineRule="auto"/>
        <w:rPr>
          <w:rFonts w:cs="Times New Roman"/>
          <w:b/>
          <w:szCs w:val="24"/>
        </w:rPr>
      </w:pPr>
      <w:r w:rsidRPr="008470E2">
        <w:rPr>
          <w:rFonts w:cs="Times New Roman"/>
          <w:b/>
          <w:szCs w:val="24"/>
        </w:rPr>
        <w:t>Effect on Competitiveness</w:t>
      </w:r>
    </w:p>
    <w:p w14:paraId="0AA026D2" w14:textId="4C8635F5" w:rsidR="00C93F44" w:rsidRPr="008470E2" w:rsidRDefault="00C93F44" w:rsidP="005630E6">
      <w:pPr>
        <w:spacing w:line="360" w:lineRule="auto"/>
        <w:rPr>
          <w:rFonts w:cs="Times New Roman"/>
          <w:szCs w:val="24"/>
        </w:rPr>
      </w:pPr>
      <w:r w:rsidRPr="008470E2">
        <w:rPr>
          <w:rFonts w:cs="Times New Roman"/>
          <w:szCs w:val="24"/>
        </w:rPr>
        <w:t>Exchange rate fluctuation poses a serious threat for any organisation whose significant portion of its revenue is dependent upon exports.</w:t>
      </w:r>
      <w:r w:rsidR="00900EC6" w:rsidRPr="008470E2">
        <w:rPr>
          <w:rFonts w:cs="Times New Roman"/>
          <w:szCs w:val="24"/>
        </w:rPr>
        <w:t xml:space="preserve"> This is because exchange rate fluctuations can cause either appreciation or </w:t>
      </w:r>
      <w:r w:rsidR="00EB4B2E">
        <w:rPr>
          <w:rFonts w:cs="Times New Roman"/>
          <w:szCs w:val="24"/>
        </w:rPr>
        <w:t>depreciation of the</w:t>
      </w:r>
      <w:r w:rsidR="005630E6">
        <w:rPr>
          <w:rFonts w:cs="Times New Roman"/>
          <w:szCs w:val="24"/>
        </w:rPr>
        <w:t xml:space="preserve"> home</w:t>
      </w:r>
      <w:r w:rsidR="00900EC6" w:rsidRPr="008470E2">
        <w:rPr>
          <w:rFonts w:cs="Times New Roman"/>
          <w:szCs w:val="24"/>
        </w:rPr>
        <w:t xml:space="preserve"> currency. For Sainsbury, </w:t>
      </w:r>
      <w:r w:rsidR="00EB4B2E">
        <w:rPr>
          <w:rFonts w:cs="Times New Roman"/>
          <w:szCs w:val="24"/>
        </w:rPr>
        <w:t xml:space="preserve">the </w:t>
      </w:r>
      <w:r w:rsidR="00900EC6" w:rsidRPr="008470E2">
        <w:rPr>
          <w:rFonts w:cs="Times New Roman"/>
          <w:szCs w:val="24"/>
        </w:rPr>
        <w:t xml:space="preserve">exchange rate is a </w:t>
      </w:r>
      <w:r w:rsidR="00EB4B2E">
        <w:rPr>
          <w:rFonts w:cs="Times New Roman"/>
          <w:szCs w:val="24"/>
        </w:rPr>
        <w:t>double-edged</w:t>
      </w:r>
      <w:r w:rsidR="00900EC6" w:rsidRPr="008470E2">
        <w:rPr>
          <w:rFonts w:cs="Times New Roman"/>
          <w:szCs w:val="24"/>
        </w:rPr>
        <w:t xml:space="preserve"> sword. If Sainsbury decides to export its products to developed economies then any sudden change in </w:t>
      </w:r>
      <w:r w:rsidR="00EB4B2E">
        <w:rPr>
          <w:rFonts w:cs="Times New Roman"/>
          <w:szCs w:val="24"/>
        </w:rPr>
        <w:t xml:space="preserve">the </w:t>
      </w:r>
      <w:r w:rsidR="00900EC6" w:rsidRPr="008470E2">
        <w:rPr>
          <w:rFonts w:cs="Times New Roman"/>
          <w:szCs w:val="24"/>
        </w:rPr>
        <w:t>exchange rate will also hamper its profitability. For example</w:t>
      </w:r>
      <w:r w:rsidR="00EB4B2E">
        <w:rPr>
          <w:rFonts w:cs="Times New Roman"/>
          <w:szCs w:val="24"/>
        </w:rPr>
        <w:t>,</w:t>
      </w:r>
      <w:r w:rsidR="00900EC6" w:rsidRPr="008470E2">
        <w:rPr>
          <w:rFonts w:cs="Times New Roman"/>
          <w:szCs w:val="24"/>
        </w:rPr>
        <w:t xml:space="preserve"> products exported to </w:t>
      </w:r>
      <w:r w:rsidR="00EB4B2E">
        <w:rPr>
          <w:rFonts w:cs="Times New Roman"/>
          <w:szCs w:val="24"/>
        </w:rPr>
        <w:t xml:space="preserve">the </w:t>
      </w:r>
      <w:r w:rsidR="00900EC6" w:rsidRPr="008470E2">
        <w:rPr>
          <w:rFonts w:cs="Times New Roman"/>
          <w:szCs w:val="24"/>
        </w:rPr>
        <w:t xml:space="preserve">UK are usually paid in Euro or Pound in return. This is then converted </w:t>
      </w:r>
      <w:r w:rsidR="00900EC6" w:rsidRPr="008470E2">
        <w:rPr>
          <w:rFonts w:cs="Times New Roman"/>
          <w:szCs w:val="24"/>
        </w:rPr>
        <w:lastRenderedPageBreak/>
        <w:t xml:space="preserve">to </w:t>
      </w:r>
      <w:r w:rsidR="00EB4B2E">
        <w:rPr>
          <w:rFonts w:cs="Times New Roman"/>
          <w:szCs w:val="24"/>
        </w:rPr>
        <w:t xml:space="preserve">the </w:t>
      </w:r>
      <w:r w:rsidR="00900EC6" w:rsidRPr="008470E2">
        <w:rPr>
          <w:rFonts w:cs="Times New Roman"/>
          <w:szCs w:val="24"/>
        </w:rPr>
        <w:t>market exchange rate</w:t>
      </w:r>
      <w:r w:rsidR="00DE01D9" w:rsidRPr="008470E2">
        <w:rPr>
          <w:rFonts w:cs="Times New Roman"/>
          <w:szCs w:val="24"/>
        </w:rPr>
        <w:t xml:space="preserve">. </w:t>
      </w:r>
      <w:r w:rsidR="00EB4B2E">
        <w:rPr>
          <w:rFonts w:cs="Times New Roman"/>
          <w:szCs w:val="24"/>
        </w:rPr>
        <w:t>Let’s</w:t>
      </w:r>
      <w:r w:rsidR="00DE01D9" w:rsidRPr="008470E2">
        <w:rPr>
          <w:rFonts w:cs="Times New Roman"/>
          <w:szCs w:val="24"/>
        </w:rPr>
        <w:t xml:space="preserve"> assume the exchange value of 1 pound is equal to 18,170.58 (which is the current exchange rate). So the price of products </w:t>
      </w:r>
      <w:r w:rsidR="00EB4B2E">
        <w:rPr>
          <w:rFonts w:cs="Times New Roman"/>
          <w:szCs w:val="24"/>
        </w:rPr>
        <w:t>is</w:t>
      </w:r>
      <w:r w:rsidR="005630E6">
        <w:rPr>
          <w:rFonts w:cs="Times New Roman"/>
          <w:szCs w:val="24"/>
        </w:rPr>
        <w:t xml:space="preserve"> kept, </w:t>
      </w:r>
      <w:r w:rsidR="00DE01D9" w:rsidRPr="008470E2">
        <w:rPr>
          <w:rFonts w:cs="Times New Roman"/>
          <w:szCs w:val="24"/>
        </w:rPr>
        <w:t xml:space="preserve">keeping in the mind the current exchange rate of </w:t>
      </w:r>
      <w:r w:rsidR="005630E6">
        <w:rPr>
          <w:rFonts w:cs="Times New Roman"/>
          <w:szCs w:val="24"/>
        </w:rPr>
        <w:t>p</w:t>
      </w:r>
      <w:r w:rsidR="00DE01D9" w:rsidRPr="008470E2">
        <w:rPr>
          <w:rFonts w:cs="Times New Roman"/>
          <w:szCs w:val="24"/>
        </w:rPr>
        <w:t xml:space="preserve">ound </w:t>
      </w:r>
      <w:r w:rsidR="005630E6">
        <w:rPr>
          <w:rFonts w:cs="Times New Roman"/>
          <w:szCs w:val="24"/>
        </w:rPr>
        <w:t xml:space="preserve">sterling </w:t>
      </w:r>
      <w:r w:rsidR="00DE01D9" w:rsidRPr="008470E2">
        <w:rPr>
          <w:rFonts w:cs="Times New Roman"/>
          <w:szCs w:val="24"/>
        </w:rPr>
        <w:t xml:space="preserve">to Indonesian rupiah. Now after the product is purchased in </w:t>
      </w:r>
      <w:r w:rsidR="005630E6">
        <w:rPr>
          <w:rFonts w:cs="Times New Roman"/>
          <w:szCs w:val="24"/>
        </w:rPr>
        <w:t xml:space="preserve">the </w:t>
      </w:r>
      <w:r w:rsidR="00DE01D9" w:rsidRPr="008470E2">
        <w:rPr>
          <w:rFonts w:cs="Times New Roman"/>
          <w:szCs w:val="24"/>
        </w:rPr>
        <w:t xml:space="preserve">UK and paid back in </w:t>
      </w:r>
      <w:r w:rsidR="005630E6">
        <w:rPr>
          <w:rFonts w:cs="Times New Roman"/>
          <w:szCs w:val="24"/>
        </w:rPr>
        <w:t>the pounds</w:t>
      </w:r>
      <w:r w:rsidR="00DE01D9" w:rsidRPr="008470E2">
        <w:rPr>
          <w:rFonts w:cs="Times New Roman"/>
          <w:szCs w:val="24"/>
        </w:rPr>
        <w:t xml:space="preserve">, the current market exchange rate will be applied for conversion. If for some reason the currency value of </w:t>
      </w:r>
      <w:r w:rsidR="005630E6">
        <w:rPr>
          <w:rFonts w:cs="Times New Roman"/>
          <w:szCs w:val="24"/>
        </w:rPr>
        <w:t xml:space="preserve">the </w:t>
      </w:r>
      <w:r w:rsidR="00DE01D9" w:rsidRPr="008470E2">
        <w:rPr>
          <w:rFonts w:cs="Times New Roman"/>
          <w:szCs w:val="24"/>
        </w:rPr>
        <w:t xml:space="preserve">Indonesian Rupiah appreciates </w:t>
      </w:r>
      <w:r w:rsidR="005630E6">
        <w:rPr>
          <w:rFonts w:cs="Times New Roman"/>
          <w:szCs w:val="24"/>
        </w:rPr>
        <w:t xml:space="preserve">in comparison </w:t>
      </w:r>
      <w:r w:rsidR="00DE01D9" w:rsidRPr="008470E2">
        <w:rPr>
          <w:rFonts w:cs="Times New Roman"/>
          <w:szCs w:val="24"/>
        </w:rPr>
        <w:t>to Pound, then the 1 pound sterling will not give Rupiah 18,170.58  in return, but less than that. Thus the initial cost price which was based upon the initial market exchange rate has now failed to cover the actual cost of the product. This causes a dip in profitability margin</w:t>
      </w:r>
      <w:r w:rsidR="00885983">
        <w:rPr>
          <w:rFonts w:cs="Times New Roman"/>
          <w:szCs w:val="24"/>
        </w:rPr>
        <w:t xml:space="preserve"> (</w:t>
      </w:r>
      <w:r w:rsidR="00885983" w:rsidRPr="00885983">
        <w:rPr>
          <w:rFonts w:cs="Times New Roman"/>
          <w:szCs w:val="24"/>
        </w:rPr>
        <w:t>Nguyen</w:t>
      </w:r>
      <w:r w:rsidR="00885983">
        <w:rPr>
          <w:rFonts w:cs="Times New Roman"/>
          <w:szCs w:val="24"/>
        </w:rPr>
        <w:t xml:space="preserve"> </w:t>
      </w:r>
      <w:r w:rsidR="00885983" w:rsidRPr="00885983">
        <w:rPr>
          <w:rFonts w:cs="Times New Roman"/>
          <w:szCs w:val="24"/>
        </w:rPr>
        <w:t>and Do, 2020</w:t>
      </w:r>
      <w:r w:rsidR="00885983">
        <w:rPr>
          <w:rFonts w:cs="Times New Roman"/>
          <w:szCs w:val="24"/>
        </w:rPr>
        <w:t>)</w:t>
      </w:r>
      <w:r w:rsidR="00DE01D9" w:rsidRPr="008470E2">
        <w:rPr>
          <w:rFonts w:cs="Times New Roman"/>
          <w:szCs w:val="24"/>
        </w:rPr>
        <w:t xml:space="preserve">. Thus although Sainsbury is using its economy of scale to bring down product prices sufficiently, exchange rate fluctuations can wipe out such scale advantages. Thus if the retailer landscape of Indonesia is </w:t>
      </w:r>
      <w:r w:rsidR="008F4F86" w:rsidRPr="008470E2">
        <w:rPr>
          <w:rFonts w:cs="Times New Roman"/>
          <w:szCs w:val="24"/>
        </w:rPr>
        <w:t xml:space="preserve">dominated by domestic players who have a strong domestic customer base </w:t>
      </w:r>
      <w:r w:rsidR="005630E6">
        <w:rPr>
          <w:rFonts w:cs="Times New Roman"/>
          <w:szCs w:val="24"/>
        </w:rPr>
        <w:t xml:space="preserve">and </w:t>
      </w:r>
      <w:r w:rsidR="008F4F86" w:rsidRPr="008470E2">
        <w:rPr>
          <w:rFonts w:cs="Times New Roman"/>
          <w:szCs w:val="24"/>
        </w:rPr>
        <w:t>will have low exposure to export risk, can outpace Sainsbury competitively in the short-run period. While Sainsbury has to again build up its competitive advantage using its economies of scale to offset such losses due to exchange rate fluctuations. Too many of such short term exchange rate fluctuations decrease any competitive advantage gained in the long run.</w:t>
      </w:r>
    </w:p>
    <w:p w14:paraId="044871E5" w14:textId="31F4C1F9" w:rsidR="00E102E2" w:rsidRPr="008470E2" w:rsidRDefault="00F7362A" w:rsidP="005630E6">
      <w:pPr>
        <w:pStyle w:val="Heading3"/>
        <w:spacing w:line="360" w:lineRule="auto"/>
        <w:rPr>
          <w:rFonts w:cs="Times New Roman"/>
        </w:rPr>
      </w:pPr>
      <w:bookmarkStart w:id="16" w:name="_Toc102433498"/>
      <w:r w:rsidRPr="008470E2">
        <w:rPr>
          <w:rFonts w:cs="Times New Roman"/>
        </w:rPr>
        <w:t xml:space="preserve">2.2.5 </w:t>
      </w:r>
      <w:r w:rsidR="00E102E2" w:rsidRPr="008470E2">
        <w:rPr>
          <w:rFonts w:cs="Times New Roman"/>
        </w:rPr>
        <w:t>The New economy: knowledge, technology and network effects</w:t>
      </w:r>
      <w:bookmarkEnd w:id="16"/>
    </w:p>
    <w:p w14:paraId="1FECDF62" w14:textId="51CC2B13" w:rsidR="00CC6637" w:rsidRPr="008470E2" w:rsidRDefault="00350007" w:rsidP="005630E6">
      <w:pPr>
        <w:spacing w:line="360" w:lineRule="auto"/>
        <w:rPr>
          <w:rFonts w:cs="Times New Roman"/>
          <w:szCs w:val="24"/>
        </w:rPr>
      </w:pPr>
      <w:r w:rsidRPr="008470E2">
        <w:rPr>
          <w:rFonts w:cs="Times New Roman"/>
          <w:szCs w:val="24"/>
        </w:rPr>
        <w:t xml:space="preserve">There is increased collaboration between UK and Indonesia to promote </w:t>
      </w:r>
      <w:r w:rsidR="00F13101" w:rsidRPr="008470E2">
        <w:rPr>
          <w:rFonts w:cs="Times New Roman"/>
          <w:szCs w:val="24"/>
        </w:rPr>
        <w:t xml:space="preserve">the </w:t>
      </w:r>
      <w:r w:rsidRPr="008470E2">
        <w:rPr>
          <w:rFonts w:cs="Times New Roman"/>
          <w:szCs w:val="24"/>
        </w:rPr>
        <w:t xml:space="preserve">exchange of information between different institutions, that will support sustainable production as well as non-discriminatory, two-way sustainable trade built on mutual respect and understanding of national legislation and standard and certification. The collaboration is supposed to improve the delivery of sustainable infrastructure projects </w:t>
      </w:r>
      <w:r w:rsidR="00F13101" w:rsidRPr="008470E2">
        <w:rPr>
          <w:rFonts w:cs="Times New Roman"/>
          <w:szCs w:val="24"/>
        </w:rPr>
        <w:t xml:space="preserve">and </w:t>
      </w:r>
      <w:r w:rsidRPr="008470E2">
        <w:rPr>
          <w:rFonts w:cs="Times New Roman"/>
          <w:szCs w:val="24"/>
        </w:rPr>
        <w:t>provide support for upstream and downstream industries, low carbon emission industry, electric vehicles, as well as green technology. UK plans to offer integrate</w:t>
      </w:r>
      <w:r w:rsidR="00C60453" w:rsidRPr="008470E2">
        <w:rPr>
          <w:rFonts w:cs="Times New Roman"/>
          <w:szCs w:val="24"/>
        </w:rPr>
        <w:t>d</w:t>
      </w:r>
      <w:r w:rsidRPr="008470E2">
        <w:rPr>
          <w:rFonts w:cs="Times New Roman"/>
          <w:szCs w:val="24"/>
        </w:rPr>
        <w:t xml:space="preserve"> support</w:t>
      </w:r>
      <w:r w:rsidR="00C60453" w:rsidRPr="008470E2">
        <w:rPr>
          <w:rFonts w:cs="Times New Roman"/>
          <w:szCs w:val="24"/>
        </w:rPr>
        <w:t xml:space="preserve"> </w:t>
      </w:r>
      <w:r w:rsidRPr="008470E2">
        <w:rPr>
          <w:rFonts w:cs="Times New Roman"/>
          <w:szCs w:val="24"/>
        </w:rPr>
        <w:t>in the completion of sustainable infrastructure projects in Indonesia through UK Export Finance and</w:t>
      </w:r>
      <w:r w:rsidR="00C60453" w:rsidRPr="008470E2">
        <w:rPr>
          <w:rFonts w:cs="Times New Roman"/>
          <w:szCs w:val="24"/>
        </w:rPr>
        <w:t xml:space="preserve"> investments made from British I</w:t>
      </w:r>
      <w:r w:rsidRPr="008470E2">
        <w:rPr>
          <w:rFonts w:cs="Times New Roman"/>
          <w:szCs w:val="24"/>
        </w:rPr>
        <w:t>nternational Investment</w:t>
      </w:r>
      <w:r w:rsidR="00144478" w:rsidRPr="008470E2">
        <w:rPr>
          <w:rFonts w:cs="Times New Roman"/>
          <w:szCs w:val="24"/>
        </w:rPr>
        <w:t xml:space="preserve"> (GOV UK, 2022)</w:t>
      </w:r>
      <w:r w:rsidRPr="008470E2">
        <w:rPr>
          <w:rFonts w:cs="Times New Roman"/>
          <w:szCs w:val="24"/>
        </w:rPr>
        <w:t xml:space="preserve">. UK will increase its cooperation to </w:t>
      </w:r>
      <w:r w:rsidR="003F608D" w:rsidRPr="008470E2">
        <w:rPr>
          <w:rFonts w:cs="Times New Roman"/>
          <w:szCs w:val="24"/>
        </w:rPr>
        <w:t xml:space="preserve">develop the ICT infrastructure and digital transformation in </w:t>
      </w:r>
      <w:r w:rsidR="005630E6">
        <w:rPr>
          <w:rFonts w:cs="Times New Roman"/>
          <w:szCs w:val="24"/>
        </w:rPr>
        <w:t xml:space="preserve">the </w:t>
      </w:r>
      <w:r w:rsidR="003F608D" w:rsidRPr="008470E2">
        <w:rPr>
          <w:rFonts w:cs="Times New Roman"/>
          <w:szCs w:val="24"/>
        </w:rPr>
        <w:t xml:space="preserve">use of high technology, digital economy and the current 4.0 industrial revolution of Indonesia.  </w:t>
      </w:r>
      <w:r w:rsidR="00F13101" w:rsidRPr="008470E2">
        <w:rPr>
          <w:rFonts w:cs="Times New Roman"/>
          <w:szCs w:val="24"/>
        </w:rPr>
        <w:t xml:space="preserve">The new trade pacts between the two countries </w:t>
      </w:r>
      <w:r w:rsidR="005630E6">
        <w:rPr>
          <w:rFonts w:cs="Times New Roman"/>
          <w:szCs w:val="24"/>
        </w:rPr>
        <w:t>increase</w:t>
      </w:r>
      <w:r w:rsidR="00C60453" w:rsidRPr="008470E2">
        <w:rPr>
          <w:rFonts w:cs="Times New Roman"/>
          <w:szCs w:val="24"/>
        </w:rPr>
        <w:t xml:space="preserve"> the </w:t>
      </w:r>
      <w:r w:rsidR="00F13101" w:rsidRPr="008470E2">
        <w:rPr>
          <w:rFonts w:cs="Times New Roman"/>
          <w:szCs w:val="24"/>
        </w:rPr>
        <w:t>B2B discus</w:t>
      </w:r>
      <w:r w:rsidR="00C60453" w:rsidRPr="008470E2">
        <w:rPr>
          <w:rFonts w:cs="Times New Roman"/>
          <w:szCs w:val="24"/>
        </w:rPr>
        <w:t xml:space="preserve">sions for the development of </w:t>
      </w:r>
      <w:r w:rsidR="005630E6">
        <w:rPr>
          <w:rFonts w:cs="Times New Roman"/>
          <w:szCs w:val="24"/>
        </w:rPr>
        <w:t>a new</w:t>
      </w:r>
      <w:r w:rsidR="00C60453" w:rsidRPr="008470E2">
        <w:rPr>
          <w:rFonts w:cs="Times New Roman"/>
          <w:szCs w:val="24"/>
        </w:rPr>
        <w:t xml:space="preserve"> ecosystem of electric-assisted </w:t>
      </w:r>
      <w:r w:rsidR="00F13101" w:rsidRPr="008470E2">
        <w:rPr>
          <w:rFonts w:cs="Times New Roman"/>
          <w:szCs w:val="24"/>
        </w:rPr>
        <w:t>mobility, as well as battery</w:t>
      </w:r>
      <w:r w:rsidR="00C60453" w:rsidRPr="008470E2">
        <w:rPr>
          <w:rFonts w:cs="Times New Roman"/>
          <w:szCs w:val="24"/>
        </w:rPr>
        <w:t xml:space="preserve"> </w:t>
      </w:r>
      <w:r w:rsidR="00F13101" w:rsidRPr="008470E2">
        <w:rPr>
          <w:rFonts w:cs="Times New Roman"/>
          <w:szCs w:val="24"/>
        </w:rPr>
        <w:t xml:space="preserve">production facilities such as processing mineral resources like nickel. Sainsbury’s expansion strategy in Indonesia </w:t>
      </w:r>
      <w:r w:rsidR="00C60453" w:rsidRPr="008470E2">
        <w:rPr>
          <w:rFonts w:cs="Times New Roman"/>
          <w:szCs w:val="24"/>
        </w:rPr>
        <w:t xml:space="preserve">is timed well with the new agreements in trade, investment and economic cooperation between the 2 nations. Thus Sainsbury </w:t>
      </w:r>
      <w:r w:rsidR="005630E6">
        <w:rPr>
          <w:rFonts w:cs="Times New Roman"/>
          <w:szCs w:val="24"/>
        </w:rPr>
        <w:t>does</w:t>
      </w:r>
      <w:r w:rsidR="00C60453" w:rsidRPr="008470E2">
        <w:rPr>
          <w:rFonts w:cs="Times New Roman"/>
          <w:szCs w:val="24"/>
        </w:rPr>
        <w:t xml:space="preserve"> not have to reinvent its operational procedures in Indonesia to suit its business strategy </w:t>
      </w:r>
      <w:r w:rsidR="0035493B" w:rsidRPr="008470E2">
        <w:rPr>
          <w:rFonts w:cs="Times New Roman"/>
          <w:szCs w:val="24"/>
        </w:rPr>
        <w:t xml:space="preserve">according </w:t>
      </w:r>
      <w:r w:rsidR="0035493B" w:rsidRPr="008470E2">
        <w:rPr>
          <w:rFonts w:cs="Times New Roman"/>
          <w:szCs w:val="24"/>
        </w:rPr>
        <w:lastRenderedPageBreak/>
        <w:t>to</w:t>
      </w:r>
      <w:r w:rsidR="00C60453" w:rsidRPr="008470E2">
        <w:rPr>
          <w:rFonts w:cs="Times New Roman"/>
          <w:szCs w:val="24"/>
        </w:rPr>
        <w:t xml:space="preserve"> the present infrastructure capability of Indonesia. This gives Sainsbury a head start over other new players that may try and enter the market. Because the technology and knowledge transfer between the two countries along with infrastructural development will help Sainsbury replicate its operational strategies in Indonesia as </w:t>
      </w:r>
      <w:r w:rsidR="0035493B" w:rsidRPr="008470E2">
        <w:rPr>
          <w:rFonts w:cs="Times New Roman"/>
          <w:szCs w:val="24"/>
        </w:rPr>
        <w:t xml:space="preserve">built over years of experience in </w:t>
      </w:r>
      <w:r w:rsidR="00C60453" w:rsidRPr="008470E2">
        <w:rPr>
          <w:rFonts w:cs="Times New Roman"/>
          <w:szCs w:val="24"/>
        </w:rPr>
        <w:t xml:space="preserve">other countries.   </w:t>
      </w:r>
    </w:p>
    <w:p w14:paraId="5977E63C" w14:textId="0A0022E6" w:rsidR="00CC6637" w:rsidRPr="008470E2" w:rsidRDefault="00005406" w:rsidP="005630E6">
      <w:pPr>
        <w:pStyle w:val="Heading1"/>
        <w:spacing w:line="360" w:lineRule="auto"/>
        <w:rPr>
          <w:rFonts w:cs="Times New Roman"/>
          <w:szCs w:val="24"/>
        </w:rPr>
      </w:pPr>
      <w:bookmarkStart w:id="17" w:name="_Toc102433499"/>
      <w:r w:rsidRPr="008470E2">
        <w:rPr>
          <w:rFonts w:cs="Times New Roman"/>
          <w:szCs w:val="24"/>
        </w:rPr>
        <w:t xml:space="preserve">3. </w:t>
      </w:r>
      <w:r w:rsidR="00CC6637" w:rsidRPr="008470E2">
        <w:rPr>
          <w:rFonts w:cs="Times New Roman"/>
          <w:szCs w:val="24"/>
        </w:rPr>
        <w:t>Conclusion and recommendations</w:t>
      </w:r>
      <w:bookmarkEnd w:id="17"/>
    </w:p>
    <w:p w14:paraId="67AC6B1A" w14:textId="6FAADB54" w:rsidR="00144478" w:rsidRPr="008470E2" w:rsidRDefault="00B368FF" w:rsidP="005630E6">
      <w:pPr>
        <w:spacing w:line="360" w:lineRule="auto"/>
        <w:rPr>
          <w:rFonts w:cs="Times New Roman"/>
          <w:szCs w:val="24"/>
        </w:rPr>
      </w:pPr>
      <w:r w:rsidRPr="008470E2">
        <w:rPr>
          <w:rFonts w:cs="Times New Roman"/>
          <w:szCs w:val="24"/>
        </w:rPr>
        <w:t xml:space="preserve">The discussion </w:t>
      </w:r>
      <w:r w:rsidR="00DC0185" w:rsidRPr="008470E2">
        <w:rPr>
          <w:rFonts w:cs="Times New Roman"/>
          <w:szCs w:val="24"/>
        </w:rPr>
        <w:t xml:space="preserve">on the cultural aspect of the 2 nations of </w:t>
      </w:r>
      <w:r w:rsidR="005630E6">
        <w:rPr>
          <w:rFonts w:cs="Times New Roman"/>
          <w:szCs w:val="24"/>
        </w:rPr>
        <w:t xml:space="preserve">the </w:t>
      </w:r>
      <w:r w:rsidR="00DC0185" w:rsidRPr="008470E2">
        <w:rPr>
          <w:rFonts w:cs="Times New Roman"/>
          <w:szCs w:val="24"/>
        </w:rPr>
        <w:t xml:space="preserve">UK and Indonesia reveals vast dissimilarities. </w:t>
      </w:r>
      <w:r w:rsidR="00BE48C8" w:rsidRPr="008470E2">
        <w:rPr>
          <w:rFonts w:cs="Times New Roman"/>
          <w:szCs w:val="24"/>
        </w:rPr>
        <w:t xml:space="preserve">Communitarianism, emotional attachment, ascription to titles, </w:t>
      </w:r>
      <w:r w:rsidR="005630E6">
        <w:rPr>
          <w:rFonts w:cs="Times New Roman"/>
          <w:szCs w:val="24"/>
        </w:rPr>
        <w:t xml:space="preserve">a </w:t>
      </w:r>
      <w:r w:rsidR="00BE48C8" w:rsidRPr="008470E2">
        <w:rPr>
          <w:rFonts w:cs="Times New Roman"/>
          <w:szCs w:val="24"/>
        </w:rPr>
        <w:t xml:space="preserve">sense of synchronous time and insistence on particularism are some of the core </w:t>
      </w:r>
      <w:r w:rsidR="005630E6">
        <w:rPr>
          <w:rFonts w:cs="Times New Roman"/>
          <w:szCs w:val="24"/>
        </w:rPr>
        <w:t>ethe</w:t>
      </w:r>
      <w:r w:rsidR="00BE48C8" w:rsidRPr="008470E2">
        <w:rPr>
          <w:rFonts w:cs="Times New Roman"/>
          <w:szCs w:val="24"/>
        </w:rPr>
        <w:t xml:space="preserve"> of Indonesia’s culture. If these cultural aspects are not </w:t>
      </w:r>
      <w:r w:rsidR="005630E6">
        <w:rPr>
          <w:rFonts w:cs="Times New Roman"/>
          <w:szCs w:val="24"/>
        </w:rPr>
        <w:t>taken</w:t>
      </w:r>
      <w:r w:rsidR="00BE48C8" w:rsidRPr="008470E2">
        <w:rPr>
          <w:rFonts w:cs="Times New Roman"/>
          <w:szCs w:val="24"/>
        </w:rPr>
        <w:t xml:space="preserve"> into account while formulating its market entry and operational strategy then it can create friction points between Sainsbury’s organisational value and Indonesia’s cultural norms. The friction points can create roadblocks for Sainsbury in its expansion in Indonesia. From </w:t>
      </w:r>
      <w:r w:rsidR="005630E6">
        <w:rPr>
          <w:rFonts w:cs="Times New Roman"/>
          <w:szCs w:val="24"/>
        </w:rPr>
        <w:t>an</w:t>
      </w:r>
      <w:r w:rsidR="00BE48C8" w:rsidRPr="008470E2">
        <w:rPr>
          <w:rFonts w:cs="Times New Roman"/>
          <w:szCs w:val="24"/>
        </w:rPr>
        <w:t xml:space="preserve"> economic point of view, Indonesia is one of </w:t>
      </w:r>
      <w:r w:rsidR="005630E6">
        <w:rPr>
          <w:rFonts w:cs="Times New Roman"/>
          <w:szCs w:val="24"/>
        </w:rPr>
        <w:t xml:space="preserve">the fastest emerging economies in Asia </w:t>
      </w:r>
      <w:r w:rsidR="00BE48C8" w:rsidRPr="008470E2">
        <w:rPr>
          <w:rFonts w:cs="Times New Roman"/>
          <w:szCs w:val="24"/>
        </w:rPr>
        <w:t>and its f</w:t>
      </w:r>
      <w:r w:rsidR="001F3E4E" w:rsidRPr="008470E2">
        <w:rPr>
          <w:rFonts w:cs="Times New Roman"/>
          <w:szCs w:val="24"/>
        </w:rPr>
        <w:t>u</w:t>
      </w:r>
      <w:r w:rsidR="00BE48C8" w:rsidRPr="008470E2">
        <w:rPr>
          <w:rFonts w:cs="Times New Roman"/>
          <w:szCs w:val="24"/>
        </w:rPr>
        <w:t>ture outlook looks promising. Although the</w:t>
      </w:r>
      <w:r w:rsidR="00415BB1" w:rsidRPr="008470E2">
        <w:rPr>
          <w:rFonts w:cs="Times New Roman"/>
          <w:szCs w:val="24"/>
        </w:rPr>
        <w:t>re are certain areas of concern such as exchange rate fluctuations. If Sainsbury decides to increase its export to developed countries then exchange r</w:t>
      </w:r>
      <w:r w:rsidR="005630E6">
        <w:rPr>
          <w:rFonts w:cs="Times New Roman"/>
          <w:szCs w:val="24"/>
        </w:rPr>
        <w:t xml:space="preserve">ate fluctuations can undermine its </w:t>
      </w:r>
      <w:r w:rsidR="00415BB1" w:rsidRPr="008470E2">
        <w:rPr>
          <w:rFonts w:cs="Times New Roman"/>
          <w:szCs w:val="24"/>
        </w:rPr>
        <w:t xml:space="preserve">competitive advantage of Sainsbury. The </w:t>
      </w:r>
      <w:r w:rsidR="005630E6">
        <w:rPr>
          <w:rFonts w:cs="Times New Roman"/>
          <w:szCs w:val="24"/>
        </w:rPr>
        <w:t xml:space="preserve">macro-economic indicators </w:t>
      </w:r>
      <w:r w:rsidR="00415BB1" w:rsidRPr="008470E2">
        <w:rPr>
          <w:rFonts w:cs="Times New Roman"/>
          <w:szCs w:val="24"/>
        </w:rPr>
        <w:t xml:space="preserve">of Indonesia are poised to grow as indicated by </w:t>
      </w:r>
      <w:r w:rsidR="005630E6">
        <w:rPr>
          <w:rFonts w:cs="Times New Roman"/>
          <w:szCs w:val="24"/>
        </w:rPr>
        <w:t xml:space="preserve">the </w:t>
      </w:r>
      <w:r w:rsidR="00415BB1" w:rsidRPr="008470E2">
        <w:rPr>
          <w:rFonts w:cs="Times New Roman"/>
          <w:szCs w:val="24"/>
        </w:rPr>
        <w:t xml:space="preserve">forecast. FDI constitutes one of the main avenues of investment in the country. </w:t>
      </w:r>
      <w:r w:rsidR="00695413" w:rsidRPr="008470E2">
        <w:rPr>
          <w:rFonts w:cs="Times New Roman"/>
          <w:szCs w:val="24"/>
        </w:rPr>
        <w:t>P</w:t>
      </w:r>
      <w:r w:rsidR="00415BB1" w:rsidRPr="008470E2">
        <w:rPr>
          <w:rFonts w:cs="Times New Roman"/>
          <w:szCs w:val="24"/>
        </w:rPr>
        <w:t xml:space="preserve">olitical and civil unrest can </w:t>
      </w:r>
      <w:r w:rsidR="00695413" w:rsidRPr="008470E2">
        <w:rPr>
          <w:rFonts w:cs="Times New Roman"/>
          <w:szCs w:val="24"/>
        </w:rPr>
        <w:t xml:space="preserve">decrease FDI inflow in the country and slow the pace of investment and economic growth. New bilateral agreements on trade, investment and economic cooperation between UK and Indonesia will give a strong boost to the current Industrial revolution that is </w:t>
      </w:r>
      <w:r w:rsidR="005630E6">
        <w:rPr>
          <w:rFonts w:cs="Times New Roman"/>
          <w:szCs w:val="24"/>
        </w:rPr>
        <w:t>in</w:t>
      </w:r>
      <w:r w:rsidR="00695413" w:rsidRPr="008470E2">
        <w:rPr>
          <w:rFonts w:cs="Times New Roman"/>
          <w:szCs w:val="24"/>
        </w:rPr>
        <w:t xml:space="preserve"> </w:t>
      </w:r>
      <w:r w:rsidR="005630E6">
        <w:rPr>
          <w:rFonts w:cs="Times New Roman"/>
          <w:szCs w:val="24"/>
        </w:rPr>
        <w:t>going on</w:t>
      </w:r>
      <w:r w:rsidR="00695413" w:rsidRPr="008470E2">
        <w:rPr>
          <w:rFonts w:cs="Times New Roman"/>
          <w:szCs w:val="24"/>
        </w:rPr>
        <w:t xml:space="preserve"> in Indonesia. This will improve the access to </w:t>
      </w:r>
      <w:r w:rsidR="005630E6">
        <w:rPr>
          <w:rFonts w:cs="Times New Roman"/>
          <w:szCs w:val="24"/>
        </w:rPr>
        <w:t xml:space="preserve">the </w:t>
      </w:r>
      <w:r w:rsidR="00695413" w:rsidRPr="008470E2">
        <w:rPr>
          <w:rFonts w:cs="Times New Roman"/>
          <w:szCs w:val="24"/>
        </w:rPr>
        <w:t xml:space="preserve">required infrastructure for retailers like Sainsbury to expand </w:t>
      </w:r>
      <w:r w:rsidR="005630E6">
        <w:rPr>
          <w:rFonts w:cs="Times New Roman"/>
          <w:szCs w:val="24"/>
        </w:rPr>
        <w:t>their</w:t>
      </w:r>
      <w:r w:rsidR="00695413" w:rsidRPr="008470E2">
        <w:rPr>
          <w:rFonts w:cs="Times New Roman"/>
          <w:szCs w:val="24"/>
        </w:rPr>
        <w:t xml:space="preserve"> business in Indonesia. </w:t>
      </w:r>
      <w:r w:rsidR="005630E6">
        <w:rPr>
          <w:rFonts w:cs="Times New Roman"/>
          <w:szCs w:val="24"/>
        </w:rPr>
        <w:t>To</w:t>
      </w:r>
      <w:r w:rsidR="00075E4E" w:rsidRPr="008470E2">
        <w:rPr>
          <w:rFonts w:cs="Times New Roman"/>
          <w:szCs w:val="24"/>
        </w:rPr>
        <w:t xml:space="preserve"> avoid conflicts due to cultural differences, employees or managers from </w:t>
      </w:r>
      <w:r w:rsidR="005630E6">
        <w:rPr>
          <w:rFonts w:cs="Times New Roman"/>
          <w:szCs w:val="24"/>
        </w:rPr>
        <w:t xml:space="preserve">the </w:t>
      </w:r>
      <w:r w:rsidR="00075E4E" w:rsidRPr="008470E2">
        <w:rPr>
          <w:rFonts w:cs="Times New Roman"/>
          <w:szCs w:val="24"/>
        </w:rPr>
        <w:t xml:space="preserve">US who will be going to work with their Indonesian counterparts should go </w:t>
      </w:r>
      <w:r w:rsidR="005630E6">
        <w:rPr>
          <w:rFonts w:cs="Times New Roman"/>
          <w:szCs w:val="24"/>
        </w:rPr>
        <w:t xml:space="preserve">through </w:t>
      </w:r>
      <w:r w:rsidR="00075E4E" w:rsidRPr="008470E2">
        <w:rPr>
          <w:rFonts w:cs="Times New Roman"/>
          <w:szCs w:val="24"/>
        </w:rPr>
        <w:t xml:space="preserve">cultural sensitization courses. This will make them aware </w:t>
      </w:r>
      <w:r w:rsidR="005630E6">
        <w:rPr>
          <w:rFonts w:cs="Times New Roman"/>
          <w:szCs w:val="24"/>
        </w:rPr>
        <w:t>of</w:t>
      </w:r>
      <w:r w:rsidR="00075E4E" w:rsidRPr="008470E2">
        <w:rPr>
          <w:rFonts w:cs="Times New Roman"/>
          <w:szCs w:val="24"/>
        </w:rPr>
        <w:t xml:space="preserve"> the cultural norms and </w:t>
      </w:r>
      <w:r w:rsidR="005630E6">
        <w:rPr>
          <w:rFonts w:cs="Times New Roman"/>
          <w:szCs w:val="24"/>
        </w:rPr>
        <w:t>etiquette</w:t>
      </w:r>
      <w:r w:rsidR="00075E4E" w:rsidRPr="008470E2">
        <w:rPr>
          <w:rFonts w:cs="Times New Roman"/>
          <w:szCs w:val="24"/>
        </w:rPr>
        <w:t>. Apart from undergoing cultural sensitization programs the senior management has to devise new organizational value for business units and offic</w:t>
      </w:r>
      <w:r w:rsidR="005630E6">
        <w:rPr>
          <w:rFonts w:cs="Times New Roman"/>
          <w:szCs w:val="24"/>
        </w:rPr>
        <w:t xml:space="preserve">es operating out of Indonesia. Because </w:t>
      </w:r>
      <w:r w:rsidR="00075E4E" w:rsidRPr="008470E2">
        <w:rPr>
          <w:rFonts w:cs="Times New Roman"/>
          <w:szCs w:val="24"/>
        </w:rPr>
        <w:t xml:space="preserve">organisational value depends upon societal norms and customs. </w:t>
      </w:r>
    </w:p>
    <w:p w14:paraId="7832EB25" w14:textId="77777777" w:rsidR="00144478" w:rsidRPr="008470E2" w:rsidRDefault="00144478" w:rsidP="005630E6">
      <w:pPr>
        <w:spacing w:line="360" w:lineRule="auto"/>
        <w:rPr>
          <w:rFonts w:cs="Times New Roman"/>
          <w:szCs w:val="24"/>
        </w:rPr>
      </w:pPr>
    </w:p>
    <w:p w14:paraId="7FA13ACE" w14:textId="77777777" w:rsidR="00144478" w:rsidRPr="008470E2" w:rsidRDefault="00144478" w:rsidP="005630E6">
      <w:pPr>
        <w:spacing w:line="360" w:lineRule="auto"/>
        <w:rPr>
          <w:rFonts w:cs="Times New Roman"/>
          <w:szCs w:val="24"/>
        </w:rPr>
      </w:pPr>
    </w:p>
    <w:p w14:paraId="7D8CE050" w14:textId="77777777" w:rsidR="00144478" w:rsidRPr="008470E2" w:rsidRDefault="00144478" w:rsidP="005630E6">
      <w:pPr>
        <w:spacing w:line="360" w:lineRule="auto"/>
        <w:rPr>
          <w:rFonts w:cs="Times New Roman"/>
          <w:szCs w:val="24"/>
        </w:rPr>
      </w:pPr>
    </w:p>
    <w:p w14:paraId="64B7DEC8" w14:textId="77777777" w:rsidR="008470E2" w:rsidRDefault="008470E2" w:rsidP="005630E6">
      <w:pPr>
        <w:spacing w:line="360" w:lineRule="auto"/>
        <w:rPr>
          <w:rFonts w:cs="Times New Roman"/>
          <w:b/>
          <w:szCs w:val="24"/>
        </w:rPr>
      </w:pPr>
    </w:p>
    <w:p w14:paraId="4A8AACE5" w14:textId="2BD2D240" w:rsidR="008470E2" w:rsidRDefault="008470E2" w:rsidP="005630E6">
      <w:pPr>
        <w:spacing w:line="360" w:lineRule="auto"/>
        <w:rPr>
          <w:rFonts w:cs="Times New Roman"/>
          <w:b/>
          <w:szCs w:val="24"/>
        </w:rPr>
      </w:pPr>
    </w:p>
    <w:p w14:paraId="51D8A6DC" w14:textId="7F8615F1" w:rsidR="00FF53F4" w:rsidRDefault="00FF53F4" w:rsidP="005630E6">
      <w:pPr>
        <w:spacing w:line="360" w:lineRule="auto"/>
        <w:rPr>
          <w:rFonts w:cs="Times New Roman"/>
          <w:b/>
          <w:szCs w:val="24"/>
        </w:rPr>
      </w:pPr>
    </w:p>
    <w:p w14:paraId="5604BE74" w14:textId="0F0B4461" w:rsidR="00FF53F4" w:rsidRDefault="00FF53F4" w:rsidP="005630E6">
      <w:pPr>
        <w:spacing w:line="360" w:lineRule="auto"/>
        <w:rPr>
          <w:rFonts w:cs="Times New Roman"/>
          <w:b/>
          <w:szCs w:val="24"/>
        </w:rPr>
      </w:pPr>
    </w:p>
    <w:p w14:paraId="3E4B07B8" w14:textId="5F73E673" w:rsidR="00FF53F4" w:rsidRDefault="00FF53F4" w:rsidP="005630E6">
      <w:pPr>
        <w:spacing w:line="360" w:lineRule="auto"/>
        <w:rPr>
          <w:rFonts w:cs="Times New Roman"/>
          <w:b/>
          <w:szCs w:val="24"/>
        </w:rPr>
      </w:pPr>
    </w:p>
    <w:p w14:paraId="7C5CA3FD" w14:textId="090C156D" w:rsidR="00FF53F4" w:rsidRDefault="00FF53F4" w:rsidP="005630E6">
      <w:pPr>
        <w:spacing w:line="360" w:lineRule="auto"/>
        <w:rPr>
          <w:rFonts w:cs="Times New Roman"/>
          <w:b/>
          <w:szCs w:val="24"/>
        </w:rPr>
      </w:pPr>
    </w:p>
    <w:p w14:paraId="2F9EBB75" w14:textId="778A4E91" w:rsidR="00FF53F4" w:rsidRDefault="00FF53F4" w:rsidP="005630E6">
      <w:pPr>
        <w:spacing w:line="360" w:lineRule="auto"/>
        <w:rPr>
          <w:rFonts w:cs="Times New Roman"/>
          <w:b/>
          <w:szCs w:val="24"/>
        </w:rPr>
      </w:pPr>
    </w:p>
    <w:p w14:paraId="0FF5136E" w14:textId="77777777" w:rsidR="00FF53F4" w:rsidRDefault="00FF53F4" w:rsidP="005630E6">
      <w:pPr>
        <w:spacing w:line="360" w:lineRule="auto"/>
        <w:rPr>
          <w:rFonts w:cs="Times New Roman"/>
          <w:b/>
          <w:szCs w:val="24"/>
        </w:rPr>
      </w:pPr>
    </w:p>
    <w:p w14:paraId="40E0F892" w14:textId="7CEA7B57" w:rsidR="00144478" w:rsidRPr="008470E2" w:rsidRDefault="00144478" w:rsidP="005630E6">
      <w:pPr>
        <w:pStyle w:val="Heading1"/>
        <w:spacing w:line="360" w:lineRule="auto"/>
      </w:pPr>
      <w:bookmarkStart w:id="18" w:name="_Toc102433500"/>
      <w:r w:rsidRPr="008470E2">
        <w:t>Reference</w:t>
      </w:r>
      <w:bookmarkEnd w:id="18"/>
    </w:p>
    <w:p w14:paraId="1BCDAB13" w14:textId="77777777" w:rsidR="00FF53F4" w:rsidRPr="00FF53F4" w:rsidRDefault="00FF53F4" w:rsidP="00FF53F4">
      <w:pPr>
        <w:spacing w:line="360" w:lineRule="auto"/>
        <w:rPr>
          <w:rFonts w:cs="Times New Roman"/>
          <w:szCs w:val="24"/>
        </w:rPr>
      </w:pPr>
    </w:p>
    <w:p w14:paraId="3C28B14C" w14:textId="77777777" w:rsidR="00FF53F4" w:rsidRPr="00FF53F4" w:rsidRDefault="00FF53F4" w:rsidP="00FF53F4">
      <w:pPr>
        <w:spacing w:line="360" w:lineRule="auto"/>
        <w:rPr>
          <w:rFonts w:cs="Times New Roman"/>
          <w:szCs w:val="24"/>
        </w:rPr>
      </w:pPr>
      <w:r w:rsidRPr="00FF53F4">
        <w:rPr>
          <w:rFonts w:cs="Times New Roman"/>
          <w:szCs w:val="24"/>
        </w:rPr>
        <w:t>About Sainsburys. 2022. Sainsbury Annual Report. [online] Available at: &lt;https://about.sainsburys.co.uk/~/media/Files/S/Sainsburys/documents/reports-and-presentations/annual-reports/sainsburys-ar2021.pdf&gt; [Accessed 2 May 2022].</w:t>
      </w:r>
    </w:p>
    <w:p w14:paraId="00268FB3" w14:textId="77777777" w:rsidR="00FF53F4" w:rsidRPr="00FF53F4" w:rsidRDefault="00FF53F4" w:rsidP="00FF53F4">
      <w:pPr>
        <w:spacing w:line="360" w:lineRule="auto"/>
        <w:rPr>
          <w:rFonts w:cs="Times New Roman"/>
          <w:szCs w:val="24"/>
        </w:rPr>
      </w:pPr>
      <w:r w:rsidRPr="00FF53F4">
        <w:rPr>
          <w:rFonts w:cs="Times New Roman"/>
          <w:szCs w:val="24"/>
        </w:rPr>
        <w:t>Annisa Hamud, N., 2022. Justice for Community: Political Perspective of Michael Sandel’s Communitarianism. [online] Kemendagri. Available at: &lt;https://www.google.com/url?sa=t&amp;rct=j&amp;q=&amp;esrc=s&amp;source=web&amp;cd=&amp;ved=2ahUKEwi6v66MqcD3AhWe8XMBHVYOC98QFnoECAIQAQ&amp;url=https%3A%2F%2Fjurnal.kemendagri.go.id%2Findex.php%2Fjbp%2Farticle%2Fdownload%2F678%2F416&amp;usg=AOvVaw3m-TNjgFSpujJO8MacE-AI&gt; [Accessed 2 May 2022].</w:t>
      </w:r>
    </w:p>
    <w:p w14:paraId="62636665" w14:textId="77777777" w:rsidR="00FF53F4" w:rsidRPr="00FF53F4" w:rsidRDefault="00FF53F4" w:rsidP="00FF53F4">
      <w:pPr>
        <w:spacing w:line="360" w:lineRule="auto"/>
        <w:rPr>
          <w:rFonts w:cs="Times New Roman"/>
          <w:szCs w:val="24"/>
        </w:rPr>
      </w:pPr>
      <w:r w:rsidRPr="00FF53F4">
        <w:rPr>
          <w:rFonts w:cs="Times New Roman"/>
          <w:szCs w:val="24"/>
        </w:rPr>
        <w:t>Assets Publishing Service Gov UK. 2022. UK-Indonesia Partnership Roadmap 2022 to 2024. [online] Available at: &lt;https://assets.publishing.service.gov.uk/government/uploads/system/uploads/attachment_data/file/1070146/indonesia-trade-and-investment-factsheet-2022-04-25.pdf&gt; [Accessed 2 May 2022].</w:t>
      </w:r>
    </w:p>
    <w:p w14:paraId="1A5C1C84" w14:textId="77777777" w:rsidR="00FF53F4" w:rsidRPr="00FF53F4" w:rsidRDefault="00FF53F4" w:rsidP="00FF53F4">
      <w:pPr>
        <w:spacing w:line="360" w:lineRule="auto"/>
        <w:rPr>
          <w:rFonts w:cs="Times New Roman"/>
          <w:szCs w:val="24"/>
        </w:rPr>
      </w:pPr>
      <w:r w:rsidRPr="00FF53F4">
        <w:rPr>
          <w:rFonts w:cs="Times New Roman"/>
          <w:szCs w:val="24"/>
        </w:rPr>
        <w:t>Barata, A., 2019. Strengthening national economic growth and equitable income through sharia digital economy in Indonesia. Journal of Islamic Monetary Economics and Finance, 5(1), pp.145-168. [online] Available at: &lt;http://www.jimf-</w:t>
      </w:r>
      <w:r w:rsidRPr="00FF53F4">
        <w:rPr>
          <w:rFonts w:cs="Times New Roman"/>
          <w:szCs w:val="24"/>
        </w:rPr>
        <w:lastRenderedPageBreak/>
        <w:t>bi.org/index.php/JIMF/article/view/1053/745 view-on-the-mainstream-theory-of-economic-cycles.pdf&gt; [Accessed 2 May 2022].</w:t>
      </w:r>
    </w:p>
    <w:p w14:paraId="5ABEC46D" w14:textId="77777777" w:rsidR="00FF53F4" w:rsidRPr="00FF53F4" w:rsidRDefault="00FF53F4" w:rsidP="00FF53F4">
      <w:pPr>
        <w:spacing w:line="360" w:lineRule="auto"/>
        <w:rPr>
          <w:rFonts w:cs="Times New Roman"/>
          <w:szCs w:val="24"/>
        </w:rPr>
      </w:pPr>
      <w:r w:rsidRPr="00FF53F4">
        <w:rPr>
          <w:rFonts w:cs="Times New Roman"/>
          <w:szCs w:val="24"/>
        </w:rPr>
        <w:t>Budi Waluyo, D., 2022. Globalisation and deglobalisation: the Indonesian perspective. [online] Bis.org. Available at: &lt;https://www.bis.org/publ/bppdf/bispap100_k.pdf&gt; [Accessed 2 May 2022].</w:t>
      </w:r>
    </w:p>
    <w:p w14:paraId="63826695" w14:textId="77777777" w:rsidR="00FF53F4" w:rsidRPr="00FF53F4" w:rsidRDefault="00FF53F4" w:rsidP="00FF53F4">
      <w:pPr>
        <w:spacing w:line="360" w:lineRule="auto"/>
        <w:rPr>
          <w:rFonts w:cs="Times New Roman"/>
          <w:szCs w:val="24"/>
        </w:rPr>
      </w:pPr>
      <w:r w:rsidRPr="00FF53F4">
        <w:rPr>
          <w:rFonts w:cs="Times New Roman"/>
          <w:szCs w:val="24"/>
        </w:rPr>
        <w:t>Business Communication. 2022. Hofstede's Culture Dimension Theory. [online] Available at: &lt;https://sites.google.com/site/buscomproeaflya/hofstede-s-theory-views-of-culture&gt; [Accessed 2 May 2022].</w:t>
      </w:r>
    </w:p>
    <w:p w14:paraId="1CA64BEE" w14:textId="77777777" w:rsidR="00FF53F4" w:rsidRPr="00FF53F4" w:rsidRDefault="00FF53F4" w:rsidP="00FF53F4">
      <w:pPr>
        <w:spacing w:line="360" w:lineRule="auto"/>
        <w:rPr>
          <w:rFonts w:cs="Times New Roman"/>
          <w:szCs w:val="24"/>
        </w:rPr>
      </w:pPr>
      <w:r w:rsidRPr="00FF53F4">
        <w:rPr>
          <w:rFonts w:cs="Times New Roman"/>
          <w:szCs w:val="24"/>
        </w:rPr>
        <w:t>Cappelli, P., 2020. Stop over‐engineering people management. Harvard Business Review, 98(5), pp.55-63. . [online] Available at:&lt; https://empowerment.ee/wp-content/uploads/2020/10/Stop-Overengineering-People-Management.pdf&gt; [Accessed 2 May 2022].</w:t>
      </w:r>
    </w:p>
    <w:p w14:paraId="32BBAF38" w14:textId="77777777" w:rsidR="00FF53F4" w:rsidRPr="00FF53F4" w:rsidRDefault="00FF53F4" w:rsidP="00FF53F4">
      <w:pPr>
        <w:spacing w:line="360" w:lineRule="auto"/>
        <w:rPr>
          <w:rFonts w:cs="Times New Roman"/>
          <w:szCs w:val="24"/>
        </w:rPr>
      </w:pPr>
      <w:r w:rsidRPr="00FF53F4">
        <w:rPr>
          <w:rFonts w:cs="Times New Roman"/>
          <w:szCs w:val="24"/>
        </w:rPr>
        <w:t>Eurac. 2022. How Hofstede &amp; Trompenaars Models Of Cultural Dimensions Apply To Global Leadership • eurac - European Academy for Executive Education. [online] Available at: &lt;https://eurac.com/how-the-2-models-of-cultural-dimensions-hofstede-trompenaars-apply-to-global-leadership&gt; [Accessed 2 May 2022].</w:t>
      </w:r>
    </w:p>
    <w:p w14:paraId="653DD54D" w14:textId="77777777" w:rsidR="00FF53F4" w:rsidRPr="00FF53F4" w:rsidRDefault="00FF53F4" w:rsidP="00FF53F4">
      <w:pPr>
        <w:spacing w:line="360" w:lineRule="auto"/>
        <w:rPr>
          <w:rFonts w:cs="Times New Roman"/>
          <w:szCs w:val="24"/>
        </w:rPr>
      </w:pPr>
      <w:r w:rsidRPr="00FF53F4">
        <w:rPr>
          <w:rFonts w:cs="Times New Roman"/>
          <w:szCs w:val="24"/>
        </w:rPr>
        <w:t>Europarl. 2022. Political institutions in Indonesia. [online] Available at: &lt;https://www.europarl.europa.eu/RegData/etudes/BRIE/2020/646149/EPRS_BRI(2020)646149_EN.pdf&gt; [Accessed 2 May 2022].</w:t>
      </w:r>
    </w:p>
    <w:p w14:paraId="102CE2A3" w14:textId="77777777" w:rsidR="00FF53F4" w:rsidRPr="00FF53F4" w:rsidRDefault="00FF53F4" w:rsidP="00FF53F4">
      <w:pPr>
        <w:spacing w:line="360" w:lineRule="auto"/>
        <w:rPr>
          <w:rFonts w:cs="Times New Roman"/>
          <w:szCs w:val="24"/>
        </w:rPr>
      </w:pPr>
      <w:r w:rsidRPr="00FF53F4">
        <w:rPr>
          <w:rFonts w:cs="Times New Roman"/>
          <w:szCs w:val="24"/>
        </w:rPr>
        <w:t>GDP Growth Trading Economics. 2022. Indonesia GDP Annual Growth Rate. [online] Available at: &lt;https://tradingeconomics.com/indonesia/gdp-growth-annual&gt; [Accessed 2 May 2022].</w:t>
      </w:r>
    </w:p>
    <w:p w14:paraId="24FF3DC4" w14:textId="77777777" w:rsidR="00FF53F4" w:rsidRPr="00FF53F4" w:rsidRDefault="00FF53F4" w:rsidP="00FF53F4">
      <w:pPr>
        <w:spacing w:line="360" w:lineRule="auto"/>
        <w:rPr>
          <w:rFonts w:cs="Times New Roman"/>
          <w:szCs w:val="24"/>
        </w:rPr>
      </w:pPr>
      <w:r w:rsidRPr="00FF53F4">
        <w:rPr>
          <w:rFonts w:cs="Times New Roman"/>
          <w:szCs w:val="24"/>
        </w:rPr>
        <w:t>GDP per cap Trading Economics. 2022. Indonesia - GDP Per Capita Growth (annual %). [online] Available at: &lt;https://tradingeconomics.com/indonesia/gdp-per-capita-growth-annual-percent-wb-data.html#:~:text=GDP%20per%20capita%20growth%20(annual%20%25)%20in%20Indonesia%20was%20reported,compiled%20from%20officially%20recognized%20sources.&gt; [Accessed 2 May 2022].</w:t>
      </w:r>
    </w:p>
    <w:p w14:paraId="6EF144AB" w14:textId="77777777" w:rsidR="00FF53F4" w:rsidRPr="00FF53F4" w:rsidRDefault="00FF53F4" w:rsidP="00FF53F4">
      <w:pPr>
        <w:spacing w:line="360" w:lineRule="auto"/>
        <w:rPr>
          <w:rFonts w:cs="Times New Roman"/>
          <w:szCs w:val="24"/>
        </w:rPr>
      </w:pPr>
      <w:r w:rsidRPr="00FF53F4">
        <w:rPr>
          <w:rFonts w:cs="Times New Roman"/>
          <w:szCs w:val="24"/>
        </w:rPr>
        <w:t>GDP Trading Economics. 2022. Indonesia GDP. [online] Available at: &lt;https://tradingeconomics.com/indonesia/gdp&gt; [Accessed 2 May 2022].</w:t>
      </w:r>
    </w:p>
    <w:p w14:paraId="38E4445D" w14:textId="77777777" w:rsidR="00FF53F4" w:rsidRPr="00FF53F4" w:rsidRDefault="00FF53F4" w:rsidP="00FF53F4">
      <w:pPr>
        <w:spacing w:line="360" w:lineRule="auto"/>
        <w:rPr>
          <w:rFonts w:cs="Times New Roman"/>
          <w:szCs w:val="24"/>
        </w:rPr>
      </w:pPr>
      <w:r w:rsidRPr="00FF53F4">
        <w:rPr>
          <w:rFonts w:cs="Times New Roman"/>
          <w:szCs w:val="24"/>
        </w:rPr>
        <w:lastRenderedPageBreak/>
        <w:t>Github. 2022. What Is International Trade Theory?. [online] Available at: &lt;https://saylordotorg.github.io/text_international-business/s06-01-what-is-international-trade-th.html&gt; [Accessed 2 May 2022].</w:t>
      </w:r>
    </w:p>
    <w:p w14:paraId="281F8186" w14:textId="77777777" w:rsidR="00FF53F4" w:rsidRPr="00FF53F4" w:rsidRDefault="00FF53F4" w:rsidP="00FF53F4">
      <w:pPr>
        <w:spacing w:line="360" w:lineRule="auto"/>
        <w:rPr>
          <w:rFonts w:cs="Times New Roman"/>
          <w:szCs w:val="24"/>
        </w:rPr>
      </w:pPr>
      <w:r w:rsidRPr="00FF53F4">
        <w:rPr>
          <w:rFonts w:cs="Times New Roman"/>
          <w:szCs w:val="24"/>
        </w:rPr>
        <w:t>Glushkova, S., Lomakina, O. and Sakulyeva, T., 2019. The economy of developing countries in the context of globalization: Global supply chain management. International Journal of Supply Chain Management, 8(1), pp.876-884. [online] Available at:&lt; https://core.ac.uk/download/pdf/230748361.pdf&gt; [Accessed 2 May 2022].</w:t>
      </w:r>
    </w:p>
    <w:p w14:paraId="5BB8AE12" w14:textId="77777777" w:rsidR="00FF53F4" w:rsidRPr="00FF53F4" w:rsidRDefault="00FF53F4" w:rsidP="00FF53F4">
      <w:pPr>
        <w:spacing w:line="360" w:lineRule="auto"/>
        <w:rPr>
          <w:rFonts w:cs="Times New Roman"/>
          <w:szCs w:val="24"/>
        </w:rPr>
      </w:pPr>
      <w:r w:rsidRPr="00FF53F4">
        <w:rPr>
          <w:rFonts w:cs="Times New Roman"/>
          <w:szCs w:val="24"/>
        </w:rPr>
        <w:t>GOV UK. 2022. UK-Indonesia Partnership Roadmap 2022 to 2024. [online] Available at: &lt;https://www.gov.uk/government/publications/uk-indonesia-partnership-roadmap-2022-to-2024/uk-indonesia-partnership-roadmap-2022-to-2024&gt; [Accessed 2 May 2022].</w:t>
      </w:r>
    </w:p>
    <w:p w14:paraId="56FAD1D0" w14:textId="77777777" w:rsidR="00FF53F4" w:rsidRPr="00FF53F4" w:rsidRDefault="00FF53F4" w:rsidP="00FF53F4">
      <w:pPr>
        <w:spacing w:line="360" w:lineRule="auto"/>
        <w:rPr>
          <w:rFonts w:cs="Times New Roman"/>
          <w:szCs w:val="24"/>
        </w:rPr>
      </w:pPr>
      <w:r w:rsidRPr="00FF53F4">
        <w:rPr>
          <w:rFonts w:cs="Times New Roman"/>
          <w:szCs w:val="24"/>
        </w:rPr>
        <w:t>Human Rights Watch. 2022. World Report 2021: Rights Trends in Indonesia. [online] Available at: &lt;https://www.hrw.org/world-report/2021/country-chapters/indonesia&gt; [Accessed 2 May 2022].</w:t>
      </w:r>
    </w:p>
    <w:p w14:paraId="6F4FFA44" w14:textId="77777777" w:rsidR="00FF53F4" w:rsidRPr="00FF53F4" w:rsidRDefault="00FF53F4" w:rsidP="00FF53F4">
      <w:pPr>
        <w:spacing w:line="360" w:lineRule="auto"/>
        <w:rPr>
          <w:rFonts w:cs="Times New Roman"/>
          <w:szCs w:val="24"/>
        </w:rPr>
      </w:pPr>
      <w:r w:rsidRPr="00FF53F4">
        <w:rPr>
          <w:rFonts w:cs="Times New Roman"/>
          <w:szCs w:val="24"/>
        </w:rPr>
        <w:t>Indonesia GDP per cap Trading Economics. 2022. Indonesia GDP per capita. [online] Available at: &lt;https://tradingeconomics.com/indonesia/gdp-per-capita#:~:text=GDP%20per%20capita%20in%20Indonesia%20is%20expected%20to%20reach%204450.00,according%20to%20our%20econometric%20models.&gt; [Accessed 2 May 2022].</w:t>
      </w:r>
    </w:p>
    <w:p w14:paraId="6A40FD82" w14:textId="77777777" w:rsidR="00FF53F4" w:rsidRPr="00FF53F4" w:rsidRDefault="00FF53F4" w:rsidP="00FF53F4">
      <w:pPr>
        <w:spacing w:line="360" w:lineRule="auto"/>
        <w:rPr>
          <w:rFonts w:cs="Times New Roman"/>
          <w:szCs w:val="24"/>
        </w:rPr>
      </w:pPr>
      <w:r w:rsidRPr="00FF53F4">
        <w:rPr>
          <w:rFonts w:cs="Times New Roman"/>
          <w:szCs w:val="24"/>
        </w:rPr>
        <w:t>Isaic, R., Smirna, T. and Paun, C., 2019. A critical view on the mainstream theory of economic cycles. Management &amp; Marketing, 14(1), pp.48-58. [online] Available at: &lt;https://www.researchgate.net/profile/Paun-Cristian/publication/332526656_A_critical_view_on_the_mainstream_theory_of_economic_cycles/links/5ce52b46299bf14d95af6a42/A-critical-view-on-the-mainstream-theory-of-economic-cycles.pdf&gt; [Accessed 2 May 2022].</w:t>
      </w:r>
    </w:p>
    <w:p w14:paraId="5A4A5957" w14:textId="77777777" w:rsidR="00FF53F4" w:rsidRPr="00FF53F4" w:rsidRDefault="00FF53F4" w:rsidP="00FF53F4">
      <w:pPr>
        <w:spacing w:line="360" w:lineRule="auto"/>
        <w:rPr>
          <w:rFonts w:cs="Times New Roman"/>
          <w:szCs w:val="24"/>
        </w:rPr>
      </w:pPr>
      <w:r w:rsidRPr="00FF53F4">
        <w:rPr>
          <w:rFonts w:cs="Times New Roman"/>
          <w:szCs w:val="24"/>
        </w:rPr>
        <w:t>Leadership Cross Roads. 2022. Negotiating International Business. [online] Available at: &lt;http://www.leadershipcrossroads.com/mat/cou/Indonesia.pdf&gt; [Accessed 2 May 2022].</w:t>
      </w:r>
    </w:p>
    <w:p w14:paraId="715234C5" w14:textId="77777777" w:rsidR="00FF53F4" w:rsidRPr="00FF53F4" w:rsidRDefault="00FF53F4" w:rsidP="00FF53F4">
      <w:pPr>
        <w:spacing w:line="360" w:lineRule="auto"/>
        <w:rPr>
          <w:rFonts w:cs="Times New Roman"/>
          <w:szCs w:val="24"/>
        </w:rPr>
      </w:pPr>
      <w:r w:rsidRPr="00FF53F4">
        <w:rPr>
          <w:rFonts w:cs="Times New Roman"/>
          <w:szCs w:val="24"/>
        </w:rPr>
        <w:t>Linklaters. 2022. Commercial mediation in Indonesia | Commercial mediation – a global review| Linklaters. [online] Available at: &lt;https://www.linklaters.com/en/insights/publications/commercial-mediation-a-global-review/commercial-mediation-a-global-review/indonesia&gt; [Accessed 2 May 2022].</w:t>
      </w:r>
    </w:p>
    <w:p w14:paraId="79BF656B" w14:textId="77777777" w:rsidR="00FF53F4" w:rsidRPr="00FF53F4" w:rsidRDefault="00FF53F4" w:rsidP="00FF53F4">
      <w:pPr>
        <w:spacing w:line="360" w:lineRule="auto"/>
        <w:rPr>
          <w:rFonts w:cs="Times New Roman"/>
          <w:szCs w:val="24"/>
        </w:rPr>
      </w:pPr>
      <w:r w:rsidRPr="00FF53F4">
        <w:rPr>
          <w:rFonts w:cs="Times New Roman"/>
          <w:szCs w:val="24"/>
        </w:rPr>
        <w:lastRenderedPageBreak/>
        <w:t>Nguyen, V.C. and Do, T.T., 2020. Impact of exchange rate shocks, inward FDI and import on export performance: a cointegration analysis. The Journal of Asian Finance, Economics and Business, 7(4), pp.163-171. [online] Available at: &lt;https://www.koreascience.or.kr/article/JAKO202014862061231.page&gt; [Accessed 2 May 2022].</w:t>
      </w:r>
    </w:p>
    <w:p w14:paraId="3EA2C3D1" w14:textId="77777777" w:rsidR="00FF53F4" w:rsidRPr="00FF53F4" w:rsidRDefault="00FF53F4" w:rsidP="00FF53F4">
      <w:pPr>
        <w:spacing w:line="360" w:lineRule="auto"/>
        <w:rPr>
          <w:rFonts w:cs="Times New Roman"/>
          <w:szCs w:val="24"/>
        </w:rPr>
      </w:pPr>
      <w:r w:rsidRPr="00FF53F4">
        <w:rPr>
          <w:rFonts w:cs="Times New Roman"/>
          <w:szCs w:val="24"/>
        </w:rPr>
        <w:t>The Jakarta Post. 2022. Indonesia, UK seek stronger economic ties with first JETCO meeting. [online] Available at: &lt;https://www.thejakartapost.com/business/2022/02/24/indonesia-uk-seek-stronger-economic-ties-with-first-jetco-meeting.html#:~:text=Currently%2C%20the%20UK%20is%20not,US%241.47%20billion%20last%20year.&gt; [Accessed 2 May 2022].</w:t>
      </w:r>
    </w:p>
    <w:p w14:paraId="053EEBD7" w14:textId="77777777" w:rsidR="00FF53F4" w:rsidRPr="00FF53F4" w:rsidRDefault="00FF53F4" w:rsidP="00FF53F4">
      <w:pPr>
        <w:spacing w:line="360" w:lineRule="auto"/>
        <w:rPr>
          <w:rFonts w:cs="Times New Roman"/>
          <w:szCs w:val="24"/>
        </w:rPr>
      </w:pPr>
      <w:r w:rsidRPr="00FF53F4">
        <w:rPr>
          <w:rFonts w:cs="Times New Roman"/>
          <w:szCs w:val="24"/>
        </w:rPr>
        <w:t>World FDI Tradingeconomics.com. 2022. World - Foreign Direct Investment, Net Inflows (% Of GDP) - 2022 Data 2023 Forecast 1970-2020 Historical. [online] Available at: &lt;https://tradingeconomics.com/world/foreign-direct-investment-net-inflows-percent-of-gdp-wb-data.html&gt; [Accessed 2 May 2022].</w:t>
      </w:r>
    </w:p>
    <w:p w14:paraId="59EA5273" w14:textId="77777777" w:rsidR="00FF53F4" w:rsidRPr="00FF53F4" w:rsidRDefault="00FF53F4" w:rsidP="00FF53F4">
      <w:pPr>
        <w:spacing w:line="360" w:lineRule="auto"/>
        <w:rPr>
          <w:rFonts w:cs="Times New Roman"/>
          <w:szCs w:val="24"/>
        </w:rPr>
      </w:pPr>
      <w:r w:rsidRPr="00FF53F4">
        <w:rPr>
          <w:rFonts w:cs="Times New Roman"/>
          <w:szCs w:val="24"/>
        </w:rPr>
        <w:t>World GDP Growth Trading Economics. 2022. World - GDP Growth (annual %). [online] Available at: &lt;https://tradingeconomics.com/world/gdp-growth-annual-percent-2010-wb-data.html&gt; [Accessed 2 May 2022].</w:t>
      </w:r>
    </w:p>
    <w:p w14:paraId="0D69DA3A" w14:textId="77777777" w:rsidR="00FF53F4" w:rsidRPr="00FF53F4" w:rsidRDefault="00FF53F4" w:rsidP="00FF53F4">
      <w:pPr>
        <w:spacing w:line="360" w:lineRule="auto"/>
        <w:rPr>
          <w:rFonts w:cs="Times New Roman"/>
          <w:szCs w:val="24"/>
        </w:rPr>
      </w:pPr>
      <w:r w:rsidRPr="00FF53F4">
        <w:rPr>
          <w:rFonts w:cs="Times New Roman"/>
          <w:szCs w:val="24"/>
        </w:rPr>
        <w:t>World GDP Per Cap Growth Trading Economics. 2022. World - GDP Per Capita Growth (annual %). [online] Available at: &lt;https://tradingeconomics.com/world/gdp-per-capita-growth-annual-percent-wb-data.html&gt; [Accessed 2 May 2022].</w:t>
      </w:r>
    </w:p>
    <w:p w14:paraId="30E58B62" w14:textId="77777777" w:rsidR="00FF53F4" w:rsidRPr="00FF53F4" w:rsidRDefault="00FF53F4" w:rsidP="00FF53F4">
      <w:pPr>
        <w:spacing w:line="360" w:lineRule="auto"/>
        <w:rPr>
          <w:rFonts w:cs="Times New Roman"/>
          <w:szCs w:val="24"/>
        </w:rPr>
      </w:pPr>
      <w:r w:rsidRPr="00FF53F4">
        <w:rPr>
          <w:rFonts w:cs="Times New Roman"/>
          <w:szCs w:val="24"/>
        </w:rPr>
        <w:t>Worldbank Doing Business. 2022. Ease of doing business rank (1=most business-friendly regulations) - Indonesia | Data. [online] Available at: &lt;https://data.worldbank.org/indicator/IC.BUS.EASE.XQ?locations=ID&gt; [Accessed 2 May 2022].</w:t>
      </w:r>
    </w:p>
    <w:p w14:paraId="7120FDCC" w14:textId="77777777" w:rsidR="00FF53F4" w:rsidRPr="00FF53F4" w:rsidRDefault="00FF53F4" w:rsidP="00FF53F4">
      <w:pPr>
        <w:spacing w:line="360" w:lineRule="auto"/>
        <w:rPr>
          <w:rFonts w:cs="Times New Roman"/>
          <w:szCs w:val="24"/>
        </w:rPr>
      </w:pPr>
      <w:r w:rsidRPr="00FF53F4">
        <w:rPr>
          <w:rFonts w:cs="Times New Roman"/>
          <w:szCs w:val="24"/>
        </w:rPr>
        <w:t>Worldbank GDP growth rate Indonesia. 2022. GDP growth (annual %) - Indonesia | Data. [online] Available at: &lt;https://data.worldbank.org/indicator/NY.GDP.MKTP.KD.ZG?locations=ID&gt; [Accessed 2 May 2022].</w:t>
      </w:r>
    </w:p>
    <w:p w14:paraId="19B57B17" w14:textId="77777777" w:rsidR="00FF53F4" w:rsidRPr="00FF53F4" w:rsidRDefault="00FF53F4" w:rsidP="00FF53F4">
      <w:pPr>
        <w:spacing w:line="360" w:lineRule="auto"/>
        <w:rPr>
          <w:rFonts w:cs="Times New Roman"/>
          <w:szCs w:val="24"/>
        </w:rPr>
      </w:pPr>
      <w:r w:rsidRPr="00FF53F4">
        <w:rPr>
          <w:rFonts w:cs="Times New Roman"/>
          <w:szCs w:val="24"/>
        </w:rPr>
        <w:lastRenderedPageBreak/>
        <w:t>Worldbank GDP Indonesia. 2022. GDP (current US$) - Indonesia | Data. [online] Available at: &lt;https://data.worldbank.org/indicator/NY.GDP.MKTP.CD?locations=ID&gt; [Accessed 2 May 2022].</w:t>
      </w:r>
    </w:p>
    <w:p w14:paraId="623FDE1F" w14:textId="77777777" w:rsidR="00FF53F4" w:rsidRPr="00FF53F4" w:rsidRDefault="00FF53F4" w:rsidP="00FF53F4">
      <w:pPr>
        <w:spacing w:line="360" w:lineRule="auto"/>
        <w:rPr>
          <w:rFonts w:cs="Times New Roman"/>
          <w:szCs w:val="24"/>
        </w:rPr>
      </w:pPr>
      <w:r w:rsidRPr="00FF53F4">
        <w:rPr>
          <w:rFonts w:cs="Times New Roman"/>
          <w:szCs w:val="24"/>
        </w:rPr>
        <w:t>Worldbank Population Indonesia. 2022. Population, total - Indonesia | Data. [online] Available at: &lt;https://data.worldbank.org/indicator/SP.POP.TOTL?locations=ID&gt; [Accessed 2 May 2022].</w:t>
      </w:r>
    </w:p>
    <w:sectPr w:rsidR="00FF53F4" w:rsidRPr="00FF53F4" w:rsidSect="004770F4">
      <w:headerReference w:type="default" r:id="rId24"/>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C1D98" w14:textId="77777777" w:rsidR="005C1455" w:rsidRDefault="005C1455" w:rsidP="004770F4">
      <w:pPr>
        <w:spacing w:after="0" w:line="240" w:lineRule="auto"/>
      </w:pPr>
      <w:r>
        <w:separator/>
      </w:r>
    </w:p>
  </w:endnote>
  <w:endnote w:type="continuationSeparator" w:id="0">
    <w:p w14:paraId="42F10DBF" w14:textId="77777777" w:rsidR="005C1455" w:rsidRDefault="005C1455"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420FF" w14:textId="77777777" w:rsidR="005C1455" w:rsidRDefault="005C1455" w:rsidP="004770F4">
      <w:pPr>
        <w:spacing w:after="0" w:line="240" w:lineRule="auto"/>
      </w:pPr>
      <w:r>
        <w:separator/>
      </w:r>
    </w:p>
  </w:footnote>
  <w:footnote w:type="continuationSeparator" w:id="0">
    <w:p w14:paraId="1FE66009" w14:textId="77777777" w:rsidR="005C1455" w:rsidRDefault="005C1455"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09EC4" w14:textId="4B485918" w:rsidR="00DE01D9" w:rsidRPr="008038B9" w:rsidRDefault="003E0DDD" w:rsidP="008038B9">
    <w:pPr>
      <w:pStyle w:val="Header"/>
    </w:pPr>
    <w:r>
      <w:rPr>
        <w:noProof/>
        <w:lang w:eastAsia="en-IN"/>
      </w:rPr>
      <w:t>Sainsbury</w:t>
    </w:r>
    <w:r w:rsidR="00DE01D9" w:rsidRPr="008038B9">
      <w:rPr>
        <w:noProof/>
        <w:lang w:eastAsia="en-IN"/>
      </w:rPr>
      <w:t xml:space="preserve"> Global Expansion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05406"/>
    <w:rsid w:val="000174F9"/>
    <w:rsid w:val="00024649"/>
    <w:rsid w:val="00056EE8"/>
    <w:rsid w:val="00065110"/>
    <w:rsid w:val="00075E4E"/>
    <w:rsid w:val="000866A4"/>
    <w:rsid w:val="00090113"/>
    <w:rsid w:val="00090507"/>
    <w:rsid w:val="000A3187"/>
    <w:rsid w:val="000A48CB"/>
    <w:rsid w:val="000B3181"/>
    <w:rsid w:val="000D3407"/>
    <w:rsid w:val="000D3EF0"/>
    <w:rsid w:val="000E2008"/>
    <w:rsid w:val="000F44A4"/>
    <w:rsid w:val="00144478"/>
    <w:rsid w:val="00162D24"/>
    <w:rsid w:val="00166ED2"/>
    <w:rsid w:val="00170F37"/>
    <w:rsid w:val="00186866"/>
    <w:rsid w:val="001B1F49"/>
    <w:rsid w:val="001C514C"/>
    <w:rsid w:val="001C7F62"/>
    <w:rsid w:val="001E2BFC"/>
    <w:rsid w:val="001E4590"/>
    <w:rsid w:val="001E6AB8"/>
    <w:rsid w:val="001F3E4E"/>
    <w:rsid w:val="0023152F"/>
    <w:rsid w:val="0027394C"/>
    <w:rsid w:val="00296BC0"/>
    <w:rsid w:val="002A7581"/>
    <w:rsid w:val="002B46F9"/>
    <w:rsid w:val="002D069E"/>
    <w:rsid w:val="00340405"/>
    <w:rsid w:val="00350007"/>
    <w:rsid w:val="0035493B"/>
    <w:rsid w:val="0038521C"/>
    <w:rsid w:val="003867B9"/>
    <w:rsid w:val="003A1ABA"/>
    <w:rsid w:val="003A7364"/>
    <w:rsid w:val="003A7E40"/>
    <w:rsid w:val="003D1F72"/>
    <w:rsid w:val="003E0DDD"/>
    <w:rsid w:val="003F2C61"/>
    <w:rsid w:val="003F3E2D"/>
    <w:rsid w:val="003F608D"/>
    <w:rsid w:val="00415BB1"/>
    <w:rsid w:val="00420174"/>
    <w:rsid w:val="0046523D"/>
    <w:rsid w:val="00475201"/>
    <w:rsid w:val="004770F4"/>
    <w:rsid w:val="00483B35"/>
    <w:rsid w:val="004B242C"/>
    <w:rsid w:val="004D71B5"/>
    <w:rsid w:val="004F1548"/>
    <w:rsid w:val="00503DDB"/>
    <w:rsid w:val="005072A5"/>
    <w:rsid w:val="005123AA"/>
    <w:rsid w:val="0052083C"/>
    <w:rsid w:val="00520E6D"/>
    <w:rsid w:val="00534D79"/>
    <w:rsid w:val="00540DDE"/>
    <w:rsid w:val="00540EA2"/>
    <w:rsid w:val="005575E7"/>
    <w:rsid w:val="005630E6"/>
    <w:rsid w:val="00591FD2"/>
    <w:rsid w:val="005A5764"/>
    <w:rsid w:val="005C1455"/>
    <w:rsid w:val="005F383B"/>
    <w:rsid w:val="006377F9"/>
    <w:rsid w:val="006563CF"/>
    <w:rsid w:val="006709B2"/>
    <w:rsid w:val="00680B35"/>
    <w:rsid w:val="00682EF7"/>
    <w:rsid w:val="00695413"/>
    <w:rsid w:val="006F315F"/>
    <w:rsid w:val="00712D50"/>
    <w:rsid w:val="0071386D"/>
    <w:rsid w:val="0074041A"/>
    <w:rsid w:val="00792EE3"/>
    <w:rsid w:val="007971F1"/>
    <w:rsid w:val="007A5F15"/>
    <w:rsid w:val="007B40B3"/>
    <w:rsid w:val="007E1E12"/>
    <w:rsid w:val="008038B9"/>
    <w:rsid w:val="00806DCD"/>
    <w:rsid w:val="00815E52"/>
    <w:rsid w:val="0082315A"/>
    <w:rsid w:val="00826F9F"/>
    <w:rsid w:val="00844689"/>
    <w:rsid w:val="008470E2"/>
    <w:rsid w:val="00857EC3"/>
    <w:rsid w:val="00877F4D"/>
    <w:rsid w:val="00885983"/>
    <w:rsid w:val="008A06FD"/>
    <w:rsid w:val="008A5C73"/>
    <w:rsid w:val="008F0335"/>
    <w:rsid w:val="008F4F86"/>
    <w:rsid w:val="00900EC6"/>
    <w:rsid w:val="00901FD2"/>
    <w:rsid w:val="009031B8"/>
    <w:rsid w:val="00940B69"/>
    <w:rsid w:val="009467CB"/>
    <w:rsid w:val="0095289B"/>
    <w:rsid w:val="00953CB7"/>
    <w:rsid w:val="009671B6"/>
    <w:rsid w:val="009703BF"/>
    <w:rsid w:val="009710A7"/>
    <w:rsid w:val="00987BC1"/>
    <w:rsid w:val="00995C6D"/>
    <w:rsid w:val="009C4DB7"/>
    <w:rsid w:val="009C7BBC"/>
    <w:rsid w:val="009F1E9D"/>
    <w:rsid w:val="00A06838"/>
    <w:rsid w:val="00A528CF"/>
    <w:rsid w:val="00A557EA"/>
    <w:rsid w:val="00A849D7"/>
    <w:rsid w:val="00A97A5D"/>
    <w:rsid w:val="00AB0055"/>
    <w:rsid w:val="00AE2F2E"/>
    <w:rsid w:val="00B16ADD"/>
    <w:rsid w:val="00B30C9A"/>
    <w:rsid w:val="00B368FF"/>
    <w:rsid w:val="00B46A12"/>
    <w:rsid w:val="00B8049B"/>
    <w:rsid w:val="00B868E0"/>
    <w:rsid w:val="00B9316B"/>
    <w:rsid w:val="00BA4A92"/>
    <w:rsid w:val="00BB0E30"/>
    <w:rsid w:val="00BB38D6"/>
    <w:rsid w:val="00BE48C8"/>
    <w:rsid w:val="00C00375"/>
    <w:rsid w:val="00C126F5"/>
    <w:rsid w:val="00C224DD"/>
    <w:rsid w:val="00C31B5C"/>
    <w:rsid w:val="00C4373F"/>
    <w:rsid w:val="00C60453"/>
    <w:rsid w:val="00C610FB"/>
    <w:rsid w:val="00C92574"/>
    <w:rsid w:val="00C93F44"/>
    <w:rsid w:val="00C95364"/>
    <w:rsid w:val="00CB2C8D"/>
    <w:rsid w:val="00CC4F0A"/>
    <w:rsid w:val="00CC6637"/>
    <w:rsid w:val="00CE2B5F"/>
    <w:rsid w:val="00D06E70"/>
    <w:rsid w:val="00D11E1E"/>
    <w:rsid w:val="00D369A4"/>
    <w:rsid w:val="00D50BC6"/>
    <w:rsid w:val="00D52CE8"/>
    <w:rsid w:val="00D63902"/>
    <w:rsid w:val="00D80066"/>
    <w:rsid w:val="00D859F0"/>
    <w:rsid w:val="00D932CA"/>
    <w:rsid w:val="00D953EB"/>
    <w:rsid w:val="00DA13F4"/>
    <w:rsid w:val="00DA4A13"/>
    <w:rsid w:val="00DB1425"/>
    <w:rsid w:val="00DC0185"/>
    <w:rsid w:val="00DC3807"/>
    <w:rsid w:val="00DC5C44"/>
    <w:rsid w:val="00DE01D9"/>
    <w:rsid w:val="00E0115F"/>
    <w:rsid w:val="00E102E2"/>
    <w:rsid w:val="00E11A11"/>
    <w:rsid w:val="00E50989"/>
    <w:rsid w:val="00E6677A"/>
    <w:rsid w:val="00E67D8B"/>
    <w:rsid w:val="00E72422"/>
    <w:rsid w:val="00E933EE"/>
    <w:rsid w:val="00E96CD5"/>
    <w:rsid w:val="00EA2756"/>
    <w:rsid w:val="00EB4B2E"/>
    <w:rsid w:val="00ED388D"/>
    <w:rsid w:val="00F13101"/>
    <w:rsid w:val="00F15D44"/>
    <w:rsid w:val="00F2625E"/>
    <w:rsid w:val="00F274A3"/>
    <w:rsid w:val="00F47E5F"/>
    <w:rsid w:val="00F56EB9"/>
    <w:rsid w:val="00F722BB"/>
    <w:rsid w:val="00F7362A"/>
    <w:rsid w:val="00F755B8"/>
    <w:rsid w:val="00F76ED7"/>
    <w:rsid w:val="00FA4F97"/>
    <w:rsid w:val="00FC29F2"/>
    <w:rsid w:val="00FD7B19"/>
    <w:rsid w:val="00FF2B62"/>
    <w:rsid w:val="00FF53F4"/>
    <w:rsid w:val="00FF6889"/>
    <w:rsid w:val="00FF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08095"/>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05406"/>
    <w:pPr>
      <w:keepNext/>
      <w:keepLines/>
      <w:spacing w:before="40" w:after="0"/>
      <w:jc w:val="left"/>
      <w:outlineLvl w:val="2"/>
    </w:pPr>
    <w:rPr>
      <w:rFonts w:eastAsiaTheme="majorEastAsia" w:cstheme="majorBidi"/>
      <w:b/>
      <w:color w:val="auto"/>
      <w:szCs w:val="24"/>
    </w:rPr>
  </w:style>
  <w:style w:type="paragraph" w:styleId="Heading4">
    <w:name w:val="heading 4"/>
    <w:basedOn w:val="Normal"/>
    <w:next w:val="Normal"/>
    <w:link w:val="Heading4Char"/>
    <w:uiPriority w:val="9"/>
    <w:semiHidden/>
    <w:unhideWhenUsed/>
    <w:qFormat/>
    <w:rsid w:val="00CE2B5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9710A7"/>
    <w:rPr>
      <w:sz w:val="16"/>
      <w:szCs w:val="16"/>
    </w:rPr>
  </w:style>
  <w:style w:type="paragraph" w:styleId="CommentText">
    <w:name w:val="annotation text"/>
    <w:basedOn w:val="Normal"/>
    <w:link w:val="CommentTextChar"/>
    <w:uiPriority w:val="99"/>
    <w:semiHidden/>
    <w:unhideWhenUsed/>
    <w:rsid w:val="009710A7"/>
    <w:pPr>
      <w:spacing w:line="240" w:lineRule="auto"/>
    </w:pPr>
    <w:rPr>
      <w:sz w:val="20"/>
      <w:szCs w:val="20"/>
    </w:rPr>
  </w:style>
  <w:style w:type="character" w:customStyle="1" w:styleId="CommentTextChar">
    <w:name w:val="Comment Text Char"/>
    <w:basedOn w:val="DefaultParagraphFont"/>
    <w:link w:val="CommentText"/>
    <w:uiPriority w:val="99"/>
    <w:semiHidden/>
    <w:rsid w:val="009710A7"/>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710A7"/>
    <w:rPr>
      <w:b/>
      <w:bCs/>
    </w:rPr>
  </w:style>
  <w:style w:type="character" w:customStyle="1" w:styleId="CommentSubjectChar">
    <w:name w:val="Comment Subject Char"/>
    <w:basedOn w:val="CommentTextChar"/>
    <w:link w:val="CommentSubject"/>
    <w:uiPriority w:val="99"/>
    <w:semiHidden/>
    <w:rsid w:val="009710A7"/>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971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0A7"/>
    <w:rPr>
      <w:rFonts w:ascii="Segoe UI" w:hAnsi="Segoe UI" w:cs="Segoe UI"/>
      <w:color w:val="000000" w:themeColor="text1"/>
      <w:sz w:val="18"/>
      <w:szCs w:val="18"/>
    </w:rPr>
  </w:style>
  <w:style w:type="paragraph" w:styleId="ListParagraph">
    <w:name w:val="List Paragraph"/>
    <w:basedOn w:val="Normal"/>
    <w:uiPriority w:val="34"/>
    <w:qFormat/>
    <w:rsid w:val="00D80066"/>
    <w:pPr>
      <w:ind w:left="720"/>
      <w:contextualSpacing/>
      <w:jc w:val="left"/>
    </w:pPr>
    <w:rPr>
      <w:rFonts w:asciiTheme="minorHAnsi" w:hAnsiTheme="minorHAnsi"/>
      <w:color w:val="auto"/>
      <w:sz w:val="22"/>
      <w:lang w:val="en-GB"/>
    </w:rPr>
  </w:style>
  <w:style w:type="table" w:styleId="TableGrid">
    <w:name w:val="Table Grid"/>
    <w:basedOn w:val="TableNormal"/>
    <w:uiPriority w:val="59"/>
    <w:rsid w:val="00520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E2B5F"/>
    <w:rPr>
      <w:rFonts w:asciiTheme="majorHAnsi" w:eastAsiaTheme="majorEastAsia" w:hAnsiTheme="majorHAnsi" w:cstheme="majorBidi"/>
      <w:i/>
      <w:iCs/>
      <w:color w:val="365F91" w:themeColor="accent1" w:themeShade="BF"/>
      <w:sz w:val="24"/>
    </w:rPr>
  </w:style>
  <w:style w:type="character" w:customStyle="1" w:styleId="Heading3Char">
    <w:name w:val="Heading 3 Char"/>
    <w:basedOn w:val="DefaultParagraphFont"/>
    <w:link w:val="Heading3"/>
    <w:uiPriority w:val="9"/>
    <w:rsid w:val="00005406"/>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005406"/>
    <w:pPr>
      <w:spacing w:after="100"/>
    </w:pPr>
  </w:style>
  <w:style w:type="paragraph" w:styleId="TOC3">
    <w:name w:val="toc 3"/>
    <w:basedOn w:val="Normal"/>
    <w:next w:val="Normal"/>
    <w:autoRedefine/>
    <w:uiPriority w:val="39"/>
    <w:unhideWhenUsed/>
    <w:rsid w:val="000054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6DB4D3-FEEC-471A-8644-5CE485776195}"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F8A77CBF-65E9-43C3-9BC3-294DDC82D49A}">
      <dgm:prSet phldrT="[Text]"/>
      <dgm:spPr/>
      <dgm:t>
        <a:bodyPr/>
        <a:lstStyle/>
        <a:p>
          <a:r>
            <a:rPr lang="en-US"/>
            <a:t>Internal direction vs outer direction</a:t>
          </a:r>
        </a:p>
      </dgm:t>
    </dgm:pt>
    <dgm:pt modelId="{FD422807-3F5A-472A-AB4C-B182658E89C6}" type="parTrans" cxnId="{6A6583FF-60F4-4BC7-917C-6A7F350E249F}">
      <dgm:prSet/>
      <dgm:spPr/>
      <dgm:t>
        <a:bodyPr/>
        <a:lstStyle/>
        <a:p>
          <a:endParaRPr lang="en-US"/>
        </a:p>
      </dgm:t>
    </dgm:pt>
    <dgm:pt modelId="{EF1AAC62-9CEB-4C15-B328-5EFD8B6638D7}" type="sibTrans" cxnId="{6A6583FF-60F4-4BC7-917C-6A7F350E249F}">
      <dgm:prSet/>
      <dgm:spPr/>
      <dgm:t>
        <a:bodyPr/>
        <a:lstStyle/>
        <a:p>
          <a:endParaRPr lang="en-US"/>
        </a:p>
      </dgm:t>
    </dgm:pt>
    <dgm:pt modelId="{33D5EA26-9E7D-4D48-935F-15F39E8F14C2}">
      <dgm:prSet phldrT="[Text]"/>
      <dgm:spPr/>
      <dgm:t>
        <a:bodyPr/>
        <a:lstStyle/>
        <a:p>
          <a:r>
            <a:rPr lang="en-US">
              <a:latin typeface="Times New Roman" panose="02020603050405020304" pitchFamily="18" charset="0"/>
              <a:cs typeface="Times New Roman" panose="02020603050405020304" pitchFamily="18" charset="0"/>
            </a:rPr>
            <a:t>Universalism versus particularism</a:t>
          </a:r>
          <a:endParaRPr lang="en-US"/>
        </a:p>
      </dgm:t>
    </dgm:pt>
    <dgm:pt modelId="{45207629-16AB-4127-B5D8-EAB814A24F21}" type="parTrans" cxnId="{8BF35679-F027-45EC-A91C-97B673EBC401}">
      <dgm:prSet/>
      <dgm:spPr/>
      <dgm:t>
        <a:bodyPr/>
        <a:lstStyle/>
        <a:p>
          <a:endParaRPr lang="en-US"/>
        </a:p>
      </dgm:t>
    </dgm:pt>
    <dgm:pt modelId="{8167B221-D9A8-4FC2-960B-F58467A5F15A}" type="sibTrans" cxnId="{8BF35679-F027-45EC-A91C-97B673EBC401}">
      <dgm:prSet/>
      <dgm:spPr/>
      <dgm:t>
        <a:bodyPr/>
        <a:lstStyle/>
        <a:p>
          <a:endParaRPr lang="en-US"/>
        </a:p>
      </dgm:t>
    </dgm:pt>
    <dgm:pt modelId="{B00D5DC3-78D4-488D-A9F7-965DA93D9D57}">
      <dgm:prSet phldrT="[Text]"/>
      <dgm:spPr/>
      <dgm:t>
        <a:bodyPr/>
        <a:lstStyle/>
        <a:p>
          <a:r>
            <a:rPr lang="en-US">
              <a:latin typeface="Times New Roman" panose="02020603050405020304" pitchFamily="18" charset="0"/>
              <a:cs typeface="Times New Roman" panose="02020603050405020304" pitchFamily="18" charset="0"/>
            </a:rPr>
            <a:t>Individualism versus communitarianism</a:t>
          </a:r>
          <a:endParaRPr lang="en-US"/>
        </a:p>
      </dgm:t>
    </dgm:pt>
    <dgm:pt modelId="{294AD413-370D-4E2E-B295-1310878A608B}" type="parTrans" cxnId="{492EF1EC-D04F-4C8B-AD32-FFEC6D8F4796}">
      <dgm:prSet/>
      <dgm:spPr/>
      <dgm:t>
        <a:bodyPr/>
        <a:lstStyle/>
        <a:p>
          <a:endParaRPr lang="en-US"/>
        </a:p>
      </dgm:t>
    </dgm:pt>
    <dgm:pt modelId="{03539941-19D9-4B6D-8229-E96E0DB7CB82}" type="sibTrans" cxnId="{492EF1EC-D04F-4C8B-AD32-FFEC6D8F4796}">
      <dgm:prSet/>
      <dgm:spPr/>
      <dgm:t>
        <a:bodyPr/>
        <a:lstStyle/>
        <a:p>
          <a:endParaRPr lang="en-US"/>
        </a:p>
      </dgm:t>
    </dgm:pt>
    <dgm:pt modelId="{5F41DD35-58DE-4B1A-A4F0-4BCB60F4F7B4}">
      <dgm:prSet phldrT="[Text]"/>
      <dgm:spPr/>
      <dgm:t>
        <a:bodyPr/>
        <a:lstStyle/>
        <a:p>
          <a:r>
            <a:rPr lang="en-IN">
              <a:latin typeface="Times New Roman" panose="02020603050405020304" pitchFamily="18" charset="0"/>
              <a:cs typeface="Times New Roman" panose="02020603050405020304" pitchFamily="18" charset="0"/>
            </a:rPr>
            <a:t>Formal </a:t>
          </a:r>
          <a:r>
            <a:rPr lang="en-US">
              <a:latin typeface="Times New Roman" panose="02020603050405020304" pitchFamily="18" charset="0"/>
              <a:cs typeface="Times New Roman" panose="02020603050405020304" pitchFamily="18" charset="0"/>
            </a:rPr>
            <a:t>Specific versus diffuse</a:t>
          </a:r>
          <a:endParaRPr lang="en-US"/>
        </a:p>
      </dgm:t>
    </dgm:pt>
    <dgm:pt modelId="{44173BCF-C3F0-4B2E-8BC7-A4C92FA324D2}" type="parTrans" cxnId="{AE9AB220-F8BD-40A3-B6B3-CD5497946C13}">
      <dgm:prSet/>
      <dgm:spPr/>
      <dgm:t>
        <a:bodyPr/>
        <a:lstStyle/>
        <a:p>
          <a:endParaRPr lang="en-US"/>
        </a:p>
      </dgm:t>
    </dgm:pt>
    <dgm:pt modelId="{567EFEA5-8F08-408A-902B-7AA2411801E2}" type="sibTrans" cxnId="{AE9AB220-F8BD-40A3-B6B3-CD5497946C13}">
      <dgm:prSet/>
      <dgm:spPr/>
      <dgm:t>
        <a:bodyPr/>
        <a:lstStyle/>
        <a:p>
          <a:endParaRPr lang="en-US"/>
        </a:p>
      </dgm:t>
    </dgm:pt>
    <dgm:pt modelId="{CA2E67A2-499D-49BD-87C4-D3D5842619A1}">
      <dgm:prSet phldrT="[Text]"/>
      <dgm:spPr/>
      <dgm:t>
        <a:bodyPr/>
        <a:lstStyle/>
        <a:p>
          <a:r>
            <a:rPr lang="en-US">
              <a:latin typeface="Times New Roman" panose="02020603050405020304" pitchFamily="18" charset="0"/>
              <a:cs typeface="Times New Roman" panose="02020603050405020304" pitchFamily="18" charset="0"/>
            </a:rPr>
            <a:t>Neutral versus emotional</a:t>
          </a:r>
          <a:endParaRPr lang="en-US"/>
        </a:p>
      </dgm:t>
    </dgm:pt>
    <dgm:pt modelId="{3BB6E43E-F0D1-4135-A634-647D321750DF}" type="parTrans" cxnId="{60D7E990-114F-4AEA-8686-3E5BE37AD015}">
      <dgm:prSet/>
      <dgm:spPr/>
      <dgm:t>
        <a:bodyPr/>
        <a:lstStyle/>
        <a:p>
          <a:endParaRPr lang="en-US"/>
        </a:p>
      </dgm:t>
    </dgm:pt>
    <dgm:pt modelId="{0413710B-E4C4-46BD-B68F-B0CD1218D6EB}" type="sibTrans" cxnId="{60D7E990-114F-4AEA-8686-3E5BE37AD015}">
      <dgm:prSet/>
      <dgm:spPr/>
      <dgm:t>
        <a:bodyPr/>
        <a:lstStyle/>
        <a:p>
          <a:endParaRPr lang="en-US"/>
        </a:p>
      </dgm:t>
    </dgm:pt>
    <dgm:pt modelId="{663B3F0A-7102-4D52-9DB0-0C418820BF44}">
      <dgm:prSet phldrT="[Text]"/>
      <dgm:spPr/>
      <dgm:t>
        <a:bodyPr/>
        <a:lstStyle/>
        <a:p>
          <a:r>
            <a:rPr lang="en-US">
              <a:latin typeface="Times New Roman" panose="02020603050405020304" pitchFamily="18" charset="0"/>
              <a:cs typeface="Times New Roman" panose="02020603050405020304" pitchFamily="18" charset="0"/>
            </a:rPr>
            <a:t>Achievement versus ascription</a:t>
          </a:r>
          <a:endParaRPr lang="en-US"/>
        </a:p>
      </dgm:t>
    </dgm:pt>
    <dgm:pt modelId="{42398EA4-671D-43D9-9267-B711DA954081}" type="parTrans" cxnId="{5FF1005A-16E0-4E73-B3CE-8A9DDE27607D}">
      <dgm:prSet/>
      <dgm:spPr/>
      <dgm:t>
        <a:bodyPr/>
        <a:lstStyle/>
        <a:p>
          <a:endParaRPr lang="en-US"/>
        </a:p>
      </dgm:t>
    </dgm:pt>
    <dgm:pt modelId="{D0A8EF00-96E6-47EC-864A-FE2AAF060429}" type="sibTrans" cxnId="{5FF1005A-16E0-4E73-B3CE-8A9DDE27607D}">
      <dgm:prSet/>
      <dgm:spPr/>
      <dgm:t>
        <a:bodyPr/>
        <a:lstStyle/>
        <a:p>
          <a:endParaRPr lang="en-US"/>
        </a:p>
      </dgm:t>
    </dgm:pt>
    <dgm:pt modelId="{74EE2765-1DE8-4008-9323-57A843FD7C11}">
      <dgm:prSet phldrT="[Text]"/>
      <dgm:spPr/>
      <dgm:t>
        <a:bodyPr/>
        <a:lstStyle/>
        <a:p>
          <a:r>
            <a:rPr lang="en-US">
              <a:latin typeface="Times New Roman" panose="02020603050405020304" pitchFamily="18" charset="0"/>
              <a:cs typeface="Times New Roman" panose="02020603050405020304" pitchFamily="18" charset="0"/>
            </a:rPr>
            <a:t>Sequential time versus synchronous tim</a:t>
          </a:r>
          <a:endParaRPr lang="en-US"/>
        </a:p>
      </dgm:t>
    </dgm:pt>
    <dgm:pt modelId="{7F121FB2-8767-4554-A5D6-67DF19F192AE}" type="parTrans" cxnId="{B0D20F0D-7723-4E5C-8930-721812850C1D}">
      <dgm:prSet/>
      <dgm:spPr/>
      <dgm:t>
        <a:bodyPr/>
        <a:lstStyle/>
        <a:p>
          <a:endParaRPr lang="en-US"/>
        </a:p>
      </dgm:t>
    </dgm:pt>
    <dgm:pt modelId="{ADE8DF1E-EAAF-4E67-A8D7-9388877F8CFF}" type="sibTrans" cxnId="{B0D20F0D-7723-4E5C-8930-721812850C1D}">
      <dgm:prSet/>
      <dgm:spPr/>
      <dgm:t>
        <a:bodyPr/>
        <a:lstStyle/>
        <a:p>
          <a:endParaRPr lang="en-US"/>
        </a:p>
      </dgm:t>
    </dgm:pt>
    <dgm:pt modelId="{AE0767AD-ABB2-4656-9169-7E5D4CDB281E}" type="pres">
      <dgm:prSet presAssocID="{5F6DB4D3-FEEC-471A-8644-5CE485776195}" presName="Name0" presStyleCnt="0">
        <dgm:presLayoutVars>
          <dgm:chMax val="1"/>
          <dgm:chPref val="1"/>
          <dgm:dir/>
          <dgm:animOne val="branch"/>
          <dgm:animLvl val="lvl"/>
        </dgm:presLayoutVars>
      </dgm:prSet>
      <dgm:spPr/>
      <dgm:t>
        <a:bodyPr/>
        <a:lstStyle/>
        <a:p>
          <a:endParaRPr lang="en-US"/>
        </a:p>
      </dgm:t>
    </dgm:pt>
    <dgm:pt modelId="{0188B7EF-B383-450F-BFB0-C16F0DB6CCAD}" type="pres">
      <dgm:prSet presAssocID="{F8A77CBF-65E9-43C3-9BC3-294DDC82D49A}" presName="Parent" presStyleLbl="node0" presStyleIdx="0" presStyleCnt="1">
        <dgm:presLayoutVars>
          <dgm:chMax val="6"/>
          <dgm:chPref val="6"/>
        </dgm:presLayoutVars>
      </dgm:prSet>
      <dgm:spPr/>
      <dgm:t>
        <a:bodyPr/>
        <a:lstStyle/>
        <a:p>
          <a:endParaRPr lang="en-US"/>
        </a:p>
      </dgm:t>
    </dgm:pt>
    <dgm:pt modelId="{65EA98EF-1025-4216-8C24-3DDD571BF0FB}" type="pres">
      <dgm:prSet presAssocID="{33D5EA26-9E7D-4D48-935F-15F39E8F14C2}" presName="Accent1" presStyleCnt="0"/>
      <dgm:spPr/>
    </dgm:pt>
    <dgm:pt modelId="{D96B2A9F-8612-4F74-86B5-F648375C5BE5}" type="pres">
      <dgm:prSet presAssocID="{33D5EA26-9E7D-4D48-935F-15F39E8F14C2}" presName="Accent" presStyleLbl="bgShp" presStyleIdx="0" presStyleCnt="6"/>
      <dgm:spPr/>
    </dgm:pt>
    <dgm:pt modelId="{3FEBE223-1D3E-4A06-BA50-0BEC283D2032}" type="pres">
      <dgm:prSet presAssocID="{33D5EA26-9E7D-4D48-935F-15F39E8F14C2}" presName="Child1" presStyleLbl="node1" presStyleIdx="0" presStyleCnt="6">
        <dgm:presLayoutVars>
          <dgm:chMax val="0"/>
          <dgm:chPref val="0"/>
          <dgm:bulletEnabled val="1"/>
        </dgm:presLayoutVars>
      </dgm:prSet>
      <dgm:spPr/>
      <dgm:t>
        <a:bodyPr/>
        <a:lstStyle/>
        <a:p>
          <a:endParaRPr lang="en-US"/>
        </a:p>
      </dgm:t>
    </dgm:pt>
    <dgm:pt modelId="{14FB97EC-678B-4E9E-8AF3-8A621150F057}" type="pres">
      <dgm:prSet presAssocID="{B00D5DC3-78D4-488D-A9F7-965DA93D9D57}" presName="Accent2" presStyleCnt="0"/>
      <dgm:spPr/>
    </dgm:pt>
    <dgm:pt modelId="{A315A63E-6CE1-489D-B246-DD1E4E1B6CE4}" type="pres">
      <dgm:prSet presAssocID="{B00D5DC3-78D4-488D-A9F7-965DA93D9D57}" presName="Accent" presStyleLbl="bgShp" presStyleIdx="1" presStyleCnt="6"/>
      <dgm:spPr/>
    </dgm:pt>
    <dgm:pt modelId="{DC09D668-DB65-405C-93A6-B8589F0DFC32}" type="pres">
      <dgm:prSet presAssocID="{B00D5DC3-78D4-488D-A9F7-965DA93D9D57}" presName="Child2" presStyleLbl="node1" presStyleIdx="1" presStyleCnt="6">
        <dgm:presLayoutVars>
          <dgm:chMax val="0"/>
          <dgm:chPref val="0"/>
          <dgm:bulletEnabled val="1"/>
        </dgm:presLayoutVars>
      </dgm:prSet>
      <dgm:spPr/>
      <dgm:t>
        <a:bodyPr/>
        <a:lstStyle/>
        <a:p>
          <a:endParaRPr lang="en-US"/>
        </a:p>
      </dgm:t>
    </dgm:pt>
    <dgm:pt modelId="{E4C30C26-1B13-4352-9F3D-626E8524D64E}" type="pres">
      <dgm:prSet presAssocID="{5F41DD35-58DE-4B1A-A4F0-4BCB60F4F7B4}" presName="Accent3" presStyleCnt="0"/>
      <dgm:spPr/>
    </dgm:pt>
    <dgm:pt modelId="{2E6E5F02-8D48-4CAB-BE21-541FB817F8A9}" type="pres">
      <dgm:prSet presAssocID="{5F41DD35-58DE-4B1A-A4F0-4BCB60F4F7B4}" presName="Accent" presStyleLbl="bgShp" presStyleIdx="2" presStyleCnt="6"/>
      <dgm:spPr/>
    </dgm:pt>
    <dgm:pt modelId="{C34325F2-8D61-4CCB-B516-6C646FDB1A6B}" type="pres">
      <dgm:prSet presAssocID="{5F41DD35-58DE-4B1A-A4F0-4BCB60F4F7B4}" presName="Child3" presStyleLbl="node1" presStyleIdx="2" presStyleCnt="6">
        <dgm:presLayoutVars>
          <dgm:chMax val="0"/>
          <dgm:chPref val="0"/>
          <dgm:bulletEnabled val="1"/>
        </dgm:presLayoutVars>
      </dgm:prSet>
      <dgm:spPr/>
      <dgm:t>
        <a:bodyPr/>
        <a:lstStyle/>
        <a:p>
          <a:endParaRPr lang="en-US"/>
        </a:p>
      </dgm:t>
    </dgm:pt>
    <dgm:pt modelId="{F678F4D9-CC4B-4A03-8A31-E468D961990D}" type="pres">
      <dgm:prSet presAssocID="{CA2E67A2-499D-49BD-87C4-D3D5842619A1}" presName="Accent4" presStyleCnt="0"/>
      <dgm:spPr/>
    </dgm:pt>
    <dgm:pt modelId="{72E95E26-DBA3-4687-A278-C52FA73F19C8}" type="pres">
      <dgm:prSet presAssocID="{CA2E67A2-499D-49BD-87C4-D3D5842619A1}" presName="Accent" presStyleLbl="bgShp" presStyleIdx="3" presStyleCnt="6"/>
      <dgm:spPr/>
    </dgm:pt>
    <dgm:pt modelId="{499E3E42-5946-4DDE-AEB7-FAC38BA52A31}" type="pres">
      <dgm:prSet presAssocID="{CA2E67A2-499D-49BD-87C4-D3D5842619A1}" presName="Child4" presStyleLbl="node1" presStyleIdx="3" presStyleCnt="6">
        <dgm:presLayoutVars>
          <dgm:chMax val="0"/>
          <dgm:chPref val="0"/>
          <dgm:bulletEnabled val="1"/>
        </dgm:presLayoutVars>
      </dgm:prSet>
      <dgm:spPr/>
      <dgm:t>
        <a:bodyPr/>
        <a:lstStyle/>
        <a:p>
          <a:endParaRPr lang="en-US"/>
        </a:p>
      </dgm:t>
    </dgm:pt>
    <dgm:pt modelId="{90AB86A9-64F8-4C92-BCDC-E28267DC5ADE}" type="pres">
      <dgm:prSet presAssocID="{663B3F0A-7102-4D52-9DB0-0C418820BF44}" presName="Accent5" presStyleCnt="0"/>
      <dgm:spPr/>
    </dgm:pt>
    <dgm:pt modelId="{365C4417-FE8F-4843-92E8-832529F9D6DE}" type="pres">
      <dgm:prSet presAssocID="{663B3F0A-7102-4D52-9DB0-0C418820BF44}" presName="Accent" presStyleLbl="bgShp" presStyleIdx="4" presStyleCnt="6"/>
      <dgm:spPr/>
    </dgm:pt>
    <dgm:pt modelId="{E70DC40F-B3FB-4E6D-9187-57256B9FBA47}" type="pres">
      <dgm:prSet presAssocID="{663B3F0A-7102-4D52-9DB0-0C418820BF44}" presName="Child5" presStyleLbl="node1" presStyleIdx="4" presStyleCnt="6">
        <dgm:presLayoutVars>
          <dgm:chMax val="0"/>
          <dgm:chPref val="0"/>
          <dgm:bulletEnabled val="1"/>
        </dgm:presLayoutVars>
      </dgm:prSet>
      <dgm:spPr/>
      <dgm:t>
        <a:bodyPr/>
        <a:lstStyle/>
        <a:p>
          <a:endParaRPr lang="en-US"/>
        </a:p>
      </dgm:t>
    </dgm:pt>
    <dgm:pt modelId="{9FDB7FBA-2C24-41D7-AAF0-D4C4C9BA9061}" type="pres">
      <dgm:prSet presAssocID="{74EE2765-1DE8-4008-9323-57A843FD7C11}" presName="Accent6" presStyleCnt="0"/>
      <dgm:spPr/>
    </dgm:pt>
    <dgm:pt modelId="{EC12E191-68BA-4FDA-9BE0-1116E82B630B}" type="pres">
      <dgm:prSet presAssocID="{74EE2765-1DE8-4008-9323-57A843FD7C11}" presName="Accent" presStyleLbl="bgShp" presStyleIdx="5" presStyleCnt="6"/>
      <dgm:spPr/>
    </dgm:pt>
    <dgm:pt modelId="{0947D598-8CB1-4DCB-B600-6D5CFC9EE339}" type="pres">
      <dgm:prSet presAssocID="{74EE2765-1DE8-4008-9323-57A843FD7C11}" presName="Child6" presStyleLbl="node1" presStyleIdx="5" presStyleCnt="6">
        <dgm:presLayoutVars>
          <dgm:chMax val="0"/>
          <dgm:chPref val="0"/>
          <dgm:bulletEnabled val="1"/>
        </dgm:presLayoutVars>
      </dgm:prSet>
      <dgm:spPr/>
      <dgm:t>
        <a:bodyPr/>
        <a:lstStyle/>
        <a:p>
          <a:endParaRPr lang="en-US"/>
        </a:p>
      </dgm:t>
    </dgm:pt>
  </dgm:ptLst>
  <dgm:cxnLst>
    <dgm:cxn modelId="{7F6F36EC-6EEF-456E-B2B5-70F2FBDDF61D}" type="presOf" srcId="{33D5EA26-9E7D-4D48-935F-15F39E8F14C2}" destId="{3FEBE223-1D3E-4A06-BA50-0BEC283D2032}" srcOrd="0" destOrd="0" presId="urn:microsoft.com/office/officeart/2011/layout/HexagonRadial"/>
    <dgm:cxn modelId="{44744B9A-9EBD-418A-8A3C-A3B7FC3759CF}" type="presOf" srcId="{CA2E67A2-499D-49BD-87C4-D3D5842619A1}" destId="{499E3E42-5946-4DDE-AEB7-FAC38BA52A31}" srcOrd="0" destOrd="0" presId="urn:microsoft.com/office/officeart/2011/layout/HexagonRadial"/>
    <dgm:cxn modelId="{D8FCF44D-DEC4-4FE7-B8EA-923FC2F5FE78}" type="presOf" srcId="{74EE2765-1DE8-4008-9323-57A843FD7C11}" destId="{0947D598-8CB1-4DCB-B600-6D5CFC9EE339}" srcOrd="0" destOrd="0" presId="urn:microsoft.com/office/officeart/2011/layout/HexagonRadial"/>
    <dgm:cxn modelId="{8BF35679-F027-45EC-A91C-97B673EBC401}" srcId="{F8A77CBF-65E9-43C3-9BC3-294DDC82D49A}" destId="{33D5EA26-9E7D-4D48-935F-15F39E8F14C2}" srcOrd="0" destOrd="0" parTransId="{45207629-16AB-4127-B5D8-EAB814A24F21}" sibTransId="{8167B221-D9A8-4FC2-960B-F58467A5F15A}"/>
    <dgm:cxn modelId="{60D7E990-114F-4AEA-8686-3E5BE37AD015}" srcId="{F8A77CBF-65E9-43C3-9BC3-294DDC82D49A}" destId="{CA2E67A2-499D-49BD-87C4-D3D5842619A1}" srcOrd="3" destOrd="0" parTransId="{3BB6E43E-F0D1-4135-A634-647D321750DF}" sibTransId="{0413710B-E4C4-46BD-B68F-B0CD1218D6EB}"/>
    <dgm:cxn modelId="{5FF1005A-16E0-4E73-B3CE-8A9DDE27607D}" srcId="{F8A77CBF-65E9-43C3-9BC3-294DDC82D49A}" destId="{663B3F0A-7102-4D52-9DB0-0C418820BF44}" srcOrd="4" destOrd="0" parTransId="{42398EA4-671D-43D9-9267-B711DA954081}" sibTransId="{D0A8EF00-96E6-47EC-864A-FE2AAF060429}"/>
    <dgm:cxn modelId="{AE9AB220-F8BD-40A3-B6B3-CD5497946C13}" srcId="{F8A77CBF-65E9-43C3-9BC3-294DDC82D49A}" destId="{5F41DD35-58DE-4B1A-A4F0-4BCB60F4F7B4}" srcOrd="2" destOrd="0" parTransId="{44173BCF-C3F0-4B2E-8BC7-A4C92FA324D2}" sibTransId="{567EFEA5-8F08-408A-902B-7AA2411801E2}"/>
    <dgm:cxn modelId="{29A77D50-28EB-4D4D-8904-AF6E9345AC90}" type="presOf" srcId="{5F41DD35-58DE-4B1A-A4F0-4BCB60F4F7B4}" destId="{C34325F2-8D61-4CCB-B516-6C646FDB1A6B}" srcOrd="0" destOrd="0" presId="urn:microsoft.com/office/officeart/2011/layout/HexagonRadial"/>
    <dgm:cxn modelId="{DF912E09-3FF5-4FE1-AEEB-E09218ED7A92}" type="presOf" srcId="{663B3F0A-7102-4D52-9DB0-0C418820BF44}" destId="{E70DC40F-B3FB-4E6D-9187-57256B9FBA47}" srcOrd="0" destOrd="0" presId="urn:microsoft.com/office/officeart/2011/layout/HexagonRadial"/>
    <dgm:cxn modelId="{492EF1EC-D04F-4C8B-AD32-FFEC6D8F4796}" srcId="{F8A77CBF-65E9-43C3-9BC3-294DDC82D49A}" destId="{B00D5DC3-78D4-488D-A9F7-965DA93D9D57}" srcOrd="1" destOrd="0" parTransId="{294AD413-370D-4E2E-B295-1310878A608B}" sibTransId="{03539941-19D9-4B6D-8229-E96E0DB7CB82}"/>
    <dgm:cxn modelId="{CE67249C-E405-46D1-A893-450CCB014A9A}" type="presOf" srcId="{F8A77CBF-65E9-43C3-9BC3-294DDC82D49A}" destId="{0188B7EF-B383-450F-BFB0-C16F0DB6CCAD}" srcOrd="0" destOrd="0" presId="urn:microsoft.com/office/officeart/2011/layout/HexagonRadial"/>
    <dgm:cxn modelId="{B0D20F0D-7723-4E5C-8930-721812850C1D}" srcId="{F8A77CBF-65E9-43C3-9BC3-294DDC82D49A}" destId="{74EE2765-1DE8-4008-9323-57A843FD7C11}" srcOrd="5" destOrd="0" parTransId="{7F121FB2-8767-4554-A5D6-67DF19F192AE}" sibTransId="{ADE8DF1E-EAAF-4E67-A8D7-9388877F8CFF}"/>
    <dgm:cxn modelId="{C7D093D8-ED8D-487C-8228-34731489E0BC}" type="presOf" srcId="{5F6DB4D3-FEEC-471A-8644-5CE485776195}" destId="{AE0767AD-ABB2-4656-9169-7E5D4CDB281E}" srcOrd="0" destOrd="0" presId="urn:microsoft.com/office/officeart/2011/layout/HexagonRadial"/>
    <dgm:cxn modelId="{B3B1CC6F-F0A3-451B-9FC5-7B88AF6AF617}" type="presOf" srcId="{B00D5DC3-78D4-488D-A9F7-965DA93D9D57}" destId="{DC09D668-DB65-405C-93A6-B8589F0DFC32}" srcOrd="0" destOrd="0" presId="urn:microsoft.com/office/officeart/2011/layout/HexagonRadial"/>
    <dgm:cxn modelId="{6A6583FF-60F4-4BC7-917C-6A7F350E249F}" srcId="{5F6DB4D3-FEEC-471A-8644-5CE485776195}" destId="{F8A77CBF-65E9-43C3-9BC3-294DDC82D49A}" srcOrd="0" destOrd="0" parTransId="{FD422807-3F5A-472A-AB4C-B182658E89C6}" sibTransId="{EF1AAC62-9CEB-4C15-B328-5EFD8B6638D7}"/>
    <dgm:cxn modelId="{06B01566-AB80-49BA-9239-290E189C4EA1}" type="presParOf" srcId="{AE0767AD-ABB2-4656-9169-7E5D4CDB281E}" destId="{0188B7EF-B383-450F-BFB0-C16F0DB6CCAD}" srcOrd="0" destOrd="0" presId="urn:microsoft.com/office/officeart/2011/layout/HexagonRadial"/>
    <dgm:cxn modelId="{B21AEE49-C575-465B-A0C4-C9673E90D2F6}" type="presParOf" srcId="{AE0767AD-ABB2-4656-9169-7E5D4CDB281E}" destId="{65EA98EF-1025-4216-8C24-3DDD571BF0FB}" srcOrd="1" destOrd="0" presId="urn:microsoft.com/office/officeart/2011/layout/HexagonRadial"/>
    <dgm:cxn modelId="{F2C314EA-27A0-4389-BEF7-FD355DDD83EF}" type="presParOf" srcId="{65EA98EF-1025-4216-8C24-3DDD571BF0FB}" destId="{D96B2A9F-8612-4F74-86B5-F648375C5BE5}" srcOrd="0" destOrd="0" presId="urn:microsoft.com/office/officeart/2011/layout/HexagonRadial"/>
    <dgm:cxn modelId="{6AD8ECEC-1D63-459F-9D01-B0570B80D770}" type="presParOf" srcId="{AE0767AD-ABB2-4656-9169-7E5D4CDB281E}" destId="{3FEBE223-1D3E-4A06-BA50-0BEC283D2032}" srcOrd="2" destOrd="0" presId="urn:microsoft.com/office/officeart/2011/layout/HexagonRadial"/>
    <dgm:cxn modelId="{81989E23-C6CA-4C49-B499-459B59427314}" type="presParOf" srcId="{AE0767AD-ABB2-4656-9169-7E5D4CDB281E}" destId="{14FB97EC-678B-4E9E-8AF3-8A621150F057}" srcOrd="3" destOrd="0" presId="urn:microsoft.com/office/officeart/2011/layout/HexagonRadial"/>
    <dgm:cxn modelId="{1CBC3181-8565-44BC-B6CB-356C51D230EF}" type="presParOf" srcId="{14FB97EC-678B-4E9E-8AF3-8A621150F057}" destId="{A315A63E-6CE1-489D-B246-DD1E4E1B6CE4}" srcOrd="0" destOrd="0" presId="urn:microsoft.com/office/officeart/2011/layout/HexagonRadial"/>
    <dgm:cxn modelId="{437885F1-E14B-4F1A-B0D0-3C34C88E8EBB}" type="presParOf" srcId="{AE0767AD-ABB2-4656-9169-7E5D4CDB281E}" destId="{DC09D668-DB65-405C-93A6-B8589F0DFC32}" srcOrd="4" destOrd="0" presId="urn:microsoft.com/office/officeart/2011/layout/HexagonRadial"/>
    <dgm:cxn modelId="{480B74A6-295F-4011-B7DC-B0A69B60C3A3}" type="presParOf" srcId="{AE0767AD-ABB2-4656-9169-7E5D4CDB281E}" destId="{E4C30C26-1B13-4352-9F3D-626E8524D64E}" srcOrd="5" destOrd="0" presId="urn:microsoft.com/office/officeart/2011/layout/HexagonRadial"/>
    <dgm:cxn modelId="{C1460F6B-93AD-43FF-BBC2-69BC9158DC5C}" type="presParOf" srcId="{E4C30C26-1B13-4352-9F3D-626E8524D64E}" destId="{2E6E5F02-8D48-4CAB-BE21-541FB817F8A9}" srcOrd="0" destOrd="0" presId="urn:microsoft.com/office/officeart/2011/layout/HexagonRadial"/>
    <dgm:cxn modelId="{C15B38A1-4A18-458F-A33A-5374F635C785}" type="presParOf" srcId="{AE0767AD-ABB2-4656-9169-7E5D4CDB281E}" destId="{C34325F2-8D61-4CCB-B516-6C646FDB1A6B}" srcOrd="6" destOrd="0" presId="urn:microsoft.com/office/officeart/2011/layout/HexagonRadial"/>
    <dgm:cxn modelId="{012483EE-9997-40DB-AA50-ED919D04C7DF}" type="presParOf" srcId="{AE0767AD-ABB2-4656-9169-7E5D4CDB281E}" destId="{F678F4D9-CC4B-4A03-8A31-E468D961990D}" srcOrd="7" destOrd="0" presId="urn:microsoft.com/office/officeart/2011/layout/HexagonRadial"/>
    <dgm:cxn modelId="{417C04D7-DD72-4440-8EB0-D05ED94E7AD8}" type="presParOf" srcId="{F678F4D9-CC4B-4A03-8A31-E468D961990D}" destId="{72E95E26-DBA3-4687-A278-C52FA73F19C8}" srcOrd="0" destOrd="0" presId="urn:microsoft.com/office/officeart/2011/layout/HexagonRadial"/>
    <dgm:cxn modelId="{92A3C39C-8817-431F-A12B-B28A9C4536B2}" type="presParOf" srcId="{AE0767AD-ABB2-4656-9169-7E5D4CDB281E}" destId="{499E3E42-5946-4DDE-AEB7-FAC38BA52A31}" srcOrd="8" destOrd="0" presId="urn:microsoft.com/office/officeart/2011/layout/HexagonRadial"/>
    <dgm:cxn modelId="{05F3A93B-A08C-413A-925E-B4DCE2B37931}" type="presParOf" srcId="{AE0767AD-ABB2-4656-9169-7E5D4CDB281E}" destId="{90AB86A9-64F8-4C92-BCDC-E28267DC5ADE}" srcOrd="9" destOrd="0" presId="urn:microsoft.com/office/officeart/2011/layout/HexagonRadial"/>
    <dgm:cxn modelId="{43E2B650-5AF6-4311-913D-76F6A5B6C510}" type="presParOf" srcId="{90AB86A9-64F8-4C92-BCDC-E28267DC5ADE}" destId="{365C4417-FE8F-4843-92E8-832529F9D6DE}" srcOrd="0" destOrd="0" presId="urn:microsoft.com/office/officeart/2011/layout/HexagonRadial"/>
    <dgm:cxn modelId="{833A7AEC-5A42-41F9-B2A6-573610BDDC03}" type="presParOf" srcId="{AE0767AD-ABB2-4656-9169-7E5D4CDB281E}" destId="{E70DC40F-B3FB-4E6D-9187-57256B9FBA47}" srcOrd="10" destOrd="0" presId="urn:microsoft.com/office/officeart/2011/layout/HexagonRadial"/>
    <dgm:cxn modelId="{C5CA362C-E5CE-4CD6-9A7D-1211865F850E}" type="presParOf" srcId="{AE0767AD-ABB2-4656-9169-7E5D4CDB281E}" destId="{9FDB7FBA-2C24-41D7-AAF0-D4C4C9BA9061}" srcOrd="11" destOrd="0" presId="urn:microsoft.com/office/officeart/2011/layout/HexagonRadial"/>
    <dgm:cxn modelId="{81852803-B7E1-4B58-B513-D9A2BBAD7AB9}" type="presParOf" srcId="{9FDB7FBA-2C24-41D7-AAF0-D4C4C9BA9061}" destId="{EC12E191-68BA-4FDA-9BE0-1116E82B630B}" srcOrd="0" destOrd="0" presId="urn:microsoft.com/office/officeart/2011/layout/HexagonRadial"/>
    <dgm:cxn modelId="{691B87BB-399F-41A8-9BF3-79B7463F5DFF}" type="presParOf" srcId="{AE0767AD-ABB2-4656-9169-7E5D4CDB281E}" destId="{0947D598-8CB1-4DCB-B600-6D5CFC9EE339}" srcOrd="12" destOrd="0" presId="urn:microsoft.com/office/officeart/2011/layout/HexagonRadial"/>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649DC2-3899-4E63-B4DF-7128B4C09E0E}"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02C52A68-0401-4F12-ADFC-85EABD6E2588}">
      <dgm:prSet phldrT="[Text]" custT="1"/>
      <dgm:spPr/>
      <dgm:t>
        <a:bodyPr/>
        <a:lstStyle/>
        <a:p>
          <a:r>
            <a:rPr lang="en-US" sz="1000">
              <a:latin typeface="Times New Roman" panose="02020603050405020304" pitchFamily="18" charset="0"/>
              <a:cs typeface="Times New Roman" panose="02020603050405020304" pitchFamily="18" charset="0"/>
            </a:rPr>
            <a:t>Power distance</a:t>
          </a:r>
        </a:p>
      </dgm:t>
    </dgm:pt>
    <dgm:pt modelId="{325906BE-39B7-426A-9D35-1F560019B76E}" type="parTrans" cxnId="{2717D939-62B1-4D7E-A0EC-4C435D1D638C}">
      <dgm:prSet/>
      <dgm:spPr/>
      <dgm:t>
        <a:bodyPr/>
        <a:lstStyle/>
        <a:p>
          <a:endParaRPr lang="en-US"/>
        </a:p>
      </dgm:t>
    </dgm:pt>
    <dgm:pt modelId="{AC63C2AD-F7D7-4246-B3BF-84EA3DA50D02}" type="sibTrans" cxnId="{2717D939-62B1-4D7E-A0EC-4C435D1D638C}">
      <dgm:prSet/>
      <dgm:spPr/>
      <dgm:t>
        <a:bodyPr/>
        <a:lstStyle/>
        <a:p>
          <a:endParaRPr lang="en-US"/>
        </a:p>
      </dgm:t>
    </dgm:pt>
    <dgm:pt modelId="{0BCD993A-CD69-4149-A2A1-B252D23ACB6A}">
      <dgm:prSet phldrT="[Text]" custT="1"/>
      <dgm:spPr/>
      <dgm:t>
        <a:bodyPr/>
        <a:lstStyle/>
        <a:p>
          <a:r>
            <a:rPr lang="en-US" sz="1000">
              <a:latin typeface="Times New Roman" panose="02020603050405020304" pitchFamily="18" charset="0"/>
              <a:cs typeface="Times New Roman" panose="02020603050405020304" pitchFamily="18" charset="0"/>
            </a:rPr>
            <a:t>Uncertainity avaoidance</a:t>
          </a:r>
        </a:p>
      </dgm:t>
    </dgm:pt>
    <dgm:pt modelId="{9EEA4DC7-5C02-4538-AFD9-37210AC54C90}" type="parTrans" cxnId="{28A9F059-9B1A-4C7A-9B09-56D01D019150}">
      <dgm:prSet/>
      <dgm:spPr/>
      <dgm:t>
        <a:bodyPr/>
        <a:lstStyle/>
        <a:p>
          <a:endParaRPr lang="en-US"/>
        </a:p>
      </dgm:t>
    </dgm:pt>
    <dgm:pt modelId="{2644EDDA-5922-4711-96C2-0823F6E99682}" type="sibTrans" cxnId="{28A9F059-9B1A-4C7A-9B09-56D01D019150}">
      <dgm:prSet/>
      <dgm:spPr/>
      <dgm:t>
        <a:bodyPr/>
        <a:lstStyle/>
        <a:p>
          <a:endParaRPr lang="en-US"/>
        </a:p>
      </dgm:t>
    </dgm:pt>
    <dgm:pt modelId="{1A8F7AFB-53B3-46A1-B384-9E2205B399BB}">
      <dgm:prSet phldrT="[Text]" custT="1"/>
      <dgm:spPr/>
      <dgm:t>
        <a:bodyPr/>
        <a:lstStyle/>
        <a:p>
          <a:r>
            <a:rPr lang="en-US" sz="1000">
              <a:latin typeface="Times New Roman" panose="02020603050405020304" pitchFamily="18" charset="0"/>
              <a:cs typeface="Times New Roman" panose="02020603050405020304" pitchFamily="18" charset="0"/>
            </a:rPr>
            <a:t>Individualism and collectivism</a:t>
          </a:r>
        </a:p>
      </dgm:t>
    </dgm:pt>
    <dgm:pt modelId="{184550F9-A0EB-46F8-88F9-6528F0A2CBBA}" type="parTrans" cxnId="{C0A013A9-B366-4EDF-9D2A-BDBAC5E8E4B2}">
      <dgm:prSet/>
      <dgm:spPr/>
      <dgm:t>
        <a:bodyPr/>
        <a:lstStyle/>
        <a:p>
          <a:endParaRPr lang="en-US"/>
        </a:p>
      </dgm:t>
    </dgm:pt>
    <dgm:pt modelId="{D8CC2419-C7BE-4631-9995-CE944C2EEB30}" type="sibTrans" cxnId="{C0A013A9-B366-4EDF-9D2A-BDBAC5E8E4B2}">
      <dgm:prSet/>
      <dgm:spPr/>
      <dgm:t>
        <a:bodyPr/>
        <a:lstStyle/>
        <a:p>
          <a:endParaRPr lang="en-US"/>
        </a:p>
      </dgm:t>
    </dgm:pt>
    <dgm:pt modelId="{6C1C0BD8-DB21-43FA-9A55-3C1FFF037951}">
      <dgm:prSet phldrT="[Text]" custT="1"/>
      <dgm:spPr/>
      <dgm:t>
        <a:bodyPr/>
        <a:lstStyle/>
        <a:p>
          <a:r>
            <a:rPr lang="en-US" sz="1000">
              <a:latin typeface="Times New Roman" panose="02020603050405020304" pitchFamily="18" charset="0"/>
              <a:cs typeface="Times New Roman" panose="02020603050405020304" pitchFamily="18" charset="0"/>
            </a:rPr>
            <a:t>Masculinity/feminity</a:t>
          </a:r>
        </a:p>
      </dgm:t>
    </dgm:pt>
    <dgm:pt modelId="{FF11DDCD-CF5A-457F-BFC5-B42FAB8EA6D9}" type="parTrans" cxnId="{176FCA16-A624-4C87-A679-9CC2C4E669BC}">
      <dgm:prSet/>
      <dgm:spPr/>
      <dgm:t>
        <a:bodyPr/>
        <a:lstStyle/>
        <a:p>
          <a:endParaRPr lang="en-US"/>
        </a:p>
      </dgm:t>
    </dgm:pt>
    <dgm:pt modelId="{40052E91-5C55-461B-8BBD-C521CC11F629}" type="sibTrans" cxnId="{176FCA16-A624-4C87-A679-9CC2C4E669BC}">
      <dgm:prSet/>
      <dgm:spPr/>
      <dgm:t>
        <a:bodyPr/>
        <a:lstStyle/>
        <a:p>
          <a:endParaRPr lang="en-US"/>
        </a:p>
      </dgm:t>
    </dgm:pt>
    <dgm:pt modelId="{258BB850-E2EB-4924-9D6D-E90FA4EB04BF}">
      <dgm:prSet phldrT="[Text]" custT="1"/>
      <dgm:spPr/>
      <dgm:t>
        <a:bodyPr/>
        <a:lstStyle/>
        <a:p>
          <a:r>
            <a:rPr lang="en-US" sz="1000">
              <a:latin typeface="Times New Roman" panose="02020603050405020304" pitchFamily="18" charset="0"/>
              <a:cs typeface="Times New Roman" panose="02020603050405020304" pitchFamily="18" charset="0"/>
            </a:rPr>
            <a:t>Long term orintation</a:t>
          </a:r>
        </a:p>
      </dgm:t>
    </dgm:pt>
    <dgm:pt modelId="{CA58EAA4-2694-4812-AFB4-D9AD2C07B8D5}" type="parTrans" cxnId="{117BDAA0-9E86-40DE-B60E-FDC067E54A3C}">
      <dgm:prSet/>
      <dgm:spPr/>
      <dgm:t>
        <a:bodyPr/>
        <a:lstStyle/>
        <a:p>
          <a:endParaRPr lang="en-US"/>
        </a:p>
      </dgm:t>
    </dgm:pt>
    <dgm:pt modelId="{CF8823F9-2395-43E8-A23E-8E9B245E2644}" type="sibTrans" cxnId="{117BDAA0-9E86-40DE-B60E-FDC067E54A3C}">
      <dgm:prSet/>
      <dgm:spPr/>
      <dgm:t>
        <a:bodyPr/>
        <a:lstStyle/>
        <a:p>
          <a:endParaRPr lang="en-US"/>
        </a:p>
      </dgm:t>
    </dgm:pt>
    <dgm:pt modelId="{58C85853-F5C2-41D3-90E0-68482134D003}" type="pres">
      <dgm:prSet presAssocID="{85649DC2-3899-4E63-B4DF-7128B4C09E0E}" presName="cycle" presStyleCnt="0">
        <dgm:presLayoutVars>
          <dgm:dir/>
          <dgm:resizeHandles val="exact"/>
        </dgm:presLayoutVars>
      </dgm:prSet>
      <dgm:spPr/>
      <dgm:t>
        <a:bodyPr/>
        <a:lstStyle/>
        <a:p>
          <a:endParaRPr lang="en-US"/>
        </a:p>
      </dgm:t>
    </dgm:pt>
    <dgm:pt modelId="{937941A6-3885-40A5-8852-D07B9AA250C7}" type="pres">
      <dgm:prSet presAssocID="{02C52A68-0401-4F12-ADFC-85EABD6E2588}" presName="node" presStyleLbl="node1" presStyleIdx="0" presStyleCnt="5" custScaleX="158712">
        <dgm:presLayoutVars>
          <dgm:bulletEnabled val="1"/>
        </dgm:presLayoutVars>
      </dgm:prSet>
      <dgm:spPr/>
      <dgm:t>
        <a:bodyPr/>
        <a:lstStyle/>
        <a:p>
          <a:endParaRPr lang="en-US"/>
        </a:p>
      </dgm:t>
    </dgm:pt>
    <dgm:pt modelId="{2F35509A-67A9-470C-B38B-69317DA28EDE}" type="pres">
      <dgm:prSet presAssocID="{02C52A68-0401-4F12-ADFC-85EABD6E2588}" presName="spNode" presStyleCnt="0"/>
      <dgm:spPr/>
    </dgm:pt>
    <dgm:pt modelId="{5E53025A-6F44-4E4D-8306-1D6E3634A5FE}" type="pres">
      <dgm:prSet presAssocID="{AC63C2AD-F7D7-4246-B3BF-84EA3DA50D02}" presName="sibTrans" presStyleLbl="sibTrans1D1" presStyleIdx="0" presStyleCnt="5"/>
      <dgm:spPr/>
      <dgm:t>
        <a:bodyPr/>
        <a:lstStyle/>
        <a:p>
          <a:endParaRPr lang="en-US"/>
        </a:p>
      </dgm:t>
    </dgm:pt>
    <dgm:pt modelId="{D64855B2-95BF-4B68-9F95-A7915BA83325}" type="pres">
      <dgm:prSet presAssocID="{0BCD993A-CD69-4149-A2A1-B252D23ACB6A}" presName="node" presStyleLbl="node1" presStyleIdx="1" presStyleCnt="5" custScaleX="146541" custRadScaleRad="108153" custRadScaleInc="8986">
        <dgm:presLayoutVars>
          <dgm:bulletEnabled val="1"/>
        </dgm:presLayoutVars>
      </dgm:prSet>
      <dgm:spPr/>
      <dgm:t>
        <a:bodyPr/>
        <a:lstStyle/>
        <a:p>
          <a:endParaRPr lang="en-US"/>
        </a:p>
      </dgm:t>
    </dgm:pt>
    <dgm:pt modelId="{9ECF6E54-E529-496C-98F5-57F67897800D}" type="pres">
      <dgm:prSet presAssocID="{0BCD993A-CD69-4149-A2A1-B252D23ACB6A}" presName="spNode" presStyleCnt="0"/>
      <dgm:spPr/>
    </dgm:pt>
    <dgm:pt modelId="{1710577A-C85E-493D-8DD3-0A56BBADFF8B}" type="pres">
      <dgm:prSet presAssocID="{2644EDDA-5922-4711-96C2-0823F6E99682}" presName="sibTrans" presStyleLbl="sibTrans1D1" presStyleIdx="1" presStyleCnt="5"/>
      <dgm:spPr/>
      <dgm:t>
        <a:bodyPr/>
        <a:lstStyle/>
        <a:p>
          <a:endParaRPr lang="en-US"/>
        </a:p>
      </dgm:t>
    </dgm:pt>
    <dgm:pt modelId="{F5AA90A1-B244-40D5-B021-A5BAAB278AEE}" type="pres">
      <dgm:prSet presAssocID="{1A8F7AFB-53B3-46A1-B384-9E2205B399BB}" presName="node" presStyleLbl="node1" presStyleIdx="2" presStyleCnt="5" custScaleX="139137" custScaleY="89310" custRadScaleRad="105790" custRadScaleInc="-52681">
        <dgm:presLayoutVars>
          <dgm:bulletEnabled val="1"/>
        </dgm:presLayoutVars>
      </dgm:prSet>
      <dgm:spPr/>
      <dgm:t>
        <a:bodyPr/>
        <a:lstStyle/>
        <a:p>
          <a:endParaRPr lang="en-US"/>
        </a:p>
      </dgm:t>
    </dgm:pt>
    <dgm:pt modelId="{71362543-F186-4310-8B4B-9F3B41422009}" type="pres">
      <dgm:prSet presAssocID="{1A8F7AFB-53B3-46A1-B384-9E2205B399BB}" presName="spNode" presStyleCnt="0"/>
      <dgm:spPr/>
    </dgm:pt>
    <dgm:pt modelId="{21BDEE72-F9A7-4BCA-928D-B811E35C6CD7}" type="pres">
      <dgm:prSet presAssocID="{D8CC2419-C7BE-4631-9995-CE944C2EEB30}" presName="sibTrans" presStyleLbl="sibTrans1D1" presStyleIdx="2" presStyleCnt="5"/>
      <dgm:spPr/>
      <dgm:t>
        <a:bodyPr/>
        <a:lstStyle/>
        <a:p>
          <a:endParaRPr lang="en-US"/>
        </a:p>
      </dgm:t>
    </dgm:pt>
    <dgm:pt modelId="{3119F97B-A4B0-4FE4-B029-AB4116BA9A37}" type="pres">
      <dgm:prSet presAssocID="{6C1C0BD8-DB21-43FA-9A55-3C1FFF037951}" presName="node" presStyleLbl="node1" presStyleIdx="3" presStyleCnt="5" custScaleX="111057" custRadScaleRad="98295" custRadScaleInc="33752">
        <dgm:presLayoutVars>
          <dgm:bulletEnabled val="1"/>
        </dgm:presLayoutVars>
      </dgm:prSet>
      <dgm:spPr/>
      <dgm:t>
        <a:bodyPr/>
        <a:lstStyle/>
        <a:p>
          <a:endParaRPr lang="en-US"/>
        </a:p>
      </dgm:t>
    </dgm:pt>
    <dgm:pt modelId="{F5C9531F-AE2E-46D6-8C4A-B36B6114F417}" type="pres">
      <dgm:prSet presAssocID="{6C1C0BD8-DB21-43FA-9A55-3C1FFF037951}" presName="spNode" presStyleCnt="0"/>
      <dgm:spPr/>
    </dgm:pt>
    <dgm:pt modelId="{18F2B07A-EC6B-4EAD-AE0C-6250B16073F6}" type="pres">
      <dgm:prSet presAssocID="{40052E91-5C55-461B-8BBD-C521CC11F629}" presName="sibTrans" presStyleLbl="sibTrans1D1" presStyleIdx="3" presStyleCnt="5"/>
      <dgm:spPr/>
      <dgm:t>
        <a:bodyPr/>
        <a:lstStyle/>
        <a:p>
          <a:endParaRPr lang="en-US"/>
        </a:p>
      </dgm:t>
    </dgm:pt>
    <dgm:pt modelId="{9E01F941-6BDB-4B6E-8517-2D85F5CF5E45}" type="pres">
      <dgm:prSet presAssocID="{258BB850-E2EB-4924-9D6D-E90FA4EB04BF}" presName="node" presStyleLbl="node1" presStyleIdx="4" presStyleCnt="5" custScaleX="149293" custRadScaleRad="105903" custRadScaleInc="-4311">
        <dgm:presLayoutVars>
          <dgm:bulletEnabled val="1"/>
        </dgm:presLayoutVars>
      </dgm:prSet>
      <dgm:spPr/>
      <dgm:t>
        <a:bodyPr/>
        <a:lstStyle/>
        <a:p>
          <a:endParaRPr lang="en-US"/>
        </a:p>
      </dgm:t>
    </dgm:pt>
    <dgm:pt modelId="{96C42A03-9286-43EE-910C-603CBB764427}" type="pres">
      <dgm:prSet presAssocID="{258BB850-E2EB-4924-9D6D-E90FA4EB04BF}" presName="spNode" presStyleCnt="0"/>
      <dgm:spPr/>
    </dgm:pt>
    <dgm:pt modelId="{68CFAB12-18AA-43BA-9CEB-13A7785DACA7}" type="pres">
      <dgm:prSet presAssocID="{CF8823F9-2395-43E8-A23E-8E9B245E2644}" presName="sibTrans" presStyleLbl="sibTrans1D1" presStyleIdx="4" presStyleCnt="5"/>
      <dgm:spPr/>
      <dgm:t>
        <a:bodyPr/>
        <a:lstStyle/>
        <a:p>
          <a:endParaRPr lang="en-US"/>
        </a:p>
      </dgm:t>
    </dgm:pt>
  </dgm:ptLst>
  <dgm:cxnLst>
    <dgm:cxn modelId="{7A7CF7F3-F1AC-4B76-8E2B-64589686FBEF}" type="presOf" srcId="{2644EDDA-5922-4711-96C2-0823F6E99682}" destId="{1710577A-C85E-493D-8DD3-0A56BBADFF8B}" srcOrd="0" destOrd="0" presId="urn:microsoft.com/office/officeart/2005/8/layout/cycle5"/>
    <dgm:cxn modelId="{2717D939-62B1-4D7E-A0EC-4C435D1D638C}" srcId="{85649DC2-3899-4E63-B4DF-7128B4C09E0E}" destId="{02C52A68-0401-4F12-ADFC-85EABD6E2588}" srcOrd="0" destOrd="0" parTransId="{325906BE-39B7-426A-9D35-1F560019B76E}" sibTransId="{AC63C2AD-F7D7-4246-B3BF-84EA3DA50D02}"/>
    <dgm:cxn modelId="{E470336C-0DDF-466C-8BD9-5AE8D959D6EC}" type="presOf" srcId="{D8CC2419-C7BE-4631-9995-CE944C2EEB30}" destId="{21BDEE72-F9A7-4BCA-928D-B811E35C6CD7}" srcOrd="0" destOrd="0" presId="urn:microsoft.com/office/officeart/2005/8/layout/cycle5"/>
    <dgm:cxn modelId="{176FCA16-A624-4C87-A679-9CC2C4E669BC}" srcId="{85649DC2-3899-4E63-B4DF-7128B4C09E0E}" destId="{6C1C0BD8-DB21-43FA-9A55-3C1FFF037951}" srcOrd="3" destOrd="0" parTransId="{FF11DDCD-CF5A-457F-BFC5-B42FAB8EA6D9}" sibTransId="{40052E91-5C55-461B-8BBD-C521CC11F629}"/>
    <dgm:cxn modelId="{28A9F059-9B1A-4C7A-9B09-56D01D019150}" srcId="{85649DC2-3899-4E63-B4DF-7128B4C09E0E}" destId="{0BCD993A-CD69-4149-A2A1-B252D23ACB6A}" srcOrd="1" destOrd="0" parTransId="{9EEA4DC7-5C02-4538-AFD9-37210AC54C90}" sibTransId="{2644EDDA-5922-4711-96C2-0823F6E99682}"/>
    <dgm:cxn modelId="{C0A013A9-B366-4EDF-9D2A-BDBAC5E8E4B2}" srcId="{85649DC2-3899-4E63-B4DF-7128B4C09E0E}" destId="{1A8F7AFB-53B3-46A1-B384-9E2205B399BB}" srcOrd="2" destOrd="0" parTransId="{184550F9-A0EB-46F8-88F9-6528F0A2CBBA}" sibTransId="{D8CC2419-C7BE-4631-9995-CE944C2EEB30}"/>
    <dgm:cxn modelId="{B6B9A0E5-22E4-46ED-97B2-A4246162E807}" type="presOf" srcId="{0BCD993A-CD69-4149-A2A1-B252D23ACB6A}" destId="{D64855B2-95BF-4B68-9F95-A7915BA83325}" srcOrd="0" destOrd="0" presId="urn:microsoft.com/office/officeart/2005/8/layout/cycle5"/>
    <dgm:cxn modelId="{6E0A0228-3FDC-4373-B23F-F48304998D17}" type="presOf" srcId="{1A8F7AFB-53B3-46A1-B384-9E2205B399BB}" destId="{F5AA90A1-B244-40D5-B021-A5BAAB278AEE}" srcOrd="0" destOrd="0" presId="urn:microsoft.com/office/officeart/2005/8/layout/cycle5"/>
    <dgm:cxn modelId="{3F79875A-5955-4D05-83BB-18BB454BCA71}" type="presOf" srcId="{85649DC2-3899-4E63-B4DF-7128B4C09E0E}" destId="{58C85853-F5C2-41D3-90E0-68482134D003}" srcOrd="0" destOrd="0" presId="urn:microsoft.com/office/officeart/2005/8/layout/cycle5"/>
    <dgm:cxn modelId="{26F2D4F8-9117-4F69-B2AE-C76B0FDE7BAF}" type="presOf" srcId="{AC63C2AD-F7D7-4246-B3BF-84EA3DA50D02}" destId="{5E53025A-6F44-4E4D-8306-1D6E3634A5FE}" srcOrd="0" destOrd="0" presId="urn:microsoft.com/office/officeart/2005/8/layout/cycle5"/>
    <dgm:cxn modelId="{D158364A-2A6A-48D5-94C9-C521727DC881}" type="presOf" srcId="{02C52A68-0401-4F12-ADFC-85EABD6E2588}" destId="{937941A6-3885-40A5-8852-D07B9AA250C7}" srcOrd="0" destOrd="0" presId="urn:microsoft.com/office/officeart/2005/8/layout/cycle5"/>
    <dgm:cxn modelId="{67D8AB6E-A570-4DF5-942D-23A489AD1996}" type="presOf" srcId="{258BB850-E2EB-4924-9D6D-E90FA4EB04BF}" destId="{9E01F941-6BDB-4B6E-8517-2D85F5CF5E45}" srcOrd="0" destOrd="0" presId="urn:microsoft.com/office/officeart/2005/8/layout/cycle5"/>
    <dgm:cxn modelId="{0B4D4923-2843-4CDE-9E55-C5C9DBCFD94B}" type="presOf" srcId="{CF8823F9-2395-43E8-A23E-8E9B245E2644}" destId="{68CFAB12-18AA-43BA-9CEB-13A7785DACA7}" srcOrd="0" destOrd="0" presId="urn:microsoft.com/office/officeart/2005/8/layout/cycle5"/>
    <dgm:cxn modelId="{27DA8F12-0E46-44C5-81EB-470B9A21CD4F}" type="presOf" srcId="{6C1C0BD8-DB21-43FA-9A55-3C1FFF037951}" destId="{3119F97B-A4B0-4FE4-B029-AB4116BA9A37}" srcOrd="0" destOrd="0" presId="urn:microsoft.com/office/officeart/2005/8/layout/cycle5"/>
    <dgm:cxn modelId="{117BDAA0-9E86-40DE-B60E-FDC067E54A3C}" srcId="{85649DC2-3899-4E63-B4DF-7128B4C09E0E}" destId="{258BB850-E2EB-4924-9D6D-E90FA4EB04BF}" srcOrd="4" destOrd="0" parTransId="{CA58EAA4-2694-4812-AFB4-D9AD2C07B8D5}" sibTransId="{CF8823F9-2395-43E8-A23E-8E9B245E2644}"/>
    <dgm:cxn modelId="{EC64F3FB-BED4-41FB-8FD6-64EECB37A7B3}" type="presOf" srcId="{40052E91-5C55-461B-8BBD-C521CC11F629}" destId="{18F2B07A-EC6B-4EAD-AE0C-6250B16073F6}" srcOrd="0" destOrd="0" presId="urn:microsoft.com/office/officeart/2005/8/layout/cycle5"/>
    <dgm:cxn modelId="{11E792E8-23E3-4129-9739-5F38580A4F66}" type="presParOf" srcId="{58C85853-F5C2-41D3-90E0-68482134D003}" destId="{937941A6-3885-40A5-8852-D07B9AA250C7}" srcOrd="0" destOrd="0" presId="urn:microsoft.com/office/officeart/2005/8/layout/cycle5"/>
    <dgm:cxn modelId="{2384E9F0-391A-4519-8588-419D6596229B}" type="presParOf" srcId="{58C85853-F5C2-41D3-90E0-68482134D003}" destId="{2F35509A-67A9-470C-B38B-69317DA28EDE}" srcOrd="1" destOrd="0" presId="urn:microsoft.com/office/officeart/2005/8/layout/cycle5"/>
    <dgm:cxn modelId="{B5367B46-E14E-4DB8-926D-A72D16BFAC1B}" type="presParOf" srcId="{58C85853-F5C2-41D3-90E0-68482134D003}" destId="{5E53025A-6F44-4E4D-8306-1D6E3634A5FE}" srcOrd="2" destOrd="0" presId="urn:microsoft.com/office/officeart/2005/8/layout/cycle5"/>
    <dgm:cxn modelId="{6C84BAD6-AEB8-4391-A438-C10849756421}" type="presParOf" srcId="{58C85853-F5C2-41D3-90E0-68482134D003}" destId="{D64855B2-95BF-4B68-9F95-A7915BA83325}" srcOrd="3" destOrd="0" presId="urn:microsoft.com/office/officeart/2005/8/layout/cycle5"/>
    <dgm:cxn modelId="{F45BAC4A-287E-4B70-BF0B-59CC39736D56}" type="presParOf" srcId="{58C85853-F5C2-41D3-90E0-68482134D003}" destId="{9ECF6E54-E529-496C-98F5-57F67897800D}" srcOrd="4" destOrd="0" presId="urn:microsoft.com/office/officeart/2005/8/layout/cycle5"/>
    <dgm:cxn modelId="{0C8FD8E8-F9B9-4B64-9B0D-EE0AF30B774A}" type="presParOf" srcId="{58C85853-F5C2-41D3-90E0-68482134D003}" destId="{1710577A-C85E-493D-8DD3-0A56BBADFF8B}" srcOrd="5" destOrd="0" presId="urn:microsoft.com/office/officeart/2005/8/layout/cycle5"/>
    <dgm:cxn modelId="{0D27787F-9320-4300-8DE1-2BD3B407DCF0}" type="presParOf" srcId="{58C85853-F5C2-41D3-90E0-68482134D003}" destId="{F5AA90A1-B244-40D5-B021-A5BAAB278AEE}" srcOrd="6" destOrd="0" presId="urn:microsoft.com/office/officeart/2005/8/layout/cycle5"/>
    <dgm:cxn modelId="{B66BA85A-2134-442D-9DFD-83225D32C825}" type="presParOf" srcId="{58C85853-F5C2-41D3-90E0-68482134D003}" destId="{71362543-F186-4310-8B4B-9F3B41422009}" srcOrd="7" destOrd="0" presId="urn:microsoft.com/office/officeart/2005/8/layout/cycle5"/>
    <dgm:cxn modelId="{144E71A8-9F0B-4BFC-9C40-5F422C1D175D}" type="presParOf" srcId="{58C85853-F5C2-41D3-90E0-68482134D003}" destId="{21BDEE72-F9A7-4BCA-928D-B811E35C6CD7}" srcOrd="8" destOrd="0" presId="urn:microsoft.com/office/officeart/2005/8/layout/cycle5"/>
    <dgm:cxn modelId="{9C6D1E14-10F5-414C-B0ED-20A05317705E}" type="presParOf" srcId="{58C85853-F5C2-41D3-90E0-68482134D003}" destId="{3119F97B-A4B0-4FE4-B029-AB4116BA9A37}" srcOrd="9" destOrd="0" presId="urn:microsoft.com/office/officeart/2005/8/layout/cycle5"/>
    <dgm:cxn modelId="{DF47B02F-27EF-43B6-B762-DBF4C98A01CE}" type="presParOf" srcId="{58C85853-F5C2-41D3-90E0-68482134D003}" destId="{F5C9531F-AE2E-46D6-8C4A-B36B6114F417}" srcOrd="10" destOrd="0" presId="urn:microsoft.com/office/officeart/2005/8/layout/cycle5"/>
    <dgm:cxn modelId="{7E002D0E-273B-4967-9147-840998A06CF9}" type="presParOf" srcId="{58C85853-F5C2-41D3-90E0-68482134D003}" destId="{18F2B07A-EC6B-4EAD-AE0C-6250B16073F6}" srcOrd="11" destOrd="0" presId="urn:microsoft.com/office/officeart/2005/8/layout/cycle5"/>
    <dgm:cxn modelId="{706B9A83-0BD5-42DD-B84A-E98537E1A14B}" type="presParOf" srcId="{58C85853-F5C2-41D3-90E0-68482134D003}" destId="{9E01F941-6BDB-4B6E-8517-2D85F5CF5E45}" srcOrd="12" destOrd="0" presId="urn:microsoft.com/office/officeart/2005/8/layout/cycle5"/>
    <dgm:cxn modelId="{C288828C-29FD-48FB-9446-09167A8469DC}" type="presParOf" srcId="{58C85853-F5C2-41D3-90E0-68482134D003}" destId="{96C42A03-9286-43EE-910C-603CBB764427}" srcOrd="13" destOrd="0" presId="urn:microsoft.com/office/officeart/2005/8/layout/cycle5"/>
    <dgm:cxn modelId="{61B8A950-023F-425B-ACF2-90BE137880A2}" type="presParOf" srcId="{58C85853-F5C2-41D3-90E0-68482134D003}" destId="{68CFAB12-18AA-43BA-9CEB-13A7785DACA7}" srcOrd="14" destOrd="0" presId="urn:microsoft.com/office/officeart/2005/8/layout/cycle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8B7EF-B383-450F-BFB0-C16F0DB6CCAD}">
      <dsp:nvSpPr>
        <dsp:cNvPr id="0" name=""/>
        <dsp:cNvSpPr/>
      </dsp:nvSpPr>
      <dsp:spPr>
        <a:xfrm>
          <a:off x="2302672" y="693013"/>
          <a:ext cx="880850" cy="76197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Internal direction vs outer direction</a:t>
          </a:r>
        </a:p>
      </dsp:txBody>
      <dsp:txXfrm>
        <a:off x="2448641" y="819282"/>
        <a:ext cx="588912" cy="509433"/>
      </dsp:txXfrm>
    </dsp:sp>
    <dsp:sp modelId="{A315A63E-6CE1-489D-B246-DD1E4E1B6CE4}">
      <dsp:nvSpPr>
        <dsp:cNvPr id="0" name=""/>
        <dsp:cNvSpPr/>
      </dsp:nvSpPr>
      <dsp:spPr>
        <a:xfrm>
          <a:off x="2854253" y="328461"/>
          <a:ext cx="332342" cy="28635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FEBE223-1D3E-4A06-BA50-0BEC283D2032}">
      <dsp:nvSpPr>
        <dsp:cNvPr id="0" name=""/>
        <dsp:cNvSpPr/>
      </dsp:nvSpPr>
      <dsp:spPr>
        <a:xfrm>
          <a:off x="2383811" y="0"/>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Universalism versus particularism</a:t>
          </a:r>
          <a:endParaRPr lang="en-US" sz="500" kern="1200"/>
        </a:p>
      </dsp:txBody>
      <dsp:txXfrm>
        <a:off x="2503437" y="103490"/>
        <a:ext cx="482598" cy="417505"/>
      </dsp:txXfrm>
    </dsp:sp>
    <dsp:sp modelId="{2E6E5F02-8D48-4CAB-BE21-541FB817F8A9}">
      <dsp:nvSpPr>
        <dsp:cNvPr id="0" name=""/>
        <dsp:cNvSpPr/>
      </dsp:nvSpPr>
      <dsp:spPr>
        <a:xfrm>
          <a:off x="3242123" y="863796"/>
          <a:ext cx="332342" cy="28635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09D668-DB65-405C-93A6-B8589F0DFC32}">
      <dsp:nvSpPr>
        <dsp:cNvPr id="0" name=""/>
        <dsp:cNvSpPr/>
      </dsp:nvSpPr>
      <dsp:spPr>
        <a:xfrm>
          <a:off x="3045832" y="384100"/>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Individualism versus communitarianism</a:t>
          </a:r>
          <a:endParaRPr lang="en-US" sz="500" kern="1200"/>
        </a:p>
      </dsp:txBody>
      <dsp:txXfrm>
        <a:off x="3165458" y="487590"/>
        <a:ext cx="482598" cy="417505"/>
      </dsp:txXfrm>
    </dsp:sp>
    <dsp:sp modelId="{72E95E26-DBA3-4687-A278-C52FA73F19C8}">
      <dsp:nvSpPr>
        <dsp:cNvPr id="0" name=""/>
        <dsp:cNvSpPr/>
      </dsp:nvSpPr>
      <dsp:spPr>
        <a:xfrm>
          <a:off x="2972684" y="1468089"/>
          <a:ext cx="332342" cy="28635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4325F2-8D61-4CCB-B516-6C646FDB1A6B}">
      <dsp:nvSpPr>
        <dsp:cNvPr id="0" name=""/>
        <dsp:cNvSpPr/>
      </dsp:nvSpPr>
      <dsp:spPr>
        <a:xfrm>
          <a:off x="3045832" y="1139197"/>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IN" sz="500" kern="1200">
              <a:latin typeface="Times New Roman" panose="02020603050405020304" pitchFamily="18" charset="0"/>
              <a:cs typeface="Times New Roman" panose="02020603050405020304" pitchFamily="18" charset="0"/>
            </a:rPr>
            <a:t>Formal </a:t>
          </a:r>
          <a:r>
            <a:rPr lang="en-US" sz="500" kern="1200">
              <a:latin typeface="Times New Roman" panose="02020603050405020304" pitchFamily="18" charset="0"/>
              <a:cs typeface="Times New Roman" panose="02020603050405020304" pitchFamily="18" charset="0"/>
            </a:rPr>
            <a:t>Specific versus diffuse</a:t>
          </a:r>
          <a:endParaRPr lang="en-US" sz="500" kern="1200"/>
        </a:p>
      </dsp:txBody>
      <dsp:txXfrm>
        <a:off x="3165458" y="1242687"/>
        <a:ext cx="482598" cy="417505"/>
      </dsp:txXfrm>
    </dsp:sp>
    <dsp:sp modelId="{365C4417-FE8F-4843-92E8-832529F9D6DE}">
      <dsp:nvSpPr>
        <dsp:cNvPr id="0" name=""/>
        <dsp:cNvSpPr/>
      </dsp:nvSpPr>
      <dsp:spPr>
        <a:xfrm>
          <a:off x="2304311" y="1530817"/>
          <a:ext cx="332342" cy="28635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9E3E42-5946-4DDE-AEB7-FAC38BA52A31}">
      <dsp:nvSpPr>
        <dsp:cNvPr id="0" name=""/>
        <dsp:cNvSpPr/>
      </dsp:nvSpPr>
      <dsp:spPr>
        <a:xfrm>
          <a:off x="2383811" y="1523728"/>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Neutral versus emotional</a:t>
          </a:r>
          <a:endParaRPr lang="en-US" sz="500" kern="1200"/>
        </a:p>
      </dsp:txBody>
      <dsp:txXfrm>
        <a:off x="2503437" y="1627218"/>
        <a:ext cx="482598" cy="417505"/>
      </dsp:txXfrm>
    </dsp:sp>
    <dsp:sp modelId="{EC12E191-68BA-4FDA-9BE0-1116E82B630B}">
      <dsp:nvSpPr>
        <dsp:cNvPr id="0" name=""/>
        <dsp:cNvSpPr/>
      </dsp:nvSpPr>
      <dsp:spPr>
        <a:xfrm>
          <a:off x="1910090" y="995697"/>
          <a:ext cx="332342" cy="286356"/>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0DC40F-B3FB-4E6D-9187-57256B9FBA47}">
      <dsp:nvSpPr>
        <dsp:cNvPr id="0" name=""/>
        <dsp:cNvSpPr/>
      </dsp:nvSpPr>
      <dsp:spPr>
        <a:xfrm>
          <a:off x="1718716" y="1139627"/>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Achievement versus ascription</a:t>
          </a:r>
          <a:endParaRPr lang="en-US" sz="500" kern="1200"/>
        </a:p>
      </dsp:txBody>
      <dsp:txXfrm>
        <a:off x="1838342" y="1243117"/>
        <a:ext cx="482598" cy="417505"/>
      </dsp:txXfrm>
    </dsp:sp>
    <dsp:sp modelId="{0947D598-8CB1-4DCB-B600-6D5CFC9EE339}">
      <dsp:nvSpPr>
        <dsp:cNvPr id="0" name=""/>
        <dsp:cNvSpPr/>
      </dsp:nvSpPr>
      <dsp:spPr>
        <a:xfrm>
          <a:off x="1718716" y="383241"/>
          <a:ext cx="721850" cy="62448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Sequential time versus synchronous tim</a:t>
          </a:r>
          <a:endParaRPr lang="en-US" sz="500" kern="1200"/>
        </a:p>
      </dsp:txBody>
      <dsp:txXfrm>
        <a:off x="1838342" y="486731"/>
        <a:ext cx="482598" cy="4175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7941A6-3885-40A5-8852-D07B9AA250C7}">
      <dsp:nvSpPr>
        <dsp:cNvPr id="0" name=""/>
        <dsp:cNvSpPr/>
      </dsp:nvSpPr>
      <dsp:spPr>
        <a:xfrm>
          <a:off x="2233199" y="525"/>
          <a:ext cx="1028922" cy="42139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Power distance</a:t>
          </a:r>
        </a:p>
      </dsp:txBody>
      <dsp:txXfrm>
        <a:off x="2253770" y="21096"/>
        <a:ext cx="987780" cy="380249"/>
      </dsp:txXfrm>
    </dsp:sp>
    <dsp:sp modelId="{5E53025A-6F44-4E4D-8306-1D6E3634A5FE}">
      <dsp:nvSpPr>
        <dsp:cNvPr id="0" name=""/>
        <dsp:cNvSpPr/>
      </dsp:nvSpPr>
      <dsp:spPr>
        <a:xfrm>
          <a:off x="2056650" y="304064"/>
          <a:ext cx="1683307" cy="1683307"/>
        </a:xfrm>
        <a:custGeom>
          <a:avLst/>
          <a:gdLst/>
          <a:ahLst/>
          <a:cxnLst/>
          <a:rect l="0" t="0" r="0" b="0"/>
          <a:pathLst>
            <a:path>
              <a:moveTo>
                <a:pt x="1265769" y="114669"/>
              </a:moveTo>
              <a:arcTo wR="841653" hR="841653" stAng="18015534" swAng="846286"/>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64855B2-95BF-4B68-9F95-A7915BA83325}">
      <dsp:nvSpPr>
        <dsp:cNvPr id="0" name=""/>
        <dsp:cNvSpPr/>
      </dsp:nvSpPr>
      <dsp:spPr>
        <a:xfrm>
          <a:off x="3148344" y="593667"/>
          <a:ext cx="950018" cy="42139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Uncertainity avaoidance</a:t>
          </a:r>
        </a:p>
      </dsp:txBody>
      <dsp:txXfrm>
        <a:off x="3168915" y="614238"/>
        <a:ext cx="908876" cy="380249"/>
      </dsp:txXfrm>
    </dsp:sp>
    <dsp:sp modelId="{1710577A-C85E-493D-8DD3-0A56BBADFF8B}">
      <dsp:nvSpPr>
        <dsp:cNvPr id="0" name=""/>
        <dsp:cNvSpPr/>
      </dsp:nvSpPr>
      <dsp:spPr>
        <a:xfrm>
          <a:off x="1973968" y="188039"/>
          <a:ext cx="1683307" cy="1683307"/>
        </a:xfrm>
        <a:custGeom>
          <a:avLst/>
          <a:gdLst/>
          <a:ahLst/>
          <a:cxnLst/>
          <a:rect l="0" t="0" r="0" b="0"/>
          <a:pathLst>
            <a:path>
              <a:moveTo>
                <a:pt x="1679888" y="917430"/>
              </a:moveTo>
              <a:arcTo wR="841653" hR="841653" stAng="21909933" swAng="113215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5AA90A1-B244-40D5-B021-A5BAAB278AEE}">
      <dsp:nvSpPr>
        <dsp:cNvPr id="0" name=""/>
        <dsp:cNvSpPr/>
      </dsp:nvSpPr>
      <dsp:spPr>
        <a:xfrm>
          <a:off x="2964985" y="1453018"/>
          <a:ext cx="902018" cy="3763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Individualism and collectivism</a:t>
          </a:r>
        </a:p>
      </dsp:txBody>
      <dsp:txXfrm>
        <a:off x="2983357" y="1471390"/>
        <a:ext cx="865274" cy="339601"/>
      </dsp:txXfrm>
    </dsp:sp>
    <dsp:sp modelId="{21BDEE72-F9A7-4BCA-928D-B811E35C6CD7}">
      <dsp:nvSpPr>
        <dsp:cNvPr id="0" name=""/>
        <dsp:cNvSpPr/>
      </dsp:nvSpPr>
      <dsp:spPr>
        <a:xfrm>
          <a:off x="1989579" y="223267"/>
          <a:ext cx="1683307" cy="1683307"/>
        </a:xfrm>
        <a:custGeom>
          <a:avLst/>
          <a:gdLst/>
          <a:ahLst/>
          <a:cxnLst/>
          <a:rect l="0" t="0" r="0" b="0"/>
          <a:pathLst>
            <a:path>
              <a:moveTo>
                <a:pt x="1071648" y="1651272"/>
              </a:moveTo>
              <a:arcTo wR="841653" hR="841653" stAng="4448480" swAng="166896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119F97B-A4B0-4FE4-B029-AB4116BA9A37}">
      <dsp:nvSpPr>
        <dsp:cNvPr id="0" name=""/>
        <dsp:cNvSpPr/>
      </dsp:nvSpPr>
      <dsp:spPr>
        <a:xfrm>
          <a:off x="1811935" y="1436282"/>
          <a:ext cx="719977" cy="42139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Masculinity/feminity</a:t>
          </a:r>
        </a:p>
      </dsp:txBody>
      <dsp:txXfrm>
        <a:off x="1832506" y="1456853"/>
        <a:ext cx="678835" cy="380249"/>
      </dsp:txXfrm>
    </dsp:sp>
    <dsp:sp modelId="{18F2B07A-EC6B-4EAD-AE0C-6250B16073F6}">
      <dsp:nvSpPr>
        <dsp:cNvPr id="0" name=""/>
        <dsp:cNvSpPr/>
      </dsp:nvSpPr>
      <dsp:spPr>
        <a:xfrm>
          <a:off x="1855589" y="102358"/>
          <a:ext cx="1683307" cy="1683307"/>
        </a:xfrm>
        <a:custGeom>
          <a:avLst/>
          <a:gdLst/>
          <a:ahLst/>
          <a:cxnLst/>
          <a:rect l="0" t="0" r="0" b="0"/>
          <a:pathLst>
            <a:path>
              <a:moveTo>
                <a:pt x="109312" y="1256451"/>
              </a:moveTo>
              <a:arcTo wR="841653" hR="841653" stAng="9028368" swAng="115244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E01F941-6BDB-4B6E-8517-2D85F5CF5E45}">
      <dsp:nvSpPr>
        <dsp:cNvPr id="0" name=""/>
        <dsp:cNvSpPr/>
      </dsp:nvSpPr>
      <dsp:spPr>
        <a:xfrm>
          <a:off x="1411183" y="582093"/>
          <a:ext cx="967859" cy="42139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Long term orintation</a:t>
          </a:r>
        </a:p>
      </dsp:txBody>
      <dsp:txXfrm>
        <a:off x="1431754" y="602664"/>
        <a:ext cx="926717" cy="380249"/>
      </dsp:txXfrm>
    </dsp:sp>
    <dsp:sp modelId="{68CFAB12-18AA-43BA-9CEB-13A7785DACA7}">
      <dsp:nvSpPr>
        <dsp:cNvPr id="0" name=""/>
        <dsp:cNvSpPr/>
      </dsp:nvSpPr>
      <dsp:spPr>
        <a:xfrm>
          <a:off x="1789332" y="286824"/>
          <a:ext cx="1683307" cy="1683307"/>
        </a:xfrm>
        <a:custGeom>
          <a:avLst/>
          <a:gdLst/>
          <a:ahLst/>
          <a:cxnLst/>
          <a:rect l="0" t="0" r="0" b="0"/>
          <a:pathLst>
            <a:path>
              <a:moveTo>
                <a:pt x="243595" y="249447"/>
              </a:moveTo>
              <a:arcTo wR="841653" hR="841653" stAng="13483099" swAng="770296"/>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0865-BA8F-4959-A427-963372F6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20</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49</cp:revision>
  <dcterms:created xsi:type="dcterms:W3CDTF">2022-03-24T12:49:00Z</dcterms:created>
  <dcterms:modified xsi:type="dcterms:W3CDTF">2022-05-03T04:56:00Z</dcterms:modified>
</cp:coreProperties>
</file>