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Motion Template</w:t>
      </w:r>
    </w:p>
    <w:p>
      <w:r>
        <w:t>Case Number: 2025-PA-000123</w:t>
      </w:r>
    </w:p>
    <w:p>
      <w:r>
        <w:t>Facts:</w:t>
      </w:r>
    </w:p>
    <w:p>
      <w:r>
        <w:t>William Miller qualifies as a vulnerable adult under RCW 74.34.020 due to medical vulnerability, PTSD, cognitive impairment, and physical incapacitation. Evidence shows systematic abuse by Candi Brightwell, including property rights violations, medical emergency exploitation, and business interference. Court filings and declarations confirm Miller as the primary victim, with Candi as the aggressor using DARVO tactics. Critical legal issues include lockout during recovery, tool disposal, and withholding of property and business assets. Legal standards and RCW analysis support modification/termination of protection orders and recognition of Miller's status.</w:t>
      </w:r>
    </w:p>
    <w:p>
      <w:r>
        <w:t>Signature: __________________________</w:t>
      </w:r>
    </w:p>
    <w:p>
      <w:r>
        <w:t>Date: 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