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75366dee35db1955775cb3b0fc004e7abeb8c8ba.png"/>
            <a:graphic>
              <a:graphicData uri="http://schemas.openxmlformats.org/drawingml/2006/picture">
                <pic:pic>
                  <pic:nvPicPr>
                    <pic:cNvPr id="1" name="image-75366dee35db1955775cb3b0fc004e7abeb8c8ba.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Comprehensive CIR Action Plan for Miller v. Brightwell</w:t>
      </w:r>
    </w:p>
    <w:p>
      <w:pPr>
        <w:spacing w:line="360" w:before="315" w:after="105" w:lineRule="auto"/>
        <w:ind w:left="-30"/>
        <w:jc w:val="left"/>
      </w:pPr>
      <w:r>
        <w:rPr>
          <w:rFonts w:eastAsia="inter" w:cs="inter" w:ascii="inter" w:hAnsi="inter"/>
          <w:b/>
          <w:color w:val="000000"/>
          <w:sz w:val="24"/>
        </w:rPr>
        <w:t xml:space="preserve">Snohomish County Superior Court Strategic Legal Framework</w:t>
      </w:r>
    </w:p>
    <w:p>
      <w:pPr>
        <w:spacing w:line="360" w:after="210" w:lineRule="auto"/>
      </w:pPr>
      <w:r>
        <w:rPr>
          <w:rFonts w:eastAsia="inter" w:cs="inter" w:ascii="inter" w:hAnsi="inter"/>
          <w:b/>
          <w:color w:val="000000"/>
        </w:rPr>
        <w:t xml:space="preserve">Case Overview</w:t>
      </w:r>
      <w:r>
        <w:rPr>
          <w:rFonts w:eastAsia="inter" w:cs="inter" w:ascii="inter" w:hAnsi="inter"/>
          <w:color w:val="000000"/>
        </w:rPr>
        <w:t xml:space="preserve">: William Miller (Petitioner) v. Candi L. Brightwell (Respondent)</w:t>
      </w:r>
      <w:r>
        <w:rPr>
          <w:rFonts w:eastAsia="inter" w:cs="inter" w:ascii="inter" w:hAnsi="inter"/>
          <w:color w:val="000000"/>
        </w:rPr>
        <w:br w:type="textWrapping"/>
      </w:r>
      <w:r>
        <w:rPr>
          <w:rFonts w:eastAsia="inter" w:cs="inter" w:ascii="inter" w:hAnsi="inter"/>
          <w:b/>
          <w:color w:val="000000"/>
        </w:rPr>
        <w:t xml:space="preserve">Current Status</w:t>
      </w:r>
      <w:r>
        <w:rPr>
          <w:rFonts w:eastAsia="inter" w:cs="inter" w:ascii="inter" w:hAnsi="inter"/>
          <w:color w:val="000000"/>
        </w:rPr>
        <w:t xml:space="preserve">: Existing AHPO with enforcement failures by local sheriff</w:t>
      </w:r>
      <w:r>
        <w:rPr>
          <w:rFonts w:eastAsia="inter" w:cs="inter" w:ascii="inter" w:hAnsi="inter"/>
          <w:color w:val="000000"/>
        </w:rPr>
        <w:br w:type="textWrapping"/>
      </w:r>
      <w:r>
        <w:rPr>
          <w:rFonts w:eastAsia="inter" w:cs="inter" w:ascii="inter" w:hAnsi="inter"/>
          <w:b/>
          <w:color w:val="000000"/>
        </w:rPr>
        <w:t xml:space="preserve">Objective</w:t>
      </w:r>
      <w:r>
        <w:rPr>
          <w:rFonts w:eastAsia="inter" w:cs="inter" w:ascii="inter" w:hAnsi="inter"/>
          <w:color w:val="000000"/>
        </w:rPr>
        <w:t xml:space="preserve">: Establish CIR doctrine and obtain enhanced protection through new family law case</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comprehensive action plan addresses the critical need for enhanced legal protection and property rights through Washington State's Committed Intimate Relationship (CIR) doctrine. Given the current enforcement failures of the existing Anti-Harassment Protection Order and the presence of an abusive opposing party, this strategy prioritizes immediate safety measures while establishing the foundational elements necessary for successful CIR recognition under </w:t>
      </w:r>
      <w:r>
        <w:rPr>
          <w:rFonts w:eastAsia="inter" w:cs="inter" w:ascii="inter" w:hAnsi="inter"/>
          <w:i/>
          <w:color w:val="000000"/>
        </w:rPr>
        <w:t xml:space="preserve">Connell v. Francisco</w:t>
      </w:r>
      <w:r>
        <w:rPr>
          <w:rFonts w:eastAsia="inter" w:cs="inter" w:ascii="inter" w:hAnsi="inter"/>
          <w:color w:val="000000"/>
        </w:rPr>
        <w:t xml:space="preserve"> precedent</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plan leverages the superior success rates of new family law cases (80-90% effectiveness) compared to standalone protection orders, while addressing the specific dynamics of presenting before a female judge in Snohomish County Superior Court</w:t>
      </w:r>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ff13ce6218ce822effd2aceff8aad6415cdacfaa.png"/>
            <a:graphic>
              <a:graphicData uri="http://schemas.openxmlformats.org/drawingml/2006/picture">
                <pic:pic>
                  <pic:nvPicPr>
                    <pic:cNvPr id="2" name="image-ff13ce6218ce822effd2aceff8aad6415cdacfaa.pn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Strategic timeline for CIR case development in Snohomish County Superior Court, showing critical emergency actions through long-term enforcement strategy</w:t>
      </w:r>
    </w:p>
    <w:p>
      <w:pPr>
        <w:spacing w:line="360" w:before="315" w:after="105" w:lineRule="auto"/>
        <w:ind w:left="-30"/>
        <w:jc w:val="left"/>
      </w:pPr>
      <w:r>
        <w:rPr>
          <w:rFonts w:eastAsia="inter" w:cs="inter" w:ascii="inter" w:hAnsi="inter"/>
          <w:b/>
          <w:color w:val="000000"/>
          <w:sz w:val="24"/>
        </w:rPr>
        <w:t xml:space="preserve">Phase 1: Immediate Emergency Actions (0-48 Hours)</w:t>
      </w:r>
    </w:p>
    <w:p>
      <w:pPr>
        <w:spacing w:line="360" w:before="315" w:after="105" w:lineRule="auto"/>
        <w:ind w:left="-30"/>
        <w:jc w:val="left"/>
      </w:pPr>
      <w:r>
        <w:rPr>
          <w:rFonts w:eastAsia="inter" w:cs="inter" w:ascii="inter" w:hAnsi="inter"/>
          <w:b/>
          <w:color w:val="000000"/>
          <w:sz w:val="24"/>
        </w:rPr>
        <w:t xml:space="preserve">Critical Safety Measures</w:t>
      </w:r>
    </w:p>
    <w:p>
      <w:pPr>
        <w:spacing w:line="360" w:after="210" w:lineRule="auto"/>
      </w:pPr>
      <w:r>
        <w:rPr>
          <w:rFonts w:eastAsia="inter" w:cs="inter" w:ascii="inter" w:hAnsi="inter"/>
          <w:b/>
          <w:color w:val="000000"/>
        </w:rPr>
        <w:t xml:space="preserve">1. Emergency Ex Parte Protection Order Filing</w:t>
      </w:r>
    </w:p>
    <w:p>
      <w:pPr>
        <w:numPr>
          <w:ilvl w:val="0"/>
          <w:numId w:val="1"/>
        </w:numPr>
        <w:spacing w:line="360" w:before="105" w:after="105" w:lineRule="auto"/>
      </w:pPr>
      <w:r>
        <w:rPr>
          <w:rFonts w:eastAsia="inter" w:cs="inter" w:ascii="inter" w:hAnsi="inter"/>
          <w:b/>
          <w:color w:val="000000"/>
          <w:sz w:val="21"/>
        </w:rPr>
        <w:t xml:space="preserve">Timeline</w:t>
      </w:r>
      <w:r>
        <w:rPr>
          <w:rFonts w:eastAsia="inter" w:cs="inter" w:ascii="inter" w:hAnsi="inter"/>
          <w:color w:val="000000"/>
          <w:sz w:val="21"/>
        </w:rPr>
        <w:t xml:space="preserve">: Within 24 hours</w:t>
      </w:r>
    </w:p>
    <w:p>
      <w:pPr>
        <w:numPr>
          <w:ilvl w:val="0"/>
          <w:numId w:val="1"/>
        </w:numPr>
        <w:spacing w:line="360" w:before="105" w:after="105" w:lineRule="auto"/>
      </w:pPr>
      <w:r>
        <w:rPr>
          <w:rFonts w:eastAsia="inter" w:cs="inter" w:ascii="inter" w:hAnsi="inter"/>
          <w:b/>
          <w:color w:val="000000"/>
          <w:sz w:val="21"/>
        </w:rPr>
        <w:t xml:space="preserve">Legal Basis</w:t>
      </w:r>
      <w:r>
        <w:rPr>
          <w:rFonts w:eastAsia="inter" w:cs="inter" w:ascii="inter" w:hAnsi="inter"/>
          <w:color w:val="000000"/>
          <w:sz w:val="21"/>
        </w:rPr>
        <w:t xml:space="preserve">: RCW 7.105.305</w:t>
      </w:r>
    </w:p>
    <w:p>
      <w:pPr>
        <w:numPr>
          <w:ilvl w:val="0"/>
          <w:numId w:val="1"/>
        </w:numPr>
        <w:spacing w:line="360" w:before="105" w:after="105" w:lineRule="auto"/>
      </w:pPr>
      <w:r>
        <w:rPr>
          <w:rFonts w:eastAsia="inter" w:cs="inter" w:ascii="inter" w:hAnsi="inter"/>
          <w:b/>
          <w:color w:val="000000"/>
          <w:sz w:val="21"/>
        </w:rPr>
        <w:t xml:space="preserve">Forms Required</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PO 001 Petition for Protection Order</w:t>
      </w:r>
    </w:p>
    <w:p>
      <w:pPr>
        <w:numPr>
          <w:ilvl w:val="1"/>
          <w:numId w:val="1"/>
        </w:numPr>
        <w:spacing w:line="360" w:before="105" w:after="105" w:lineRule="auto"/>
      </w:pPr>
      <w:r>
        <w:rPr>
          <w:rFonts w:eastAsia="inter" w:cs="inter" w:ascii="inter" w:hAnsi="inter"/>
          <w:color w:val="000000"/>
          <w:sz w:val="21"/>
        </w:rPr>
        <w:t xml:space="preserve">PO 030 Temporary Protection Order and Hearing Notice</w:t>
      </w:r>
    </w:p>
    <w:p>
      <w:pPr>
        <w:numPr>
          <w:ilvl w:val="0"/>
          <w:numId w:val="1"/>
        </w:numPr>
        <w:spacing w:line="360" w:before="105" w:after="105" w:lineRule="auto"/>
      </w:pPr>
      <w:r>
        <w:rPr>
          <w:rFonts w:eastAsia="inter" w:cs="inter" w:ascii="inter" w:hAnsi="inter"/>
          <w:b/>
          <w:color w:val="000000"/>
          <w:sz w:val="21"/>
        </w:rPr>
        <w:t xml:space="preserve">Strategy</w:t>
      </w:r>
      <w:r>
        <w:rPr>
          <w:rFonts w:eastAsia="inter" w:cs="inter" w:ascii="inter" w:hAnsi="inter"/>
          <w:color w:val="000000"/>
          <w:sz w:val="21"/>
        </w:rPr>
        <w:t xml:space="preserve">: Leverage current AHPO violations to demonstrate pattern of non-compliance and escalating danger</w:t>
      </w:r>
    </w:p>
    <w:p>
      <w:pPr>
        <w:spacing w:line="360" w:after="210" w:lineRule="auto"/>
      </w:pPr>
      <w:r>
        <w:rPr>
          <w:rFonts w:eastAsia="inter" w:cs="inter" w:ascii="inter" w:hAnsi="inter"/>
          <w:b/>
          <w:color w:val="000000"/>
        </w:rPr>
        <w:t xml:space="preserve">2. Evidence Documentation Protocol</w:t>
      </w:r>
    </w:p>
    <w:p>
      <w:pPr>
        <w:numPr>
          <w:ilvl w:val="0"/>
          <w:numId w:val="2"/>
        </w:numPr>
        <w:spacing w:line="360" w:before="105" w:after="105" w:lineRule="auto"/>
      </w:pPr>
      <w:r>
        <w:rPr>
          <w:rFonts w:eastAsia="inter" w:cs="inter" w:ascii="inter" w:hAnsi="inter"/>
          <w:b/>
          <w:color w:val="000000"/>
          <w:sz w:val="21"/>
        </w:rPr>
        <w:t xml:space="preserve">Timeline</w:t>
      </w:r>
      <w:r>
        <w:rPr>
          <w:rFonts w:eastAsia="inter" w:cs="inter" w:ascii="inter" w:hAnsi="inter"/>
          <w:color w:val="000000"/>
          <w:sz w:val="21"/>
        </w:rPr>
        <w:t xml:space="preserve">: Immediate and ongoing</w:t>
      </w:r>
    </w:p>
    <w:p>
      <w:pPr>
        <w:numPr>
          <w:ilvl w:val="0"/>
          <w:numId w:val="2"/>
        </w:numPr>
        <w:spacing w:line="360" w:before="105" w:after="105" w:lineRule="auto"/>
      </w:pPr>
      <w:r>
        <w:rPr>
          <w:rFonts w:eastAsia="inter" w:cs="inter" w:ascii="inter" w:hAnsi="inter"/>
          <w:b/>
          <w:color w:val="000000"/>
          <w:sz w:val="21"/>
        </w:rPr>
        <w:t xml:space="preserve">Critical Elements</w:t>
      </w:r>
      <w:r>
        <w:rPr>
          <w:rFonts w:eastAsia="inter" w:cs="inter" w:ascii="inter" w:hAnsi="inter"/>
          <w:color w:val="000000"/>
          <w:sz w:val="21"/>
        </w:rPr>
        <w:t xml:space="preserve">:</w:t>
      </w:r>
    </w:p>
    <w:p>
      <w:pPr>
        <w:numPr>
          <w:ilvl w:val="1"/>
          <w:numId w:val="2"/>
        </w:numPr>
        <w:spacing w:line="360" w:before="105" w:after="105" w:lineRule="auto"/>
      </w:pPr>
      <w:r>
        <w:rPr>
          <w:rFonts w:eastAsia="inter" w:cs="inter" w:ascii="inter" w:hAnsi="inter"/>
          <w:color w:val="000000"/>
          <w:sz w:val="21"/>
        </w:rPr>
        <w:t xml:space="preserve">Sheriff's failure to enforce current AHPO</w:t>
      </w:r>
    </w:p>
    <w:p>
      <w:pPr>
        <w:numPr>
          <w:ilvl w:val="1"/>
          <w:numId w:val="2"/>
        </w:numPr>
        <w:spacing w:line="360" w:before="105" w:after="105" w:lineRule="auto"/>
      </w:pPr>
      <w:r>
        <w:rPr>
          <w:rFonts w:eastAsia="inter" w:cs="inter" w:ascii="inter" w:hAnsi="inter"/>
          <w:color w:val="000000"/>
          <w:sz w:val="21"/>
        </w:rPr>
        <w:t xml:space="preserve">Documentation of each violation with dates, times, witnesses</w:t>
      </w:r>
    </w:p>
    <w:p>
      <w:pPr>
        <w:numPr>
          <w:ilvl w:val="1"/>
          <w:numId w:val="2"/>
        </w:numPr>
        <w:spacing w:line="360" w:before="105" w:after="105" w:lineRule="auto"/>
      </w:pPr>
      <w:r>
        <w:rPr>
          <w:rFonts w:eastAsia="inter" w:cs="inter" w:ascii="inter" w:hAnsi="inter"/>
          <w:color w:val="000000"/>
          <w:sz w:val="21"/>
        </w:rPr>
        <w:t xml:space="preserve">Photos, text messages, emails, voicemails</w:t>
      </w:r>
    </w:p>
    <w:p>
      <w:pPr>
        <w:numPr>
          <w:ilvl w:val="1"/>
          <w:numId w:val="2"/>
        </w:numPr>
        <w:spacing w:line="360" w:before="105" w:after="105" w:lineRule="auto"/>
      </w:pPr>
      <w:r>
        <w:rPr>
          <w:rFonts w:eastAsia="inter" w:cs="inter" w:ascii="inter" w:hAnsi="inter"/>
          <w:color w:val="000000"/>
          <w:sz w:val="21"/>
        </w:rPr>
        <w:t xml:space="preserve">Medical records (if applicable)</w:t>
      </w:r>
    </w:p>
    <w:p>
      <w:pPr>
        <w:numPr>
          <w:ilvl w:val="1"/>
          <w:numId w:val="2"/>
        </w:numPr>
        <w:spacing w:line="360" w:before="105" w:after="105" w:lineRule="auto"/>
      </w:pPr>
      <w:r>
        <w:rPr>
          <w:rFonts w:eastAsia="inter" w:cs="inter" w:ascii="inter" w:hAnsi="inter"/>
          <w:color w:val="000000"/>
          <w:sz w:val="21"/>
        </w:rPr>
        <w:t xml:space="preserve">Police reports and incident numbers</w:t>
      </w:r>
    </w:p>
    <w:p>
      <w:pPr>
        <w:spacing w:line="360" w:after="210" w:lineRule="auto"/>
      </w:pPr>
      <w:r>
        <w:rPr>
          <w:rFonts w:eastAsia="inter" w:cs="inter" w:ascii="inter" w:hAnsi="inter"/>
          <w:b/>
          <w:color w:val="000000"/>
        </w:rPr>
        <w:t xml:space="preserve">3. Law Enforcement Contact Strategy</w:t>
      </w:r>
    </w:p>
    <w:p>
      <w:pPr>
        <w:numPr>
          <w:ilvl w:val="0"/>
          <w:numId w:val="3"/>
        </w:numPr>
        <w:spacing w:line="360" w:before="105" w:after="105" w:lineRule="auto"/>
      </w:pPr>
      <w:r>
        <w:rPr>
          <w:rFonts w:eastAsia="inter" w:cs="inter" w:ascii="inter" w:hAnsi="inter"/>
          <w:b/>
          <w:color w:val="000000"/>
          <w:sz w:val="21"/>
        </w:rPr>
        <w:t xml:space="preserve">Timeline</w:t>
      </w:r>
      <w:r>
        <w:rPr>
          <w:rFonts w:eastAsia="inter" w:cs="inter" w:ascii="inter" w:hAnsi="inter"/>
          <w:color w:val="000000"/>
          <w:sz w:val="21"/>
        </w:rPr>
        <w:t xml:space="preserve">: Within 48 hours</w:t>
      </w:r>
    </w:p>
    <w:p>
      <w:pPr>
        <w:numPr>
          <w:ilvl w:val="0"/>
          <w:numId w:val="3"/>
        </w:numPr>
        <w:spacing w:line="360" w:before="105" w:after="105" w:lineRule="auto"/>
      </w:pPr>
      <w:r>
        <w:rPr>
          <w:rFonts w:eastAsia="inter" w:cs="inter" w:ascii="inter" w:hAnsi="inter"/>
          <w:b/>
          <w:color w:val="000000"/>
          <w:sz w:val="21"/>
        </w:rPr>
        <w:t xml:space="preserve">Objective</w:t>
      </w:r>
      <w:r>
        <w:rPr>
          <w:rFonts w:eastAsia="inter" w:cs="inter" w:ascii="inter" w:hAnsi="inter"/>
          <w:color w:val="000000"/>
          <w:sz w:val="21"/>
        </w:rPr>
        <w:t xml:space="preserve">: Create official record of enforcement failures</w:t>
      </w:r>
    </w:p>
    <w:p>
      <w:pPr>
        <w:numPr>
          <w:ilvl w:val="0"/>
          <w:numId w:val="3"/>
        </w:numPr>
        <w:spacing w:line="360" w:before="105" w:after="105" w:lineRule="auto"/>
      </w:pPr>
      <w:r>
        <w:rPr>
          <w:rFonts w:eastAsia="inter" w:cs="inter" w:ascii="inter" w:hAnsi="inter"/>
          <w:b/>
          <w:color w:val="000000"/>
          <w:sz w:val="21"/>
        </w:rPr>
        <w:t xml:space="preserve">Actions</w:t>
      </w:r>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File formal complaint regarding sheriff's non-enforcement</w:t>
      </w:r>
    </w:p>
    <w:p>
      <w:pPr>
        <w:numPr>
          <w:ilvl w:val="1"/>
          <w:numId w:val="3"/>
        </w:numPr>
        <w:spacing w:line="360" w:before="105" w:after="105" w:lineRule="auto"/>
      </w:pPr>
      <w:r>
        <w:rPr>
          <w:rFonts w:eastAsia="inter" w:cs="inter" w:ascii="inter" w:hAnsi="inter"/>
          <w:color w:val="000000"/>
          <w:sz w:val="21"/>
        </w:rPr>
        <w:t xml:space="preserve">Request incident reports for all AHPO violations</w:t>
      </w:r>
    </w:p>
    <w:p>
      <w:pPr>
        <w:numPr>
          <w:ilvl w:val="1"/>
          <w:numId w:val="3"/>
        </w:numPr>
        <w:spacing w:line="360" w:before="105" w:after="105" w:lineRule="auto"/>
      </w:pPr>
      <w:r>
        <w:rPr>
          <w:rFonts w:eastAsia="inter" w:cs="inter" w:ascii="inter" w:hAnsi="inter"/>
          <w:color w:val="000000"/>
          <w:sz w:val="21"/>
        </w:rPr>
        <w:t xml:space="preserve">Establish documentation trail for judicial review</w:t>
      </w:r>
    </w:p>
    <w:p>
      <w:pPr>
        <w:spacing w:line="360" w:before="315" w:after="105" w:lineRule="auto"/>
        <w:ind w:left="-30"/>
        <w:jc w:val="left"/>
      </w:pPr>
      <w:r>
        <w:rPr>
          <w:rFonts w:eastAsia="inter" w:cs="inter" w:ascii="inter" w:hAnsi="inter"/>
          <w:b/>
          <w:color w:val="000000"/>
          <w:sz w:val="24"/>
        </w:rPr>
        <w:t xml:space="preserve">Phase 2: Establish CIR Foundation (Week 1-2)</w:t>
      </w:r>
    </w:p>
    <w:p>
      <w:pPr>
        <w:spacing w:line="360" w:before="315" w:after="105" w:lineRule="auto"/>
        <w:ind w:left="-30"/>
        <w:jc w:val="left"/>
      </w:pPr>
      <w:r>
        <w:rPr>
          <w:rFonts w:eastAsia="inter" w:cs="inter" w:ascii="inter" w:hAnsi="inter"/>
          <w:b/>
          <w:color w:val="000000"/>
          <w:sz w:val="24"/>
        </w:rPr>
        <w:t xml:space="preserve">Connell v. Francisco Five-Factor Analysis</w:t>
      </w:r>
    </w:p>
    <w:p>
      <w:pPr>
        <w:spacing w:line="360" w:after="210" w:lineRule="auto"/>
      </w:pPr>
      <w:r>
        <w:rPr>
          <w:rFonts w:eastAsia="inter" w:cs="inter" w:ascii="inter" w:hAnsi="inter"/>
          <w:color w:val="000000"/>
        </w:rPr>
        <w:t xml:space="preserve">Washington courts recognize CIR based on five non-exclusive factors that must be comprehensively documented</w:t>
      </w:r>
      <w:bookmarkStart w:id="5" w:name="fnref2:1"/>
      <w:bookmarkEnd w:id="5"/>
      <w:hyperlink w:anchor="fn2">
        <w:r>
          <w:rPr>
            <w:rFonts w:eastAsia="inter" w:cs="inter" w:ascii="inter" w:hAnsi="inter"/>
            <w:color w:val="#000"/>
            <w:u w:val="single"/>
            <w:vertAlign w:val="superscript"/>
          </w:rPr>
          <w:t xml:space="preserve">[2]</w:t>
        </w:r>
      </w:hyperlink>
      <w:bookmarkStart w:id="6" w:name="fnref3:1"/>
      <w:bookmarkEnd w:id="6"/>
      <w:hyperlink w:anchor="fn3">
        <w:r>
          <w:rPr>
            <w:rFonts w:eastAsia="inter" w:cs="inter" w:ascii="inter" w:hAnsi="inter"/>
            <w:color w:val="#000"/>
            <w:u w:val="single"/>
            <w:vertAlign w:val="superscript"/>
          </w:rPr>
          <w:t xml:space="preserve">[3]</w:t>
        </w:r>
      </w:hyperlink>
      <w:bookmarkStart w:id="7" w:name="fnref6"/>
      <w:bookmarkEnd w:id="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1. Continuous Cohabitation</w:t>
      </w:r>
    </w:p>
    <w:p>
      <w:pPr>
        <w:numPr>
          <w:ilvl w:val="0"/>
          <w:numId w:val="4"/>
        </w:numPr>
        <w:spacing w:line="360" w:before="105" w:after="105" w:lineRule="auto"/>
      </w:pPr>
      <w:r>
        <w:rPr>
          <w:rFonts w:eastAsia="inter" w:cs="inter" w:ascii="inter" w:hAnsi="inter"/>
          <w:b/>
          <w:color w:val="000000"/>
          <w:sz w:val="21"/>
        </w:rPr>
        <w:t xml:space="preserve">Evidence Required</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Lease agreements or property deeds showing shared residence</w:t>
      </w:r>
    </w:p>
    <w:p>
      <w:pPr>
        <w:numPr>
          <w:ilvl w:val="1"/>
          <w:numId w:val="4"/>
        </w:numPr>
        <w:spacing w:line="360" w:before="105" w:after="105" w:lineRule="auto"/>
      </w:pPr>
      <w:r>
        <w:rPr>
          <w:rFonts w:eastAsia="inter" w:cs="inter" w:ascii="inter" w:hAnsi="inter"/>
          <w:color w:val="000000"/>
          <w:sz w:val="21"/>
        </w:rPr>
        <w:t xml:space="preserve">Utility bills in both names</w:t>
      </w:r>
    </w:p>
    <w:p>
      <w:pPr>
        <w:numPr>
          <w:ilvl w:val="1"/>
          <w:numId w:val="4"/>
        </w:numPr>
        <w:spacing w:line="360" w:before="105" w:after="105" w:lineRule="auto"/>
      </w:pPr>
      <w:r>
        <w:rPr>
          <w:rFonts w:eastAsia="inter" w:cs="inter" w:ascii="inter" w:hAnsi="inter"/>
          <w:color w:val="000000"/>
          <w:sz w:val="21"/>
        </w:rPr>
        <w:t xml:space="preserve">Mail delivery records</w:t>
      </w:r>
    </w:p>
    <w:p>
      <w:pPr>
        <w:numPr>
          <w:ilvl w:val="1"/>
          <w:numId w:val="4"/>
        </w:numPr>
        <w:spacing w:line="360" w:before="105" w:after="105" w:lineRule="auto"/>
      </w:pPr>
      <w:r>
        <w:rPr>
          <w:rFonts w:eastAsia="inter" w:cs="inter" w:ascii="inter" w:hAnsi="inter"/>
          <w:color w:val="000000"/>
          <w:sz w:val="21"/>
        </w:rPr>
        <w:t xml:space="preserve">Witness statements from neighbors, friends, family</w:t>
      </w:r>
    </w:p>
    <w:p>
      <w:pPr>
        <w:numPr>
          <w:ilvl w:val="1"/>
          <w:numId w:val="4"/>
        </w:numPr>
        <w:spacing w:line="360" w:before="105" w:after="105" w:lineRule="auto"/>
      </w:pPr>
      <w:r>
        <w:rPr>
          <w:rFonts w:eastAsia="inter" w:cs="inter" w:ascii="inter" w:hAnsi="inter"/>
          <w:color w:val="000000"/>
          <w:sz w:val="21"/>
        </w:rPr>
        <w:t xml:space="preserve">Digital evidence (shared calendars, location data)</w:t>
      </w:r>
    </w:p>
    <w:p>
      <w:pPr>
        <w:spacing w:line="360" w:after="210" w:lineRule="auto"/>
      </w:pPr>
      <w:r>
        <w:rPr>
          <w:rFonts w:eastAsia="inter" w:cs="inter" w:ascii="inter" w:hAnsi="inter"/>
          <w:b/>
          <w:color w:val="000000"/>
        </w:rPr>
        <w:t xml:space="preserve">2. Duration of Relationship</w:t>
      </w:r>
    </w:p>
    <w:p>
      <w:pPr>
        <w:numPr>
          <w:ilvl w:val="0"/>
          <w:numId w:val="5"/>
        </w:numPr>
        <w:spacing w:line="360" w:before="105" w:after="105" w:lineRule="auto"/>
      </w:pPr>
      <w:r>
        <w:rPr>
          <w:rFonts w:eastAsia="inter" w:cs="inter" w:ascii="inter" w:hAnsi="inter"/>
          <w:b/>
          <w:color w:val="000000"/>
          <w:sz w:val="21"/>
        </w:rPr>
        <w:t xml:space="preserve">Documentation Strategy</w:t>
      </w:r>
      <w:r>
        <w:rPr>
          <w:rFonts w:eastAsia="inter" w:cs="inter" w:ascii="inter" w:hAnsi="inter"/>
          <w:color w:val="000000"/>
          <w:sz w:val="21"/>
        </w:rPr>
        <w:t xml:space="preserve">:</w:t>
      </w:r>
    </w:p>
    <w:p>
      <w:pPr>
        <w:numPr>
          <w:ilvl w:val="1"/>
          <w:numId w:val="5"/>
        </w:numPr>
        <w:spacing w:line="360" w:before="105" w:after="105" w:lineRule="auto"/>
      </w:pPr>
      <w:r>
        <w:rPr>
          <w:rFonts w:eastAsia="inter" w:cs="inter" w:ascii="inter" w:hAnsi="inter"/>
          <w:color w:val="000000"/>
          <w:sz w:val="21"/>
        </w:rPr>
        <w:t xml:space="preserve">Timeline of relationship milestones</w:t>
      </w:r>
    </w:p>
    <w:p>
      <w:pPr>
        <w:numPr>
          <w:ilvl w:val="1"/>
          <w:numId w:val="5"/>
        </w:numPr>
        <w:spacing w:line="360" w:before="105" w:after="105" w:lineRule="auto"/>
      </w:pPr>
      <w:r>
        <w:rPr>
          <w:rFonts w:eastAsia="inter" w:cs="inter" w:ascii="inter" w:hAnsi="inter"/>
          <w:color w:val="000000"/>
          <w:sz w:val="21"/>
        </w:rPr>
        <w:t xml:space="preserve">Joint travel records and receipts</w:t>
      </w:r>
    </w:p>
    <w:p>
      <w:pPr>
        <w:numPr>
          <w:ilvl w:val="1"/>
          <w:numId w:val="5"/>
        </w:numPr>
        <w:spacing w:line="360" w:before="105" w:after="105" w:lineRule="auto"/>
      </w:pPr>
      <w:r>
        <w:rPr>
          <w:rFonts w:eastAsia="inter" w:cs="inter" w:ascii="inter" w:hAnsi="inter"/>
          <w:color w:val="000000"/>
          <w:sz w:val="21"/>
        </w:rPr>
        <w:t xml:space="preserve">Anniversary celebrations and gifts</w:t>
      </w:r>
    </w:p>
    <w:p>
      <w:pPr>
        <w:numPr>
          <w:ilvl w:val="1"/>
          <w:numId w:val="5"/>
        </w:numPr>
        <w:spacing w:line="360" w:before="105" w:after="105" w:lineRule="auto"/>
      </w:pPr>
      <w:r>
        <w:rPr>
          <w:rFonts w:eastAsia="inter" w:cs="inter" w:ascii="inter" w:hAnsi="inter"/>
          <w:color w:val="000000"/>
          <w:sz w:val="21"/>
        </w:rPr>
        <w:t xml:space="preserve">Social media history showing relationship progression</w:t>
      </w:r>
    </w:p>
    <w:p>
      <w:pPr>
        <w:spacing w:line="360" w:after="210" w:lineRule="auto"/>
      </w:pPr>
      <w:r>
        <w:rPr>
          <w:rFonts w:eastAsia="inter" w:cs="inter" w:ascii="inter" w:hAnsi="inter"/>
          <w:b/>
          <w:color w:val="000000"/>
        </w:rPr>
        <w:t xml:space="preserve">3. Purpose of Relationship</w:t>
      </w:r>
    </w:p>
    <w:p>
      <w:pPr>
        <w:numPr>
          <w:ilvl w:val="0"/>
          <w:numId w:val="6"/>
        </w:numPr>
        <w:spacing w:line="360" w:before="105" w:after="105" w:lineRule="auto"/>
      </w:pPr>
      <w:r>
        <w:rPr>
          <w:rFonts w:eastAsia="inter" w:cs="inter" w:ascii="inter" w:hAnsi="inter"/>
          <w:b/>
          <w:color w:val="000000"/>
          <w:sz w:val="21"/>
        </w:rPr>
        <w:t xml:space="preserve">Key Elements</w:t>
      </w:r>
      <w:r>
        <w:rPr>
          <w:rFonts w:eastAsia="inter" w:cs="inter" w:ascii="inter" w:hAnsi="inter"/>
          <w:color w:val="000000"/>
          <w:sz w:val="21"/>
        </w:rPr>
        <w:t xml:space="preserve">:</w:t>
      </w:r>
    </w:p>
    <w:p>
      <w:pPr>
        <w:numPr>
          <w:ilvl w:val="1"/>
          <w:numId w:val="6"/>
        </w:numPr>
        <w:spacing w:line="360" w:before="105" w:after="105" w:lineRule="auto"/>
      </w:pPr>
      <w:r>
        <w:rPr>
          <w:rFonts w:eastAsia="inter" w:cs="inter" w:ascii="inter" w:hAnsi="inter"/>
          <w:color w:val="000000"/>
          <w:sz w:val="21"/>
        </w:rPr>
        <w:t xml:space="preserve">Evidence of mutual commitment and exclusivity</w:t>
      </w:r>
    </w:p>
    <w:p>
      <w:pPr>
        <w:numPr>
          <w:ilvl w:val="1"/>
          <w:numId w:val="6"/>
        </w:numPr>
        <w:spacing w:line="360" w:before="105" w:after="105" w:lineRule="auto"/>
      </w:pPr>
      <w:r>
        <w:rPr>
          <w:rFonts w:eastAsia="inter" w:cs="inter" w:ascii="inter" w:hAnsi="inter"/>
          <w:color w:val="000000"/>
          <w:sz w:val="21"/>
        </w:rPr>
        <w:t xml:space="preserve">Long-term planning documents (wills, beneficiary designations)</w:t>
      </w:r>
    </w:p>
    <w:p>
      <w:pPr>
        <w:numPr>
          <w:ilvl w:val="1"/>
          <w:numId w:val="6"/>
        </w:numPr>
        <w:spacing w:line="360" w:before="105" w:after="105" w:lineRule="auto"/>
      </w:pPr>
      <w:r>
        <w:rPr>
          <w:rFonts w:eastAsia="inter" w:cs="inter" w:ascii="inter" w:hAnsi="inter"/>
          <w:color w:val="000000"/>
          <w:sz w:val="21"/>
        </w:rPr>
        <w:t xml:space="preserve">Joint healthcare decisions and emergency contacts</w:t>
      </w:r>
    </w:p>
    <w:p>
      <w:pPr>
        <w:numPr>
          <w:ilvl w:val="1"/>
          <w:numId w:val="6"/>
        </w:numPr>
        <w:spacing w:line="360" w:before="105" w:after="105" w:lineRule="auto"/>
      </w:pPr>
      <w:r>
        <w:rPr>
          <w:rFonts w:eastAsia="inter" w:cs="inter" w:ascii="inter" w:hAnsi="inter"/>
          <w:color w:val="000000"/>
          <w:sz w:val="21"/>
        </w:rPr>
        <w:t xml:space="preserve">Evidence of presenting as committed partners to others</w:t>
      </w:r>
    </w:p>
    <w:p>
      <w:pPr>
        <w:spacing w:line="360" w:after="210" w:lineRule="auto"/>
      </w:pPr>
      <w:r>
        <w:rPr>
          <w:rFonts w:eastAsia="inter" w:cs="inter" w:ascii="inter" w:hAnsi="inter"/>
          <w:b/>
          <w:color w:val="000000"/>
        </w:rPr>
        <w:t xml:space="preserve">4. Pooling of Resources</w:t>
      </w:r>
    </w:p>
    <w:p>
      <w:pPr>
        <w:numPr>
          <w:ilvl w:val="0"/>
          <w:numId w:val="7"/>
        </w:numPr>
        <w:spacing w:line="360" w:before="105" w:after="105" w:lineRule="auto"/>
      </w:pPr>
      <w:r>
        <w:rPr>
          <w:rFonts w:eastAsia="inter" w:cs="inter" w:ascii="inter" w:hAnsi="inter"/>
          <w:b/>
          <w:color w:val="000000"/>
          <w:sz w:val="21"/>
        </w:rPr>
        <w:t xml:space="preserve">Financial Documentation</w:t>
      </w:r>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color w:val="000000"/>
          <w:sz w:val="21"/>
        </w:rPr>
        <w:t xml:space="preserve">Joint bank accounts and credit cards</w:t>
      </w:r>
    </w:p>
    <w:p>
      <w:pPr>
        <w:numPr>
          <w:ilvl w:val="1"/>
          <w:numId w:val="7"/>
        </w:numPr>
        <w:spacing w:line="360" w:before="105" w:after="105" w:lineRule="auto"/>
      </w:pPr>
      <w:r>
        <w:rPr>
          <w:rFonts w:eastAsia="inter" w:cs="inter" w:ascii="inter" w:hAnsi="inter"/>
          <w:color w:val="000000"/>
          <w:sz w:val="21"/>
        </w:rPr>
        <w:t xml:space="preserve">Shared investments and retirement accounts</w:t>
      </w:r>
    </w:p>
    <w:p>
      <w:pPr>
        <w:numPr>
          <w:ilvl w:val="1"/>
          <w:numId w:val="7"/>
        </w:numPr>
        <w:spacing w:line="360" w:before="105" w:after="105" w:lineRule="auto"/>
      </w:pPr>
      <w:r>
        <w:rPr>
          <w:rFonts w:eastAsia="inter" w:cs="inter" w:ascii="inter" w:hAnsi="inter"/>
          <w:color w:val="000000"/>
          <w:sz w:val="21"/>
        </w:rPr>
        <w:t xml:space="preserve">Joint purchases of major assets</w:t>
      </w:r>
    </w:p>
    <w:p>
      <w:pPr>
        <w:numPr>
          <w:ilvl w:val="1"/>
          <w:numId w:val="7"/>
        </w:numPr>
        <w:spacing w:line="360" w:before="105" w:after="105" w:lineRule="auto"/>
      </w:pPr>
      <w:r>
        <w:rPr>
          <w:rFonts w:eastAsia="inter" w:cs="inter" w:ascii="inter" w:hAnsi="inter"/>
          <w:color w:val="000000"/>
          <w:sz w:val="21"/>
        </w:rPr>
        <w:t xml:space="preserve">Tax returns filed jointly or showing financial interdependence</w:t>
      </w:r>
    </w:p>
    <w:p>
      <w:pPr>
        <w:numPr>
          <w:ilvl w:val="1"/>
          <w:numId w:val="7"/>
        </w:numPr>
        <w:spacing w:line="360" w:before="105" w:after="105" w:lineRule="auto"/>
      </w:pPr>
      <w:r>
        <w:rPr>
          <w:rFonts w:eastAsia="inter" w:cs="inter" w:ascii="inter" w:hAnsi="inter"/>
          <w:color w:val="000000"/>
          <w:sz w:val="21"/>
        </w:rPr>
        <w:t xml:space="preserve">Insurance policies with each other as beneficiaries</w:t>
      </w:r>
    </w:p>
    <w:p>
      <w:pPr>
        <w:spacing w:line="360" w:after="210" w:lineRule="auto"/>
      </w:pPr>
      <w:r>
        <w:rPr>
          <w:rFonts w:eastAsia="inter" w:cs="inter" w:ascii="inter" w:hAnsi="inter"/>
          <w:b/>
          <w:color w:val="000000"/>
        </w:rPr>
        <w:t xml:space="preserve">5. Intent of Parties</w:t>
      </w:r>
    </w:p>
    <w:p>
      <w:pPr>
        <w:numPr>
          <w:ilvl w:val="0"/>
          <w:numId w:val="8"/>
        </w:numPr>
        <w:spacing w:line="360" w:before="105" w:after="105" w:lineRule="auto"/>
      </w:pPr>
      <w:r>
        <w:rPr>
          <w:rFonts w:eastAsia="inter" w:cs="inter" w:ascii="inter" w:hAnsi="inter"/>
          <w:b/>
          <w:color w:val="000000"/>
          <w:sz w:val="21"/>
        </w:rPr>
        <w:t xml:space="preserve">Proof Requirements</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Written communications expressing commitment</w:t>
      </w:r>
    </w:p>
    <w:p>
      <w:pPr>
        <w:numPr>
          <w:ilvl w:val="1"/>
          <w:numId w:val="8"/>
        </w:numPr>
        <w:spacing w:line="360" w:before="105" w:after="105" w:lineRule="auto"/>
      </w:pPr>
      <w:r>
        <w:rPr>
          <w:rFonts w:eastAsia="inter" w:cs="inter" w:ascii="inter" w:hAnsi="inter"/>
          <w:color w:val="000000"/>
          <w:sz w:val="21"/>
        </w:rPr>
        <w:t xml:space="preserve">Evidence of mutual support during difficult times</w:t>
      </w:r>
    </w:p>
    <w:p>
      <w:pPr>
        <w:numPr>
          <w:ilvl w:val="1"/>
          <w:numId w:val="8"/>
        </w:numPr>
        <w:spacing w:line="360" w:before="105" w:after="105" w:lineRule="auto"/>
      </w:pPr>
      <w:r>
        <w:rPr>
          <w:rFonts w:eastAsia="inter" w:cs="inter" w:ascii="inter" w:hAnsi="inter"/>
          <w:color w:val="000000"/>
          <w:sz w:val="21"/>
        </w:rPr>
        <w:t xml:space="preserve">Joint decision-making on major life choices</w:t>
      </w:r>
    </w:p>
    <w:p>
      <w:pPr>
        <w:numPr>
          <w:ilvl w:val="1"/>
          <w:numId w:val="8"/>
        </w:numPr>
        <w:spacing w:line="360" w:before="105" w:after="105" w:lineRule="auto"/>
      </w:pPr>
      <w:r>
        <w:rPr>
          <w:rFonts w:eastAsia="inter" w:cs="inter" w:ascii="inter" w:hAnsi="inter"/>
          <w:color w:val="000000"/>
          <w:sz w:val="21"/>
        </w:rPr>
        <w:t xml:space="preserve">Evidence of exclusive romantic relationship</w:t>
      </w:r>
    </w:p>
    <w:p>
      <w:pPr>
        <w:spacing w:line="360" w:before="315" w:after="105" w:lineRule="auto"/>
        <w:ind w:left="-30"/>
        <w:jc w:val="left"/>
      </w:pPr>
      <w:r>
        <w:rPr>
          <w:rFonts w:eastAsia="inter" w:cs="inter" w:ascii="inter" w:hAnsi="inter"/>
          <w:b/>
          <w:color w:val="000000"/>
          <w:sz w:val="24"/>
        </w:rPr>
        <w:t xml:space="preserve">Phase 3: Protection Order Strategy (Week 2-3)</w:t>
      </w:r>
    </w:p>
    <w:p>
      <w:pPr>
        <w:spacing w:line="360" w:before="315" w:after="105" w:lineRule="auto"/>
        <w:ind w:left="-30"/>
        <w:jc w:val="left"/>
      </w:pPr>
      <w:r>
        <w:rPr>
          <w:rFonts w:eastAsia="inter" w:cs="inter" w:ascii="inter" w:hAnsi="inter"/>
          <w:b/>
          <w:color w:val="000000"/>
          <w:sz w:val="24"/>
        </w:rPr>
        <w:t xml:space="preserve">New Family Law Case Filing</w:t>
      </w:r>
    </w:p>
    <w:p>
      <w:pPr>
        <w:spacing w:line="360" w:after="210" w:lineRule="auto"/>
      </w:pPr>
      <w:r>
        <w:rPr>
          <w:rFonts w:eastAsia="inter" w:cs="inter" w:ascii="inter" w:hAnsi="inter"/>
          <w:b/>
          <w:color w:val="000000"/>
        </w:rPr>
        <w:t xml:space="preserve">Strategic Advantage</w:t>
      </w:r>
      <w:r>
        <w:rPr>
          <w:rFonts w:eastAsia="inter" w:cs="inter" w:ascii="inter" w:hAnsi="inter"/>
          <w:color w:val="000000"/>
        </w:rPr>
        <w:t xml:space="preserve">: Fresh jurisdiction provides broader relief options and higher success rates compared to modifying existing orders</w:t>
      </w:r>
      <w:bookmarkStart w:id="8" w:name="fnref7"/>
      <w:bookmarkEnd w:id="8"/>
      <w:hyperlink w:anchor="fn7">
        <w:r>
          <w:rPr>
            <w:rFonts w:eastAsia="inter" w:cs="inter" w:ascii="inter" w:hAnsi="inter"/>
            <w:color w:val="#000"/>
            <w:u w:val="single"/>
            <w:vertAlign w:val="superscript"/>
          </w:rPr>
          <w:t xml:space="preserve">[7]</w:t>
        </w:r>
      </w:hyperlink>
      <w:bookmarkStart w:id="9" w:name="fnref8"/>
      <w:bookmarkEnd w:id="9"/>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1. Case Initiation</w:t>
      </w:r>
    </w:p>
    <w:p>
      <w:pPr>
        <w:numPr>
          <w:ilvl w:val="0"/>
          <w:numId w:val="9"/>
        </w:numPr>
        <w:spacing w:line="360" w:before="105" w:after="105" w:lineRule="auto"/>
      </w:pPr>
      <w:r>
        <w:rPr>
          <w:rFonts w:eastAsia="inter" w:cs="inter" w:ascii="inter" w:hAnsi="inter"/>
          <w:b/>
          <w:color w:val="000000"/>
          <w:sz w:val="21"/>
        </w:rPr>
        <w:t xml:space="preserve">Form</w:t>
      </w:r>
      <w:r>
        <w:rPr>
          <w:rFonts w:eastAsia="inter" w:cs="inter" w:ascii="inter" w:hAnsi="inter"/>
          <w:color w:val="000000"/>
          <w:sz w:val="21"/>
        </w:rPr>
        <w:t xml:space="preserve">: Case Information Cover Sheet - Family Law (Snohomish County)</w:t>
      </w:r>
    </w:p>
    <w:p>
      <w:pPr>
        <w:numPr>
          <w:ilvl w:val="0"/>
          <w:numId w:val="9"/>
        </w:numPr>
        <w:spacing w:line="360" w:before="105" w:after="105" w:lineRule="auto"/>
      </w:pPr>
      <w:r>
        <w:rPr>
          <w:rFonts w:eastAsia="inter" w:cs="inter" w:ascii="inter" w:hAnsi="inter"/>
          <w:b/>
          <w:color w:val="000000"/>
          <w:sz w:val="21"/>
        </w:rPr>
        <w:t xml:space="preserve">Jurisdiction Basis</w:t>
      </w:r>
      <w:r>
        <w:rPr>
          <w:rFonts w:eastAsia="inter" w:cs="inter" w:ascii="inter" w:hAnsi="inter"/>
          <w:color w:val="000000"/>
          <w:sz w:val="21"/>
        </w:rPr>
        <w:t xml:space="preserve">: RCW 26.27.201 (home state jurisdiction)</w:t>
      </w:r>
    </w:p>
    <w:p>
      <w:pPr>
        <w:numPr>
          <w:ilvl w:val="0"/>
          <w:numId w:val="9"/>
        </w:numPr>
        <w:spacing w:line="360" w:before="105" w:after="105" w:lineRule="auto"/>
      </w:pPr>
      <w:r>
        <w:rPr>
          <w:rFonts w:eastAsia="inter" w:cs="inter" w:ascii="inter" w:hAnsi="inter"/>
          <w:b/>
          <w:color w:val="000000"/>
          <w:sz w:val="21"/>
        </w:rPr>
        <w:t xml:space="preserve">Case Type</w:t>
      </w:r>
      <w:r>
        <w:rPr>
          <w:rFonts w:eastAsia="inter" w:cs="inter" w:ascii="inter" w:hAnsi="inter"/>
          <w:color w:val="000000"/>
          <w:sz w:val="21"/>
        </w:rPr>
        <w:t xml:space="preserve">: Dissolution of Committed Intimate Relationship</w:t>
      </w:r>
    </w:p>
    <w:p>
      <w:pPr>
        <w:spacing w:line="360" w:after="210" w:lineRule="auto"/>
      </w:pPr>
      <w:r>
        <w:rPr>
          <w:rFonts w:eastAsia="inter" w:cs="inter" w:ascii="inter" w:hAnsi="inter"/>
          <w:b/>
          <w:color w:val="000000"/>
        </w:rPr>
        <w:t xml:space="preserve">2. Emergency Temporary Orders</w:t>
      </w:r>
    </w:p>
    <w:p>
      <w:pPr>
        <w:numPr>
          <w:ilvl w:val="0"/>
          <w:numId w:val="10"/>
        </w:numPr>
        <w:spacing w:line="360" w:before="105" w:after="105" w:lineRule="auto"/>
      </w:pPr>
      <w:r>
        <w:rPr>
          <w:rFonts w:eastAsia="inter" w:cs="inter" w:ascii="inter" w:hAnsi="inter"/>
          <w:b/>
          <w:color w:val="000000"/>
          <w:sz w:val="21"/>
        </w:rPr>
        <w:t xml:space="preserve">Legal Authority</w:t>
      </w:r>
      <w:r>
        <w:rPr>
          <w:rFonts w:eastAsia="inter" w:cs="inter" w:ascii="inter" w:hAnsi="inter"/>
          <w:color w:val="000000"/>
          <w:sz w:val="21"/>
        </w:rPr>
        <w:t xml:space="preserve">: RCW 26.27.231 (Temporary Emergency Jurisdiction)</w:t>
      </w:r>
    </w:p>
    <w:p>
      <w:pPr>
        <w:numPr>
          <w:ilvl w:val="0"/>
          <w:numId w:val="10"/>
        </w:numPr>
        <w:spacing w:line="360" w:before="105" w:after="105" w:lineRule="auto"/>
      </w:pPr>
      <w:r>
        <w:rPr>
          <w:rFonts w:eastAsia="inter" w:cs="inter" w:ascii="inter" w:hAnsi="inter"/>
          <w:b/>
          <w:color w:val="000000"/>
          <w:sz w:val="21"/>
        </w:rPr>
        <w:t xml:space="preserve">Relief Sought</w:t>
      </w:r>
      <w:r>
        <w:rPr>
          <w:rFonts w:eastAsia="inter" w:cs="inter" w:ascii="inter" w:hAnsi="inter"/>
          <w:color w:val="000000"/>
          <w:sz w:val="21"/>
        </w:rPr>
        <w:t xml:space="preserve">:</w:t>
      </w:r>
    </w:p>
    <w:p>
      <w:pPr>
        <w:numPr>
          <w:ilvl w:val="1"/>
          <w:numId w:val="10"/>
        </w:numPr>
        <w:spacing w:line="360" w:before="105" w:after="105" w:lineRule="auto"/>
      </w:pPr>
      <w:r>
        <w:rPr>
          <w:rFonts w:eastAsia="inter" w:cs="inter" w:ascii="inter" w:hAnsi="inter"/>
          <w:color w:val="000000"/>
          <w:sz w:val="21"/>
        </w:rPr>
        <w:t xml:space="preserve">Exclusive use of shared residence</w:t>
      </w:r>
    </w:p>
    <w:p>
      <w:pPr>
        <w:numPr>
          <w:ilvl w:val="1"/>
          <w:numId w:val="10"/>
        </w:numPr>
        <w:spacing w:line="360" w:before="105" w:after="105" w:lineRule="auto"/>
      </w:pPr>
      <w:r>
        <w:rPr>
          <w:rFonts w:eastAsia="inter" w:cs="inter" w:ascii="inter" w:hAnsi="inter"/>
          <w:color w:val="000000"/>
          <w:sz w:val="21"/>
        </w:rPr>
        <w:t xml:space="preserve">Temporary custody arrangements (if children involved)</w:t>
      </w:r>
    </w:p>
    <w:p>
      <w:pPr>
        <w:numPr>
          <w:ilvl w:val="1"/>
          <w:numId w:val="10"/>
        </w:numPr>
        <w:spacing w:line="360" w:before="105" w:after="105" w:lineRule="auto"/>
      </w:pPr>
      <w:r>
        <w:rPr>
          <w:rFonts w:eastAsia="inter" w:cs="inter" w:ascii="inter" w:hAnsi="inter"/>
          <w:color w:val="000000"/>
          <w:sz w:val="21"/>
        </w:rPr>
        <w:t xml:space="preserve">Temporary support orders</w:t>
      </w:r>
    </w:p>
    <w:p>
      <w:pPr>
        <w:numPr>
          <w:ilvl w:val="1"/>
          <w:numId w:val="10"/>
        </w:numPr>
        <w:spacing w:line="360" w:before="105" w:after="105" w:lineRule="auto"/>
      </w:pPr>
      <w:r>
        <w:rPr>
          <w:rFonts w:eastAsia="inter" w:cs="inter" w:ascii="inter" w:hAnsi="inter"/>
          <w:color w:val="000000"/>
          <w:sz w:val="21"/>
        </w:rPr>
        <w:t xml:space="preserve">Protection from further abuse and harassment</w:t>
      </w:r>
    </w:p>
    <w:p>
      <w:pPr>
        <w:spacing w:line="360" w:after="210" w:lineRule="auto"/>
      </w:pPr>
      <w:r>
        <w:rPr>
          <w:rFonts w:eastAsia="inter" w:cs="inter" w:ascii="inter" w:hAnsi="inter"/>
          <w:b/>
          <w:color w:val="000000"/>
        </w:rPr>
        <w:t xml:space="preserve">3. Comprehensive Protection Order Petition</w:t>
      </w:r>
    </w:p>
    <w:p>
      <w:pPr>
        <w:numPr>
          <w:ilvl w:val="0"/>
          <w:numId w:val="11"/>
        </w:numPr>
        <w:spacing w:line="360" w:before="105" w:after="105" w:lineRule="auto"/>
      </w:pPr>
      <w:r>
        <w:rPr>
          <w:rFonts w:eastAsia="inter" w:cs="inter" w:ascii="inter" w:hAnsi="inter"/>
          <w:b/>
          <w:color w:val="000000"/>
          <w:sz w:val="21"/>
        </w:rPr>
        <w:t xml:space="preserve">Enhanced Scope</w:t>
      </w:r>
      <w:r>
        <w:rPr>
          <w:rFonts w:eastAsia="inter" w:cs="inter" w:ascii="inter" w:hAnsi="inter"/>
          <w:color w:val="000000"/>
          <w:sz w:val="21"/>
        </w:rPr>
        <w:t xml:space="preserve">: Domestic Violence Protection Order provides broader relief than AHPO</w:t>
      </w:r>
    </w:p>
    <w:p>
      <w:pPr>
        <w:numPr>
          <w:ilvl w:val="0"/>
          <w:numId w:val="11"/>
        </w:numPr>
        <w:spacing w:line="360" w:before="105" w:after="105" w:lineRule="auto"/>
      </w:pPr>
      <w:r>
        <w:rPr>
          <w:rFonts w:eastAsia="inter" w:cs="inter" w:ascii="inter" w:hAnsi="inter"/>
          <w:b/>
          <w:color w:val="000000"/>
          <w:sz w:val="21"/>
        </w:rPr>
        <w:t xml:space="preserve">Duration</w:t>
      </w:r>
      <w:r>
        <w:rPr>
          <w:rFonts w:eastAsia="inter" w:cs="inter" w:ascii="inter" w:hAnsi="inter"/>
          <w:color w:val="000000"/>
          <w:sz w:val="21"/>
        </w:rPr>
        <w:t xml:space="preserve">: Up to one year (renewable)</w:t>
      </w:r>
    </w:p>
    <w:p>
      <w:pPr>
        <w:numPr>
          <w:ilvl w:val="0"/>
          <w:numId w:val="11"/>
        </w:numPr>
        <w:spacing w:line="360" w:before="105" w:after="105" w:lineRule="auto"/>
      </w:pPr>
      <w:r>
        <w:rPr>
          <w:rFonts w:eastAsia="inter" w:cs="inter" w:ascii="inter" w:hAnsi="inter"/>
          <w:b/>
          <w:color w:val="000000"/>
          <w:sz w:val="21"/>
        </w:rPr>
        <w:t xml:space="preserve">Additional Protections</w:t>
      </w:r>
      <w:r>
        <w:rPr>
          <w:rFonts w:eastAsia="inter" w:cs="inter" w:ascii="inter" w:hAnsi="inter"/>
          <w:color w:val="000000"/>
          <w:sz w:val="21"/>
        </w:rPr>
        <w:t xml:space="preserve">:</w:t>
      </w:r>
    </w:p>
    <w:p>
      <w:pPr>
        <w:numPr>
          <w:ilvl w:val="1"/>
          <w:numId w:val="11"/>
        </w:numPr>
        <w:spacing w:line="360" w:before="105" w:after="105" w:lineRule="auto"/>
      </w:pPr>
      <w:r>
        <w:rPr>
          <w:rFonts w:eastAsia="inter" w:cs="inter" w:ascii="inter" w:hAnsi="inter"/>
          <w:color w:val="000000"/>
          <w:sz w:val="21"/>
        </w:rPr>
        <w:t xml:space="preserve">Workplace and school exclusion zones</w:t>
      </w:r>
    </w:p>
    <w:p>
      <w:pPr>
        <w:numPr>
          <w:ilvl w:val="1"/>
          <w:numId w:val="11"/>
        </w:numPr>
        <w:spacing w:line="360" w:before="105" w:after="105" w:lineRule="auto"/>
      </w:pPr>
      <w:r>
        <w:rPr>
          <w:rFonts w:eastAsia="inter" w:cs="inter" w:ascii="inter" w:hAnsi="inter"/>
          <w:color w:val="000000"/>
          <w:sz w:val="21"/>
        </w:rPr>
        <w:t xml:space="preserve">Pet protection provisions</w:t>
      </w:r>
    </w:p>
    <w:p>
      <w:pPr>
        <w:numPr>
          <w:ilvl w:val="1"/>
          <w:numId w:val="11"/>
        </w:numPr>
        <w:spacing w:line="360" w:before="105" w:after="105" w:lineRule="auto"/>
      </w:pPr>
      <w:r>
        <w:rPr>
          <w:rFonts w:eastAsia="inter" w:cs="inter" w:ascii="inter" w:hAnsi="inter"/>
          <w:color w:val="000000"/>
          <w:sz w:val="21"/>
        </w:rPr>
        <w:t xml:space="preserve">Financial account restrictions</w:t>
      </w:r>
    </w:p>
    <w:p>
      <w:pPr>
        <w:spacing w:line="360" w:after="0" w:lineRule="auto"/>
        <w:jc w:val="center"/>
      </w:pPr>
      <w:r>
        <w:rPr>
          <w:rFonts w:eastAsia="inter" w:cs="inter" w:ascii="inter" w:hAnsi="inter"/>
          <w:color w:val="000000"/>
        </w:rPr>
        <w:drawing>
          <wp:inline distB="0" distL="0" distR="0" distT="0">
            <wp:extent cx="6038850" cy="4025900"/>
            <wp:effectExtent b="0" l="0" r="0" t="0"/>
            <wp:docPr id="3" name="image-0c7e4c509e87bd8edc3fa876a4be17da3f519f01.png"/>
            <a:graphic>
              <a:graphicData uri="http://schemas.openxmlformats.org/drawingml/2006/picture">
                <pic:pic>
                  <pic:nvPicPr>
                    <pic:cNvPr id="3" name="image-0c7e4c509e87bd8edc3fa876a4be17da3f519f01.png" descr=""/>
                    <pic:cNvPicPr/>
                  </pic:nvPicPr>
                  <pic:blipFill>
                    <a:blip r:embed="rId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Comparative success rates of available legal tools for CIR cases and protection orders in Washington state courts</w:t>
      </w:r>
    </w:p>
    <w:p>
      <w:pPr>
        <w:spacing w:line="360" w:before="315" w:after="105" w:lineRule="auto"/>
        <w:ind w:left="-30"/>
        <w:jc w:val="left"/>
      </w:pPr>
      <w:r>
        <w:rPr>
          <w:rFonts w:eastAsia="inter" w:cs="inter" w:ascii="inter" w:hAnsi="inter"/>
          <w:b/>
          <w:color w:val="000000"/>
          <w:sz w:val="24"/>
        </w:rPr>
        <w:t xml:space="preserve">Phase 4: Court Preparation and Gender Considerations</w:t>
      </w:r>
    </w:p>
    <w:p>
      <w:pPr>
        <w:spacing w:line="360" w:before="315" w:after="105" w:lineRule="auto"/>
        <w:ind w:left="-30"/>
        <w:jc w:val="left"/>
      </w:pPr>
      <w:r>
        <w:rPr>
          <w:rFonts w:eastAsia="inter" w:cs="inter" w:ascii="inter" w:hAnsi="inter"/>
          <w:b/>
          <w:color w:val="000000"/>
          <w:sz w:val="24"/>
        </w:rPr>
        <w:t xml:space="preserve">Female Judge Strategy</w:t>
      </w:r>
    </w:p>
    <w:p>
      <w:pPr>
        <w:spacing w:line="360" w:after="210" w:lineRule="auto"/>
      </w:pPr>
      <w:r>
        <w:rPr>
          <w:rFonts w:eastAsia="inter" w:cs="inter" w:ascii="inter" w:hAnsi="inter"/>
          <w:color w:val="000000"/>
        </w:rPr>
        <w:t xml:space="preserve">Research indicates specific considerations when appearing before female judges in domestic violence cases</w:t>
      </w:r>
      <w:bookmarkStart w:id="10" w:name="fnref9"/>
      <w:bookmarkEnd w:id="10"/>
      <w:hyperlink w:anchor="fn9">
        <w:r>
          <w:rPr>
            <w:rFonts w:eastAsia="inter" w:cs="inter" w:ascii="inter" w:hAnsi="inter"/>
            <w:color w:val="#000"/>
            <w:u w:val="single"/>
            <w:vertAlign w:val="superscript"/>
          </w:rPr>
          <w:t xml:space="preserve">[9]</w:t>
        </w:r>
      </w:hyperlink>
      <w:bookmarkStart w:id="11" w:name="fnref4:1"/>
      <w:bookmarkEnd w:id="11"/>
      <w:hyperlink w:anchor="fn4">
        <w:r>
          <w:rPr>
            <w:rFonts w:eastAsia="inter" w:cs="inter" w:ascii="inter" w:hAnsi="inter"/>
            <w:color w:val="#000"/>
            <w:u w:val="single"/>
            <w:vertAlign w:val="superscript"/>
          </w:rPr>
          <w:t xml:space="preserve">[4]</w:t>
        </w:r>
      </w:hyperlink>
      <w:bookmarkStart w:id="12" w:name="fnref5:1"/>
      <w:bookmarkEnd w:id="12"/>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1. Credibility Enhancement</w:t>
      </w:r>
    </w:p>
    <w:p>
      <w:pPr>
        <w:numPr>
          <w:ilvl w:val="0"/>
          <w:numId w:val="12"/>
        </w:numPr>
        <w:spacing w:line="360" w:before="105" w:after="105" w:lineRule="auto"/>
      </w:pPr>
      <w:r>
        <w:rPr>
          <w:rFonts w:eastAsia="inter" w:cs="inter" w:ascii="inter" w:hAnsi="inter"/>
          <w:b/>
          <w:color w:val="000000"/>
          <w:sz w:val="21"/>
        </w:rPr>
        <w:t xml:space="preserve">Documentation Focus</w:t>
      </w:r>
      <w:r>
        <w:rPr>
          <w:rFonts w:eastAsia="inter" w:cs="inter" w:ascii="inter" w:hAnsi="inter"/>
          <w:color w:val="000000"/>
          <w:sz w:val="21"/>
        </w:rPr>
        <w:t xml:space="preserve">: Comprehensive evidence packages reduce reliance on verbal testimony</w:t>
      </w:r>
    </w:p>
    <w:p>
      <w:pPr>
        <w:numPr>
          <w:ilvl w:val="0"/>
          <w:numId w:val="12"/>
        </w:numPr>
        <w:spacing w:line="360" w:before="105" w:after="105" w:lineRule="auto"/>
      </w:pPr>
      <w:r>
        <w:rPr>
          <w:rFonts w:eastAsia="inter" w:cs="inter" w:ascii="inter" w:hAnsi="inter"/>
          <w:b/>
          <w:color w:val="000000"/>
          <w:sz w:val="21"/>
        </w:rPr>
        <w:t xml:space="preserve">Professional Presentation</w:t>
      </w:r>
      <w:r>
        <w:rPr>
          <w:rFonts w:eastAsia="inter" w:cs="inter" w:ascii="inter" w:hAnsi="inter"/>
          <w:color w:val="000000"/>
          <w:sz w:val="21"/>
        </w:rPr>
        <w:t xml:space="preserve">: Organized exhibits with clear timelines</w:t>
      </w:r>
    </w:p>
    <w:p>
      <w:pPr>
        <w:numPr>
          <w:ilvl w:val="0"/>
          <w:numId w:val="12"/>
        </w:numPr>
        <w:spacing w:line="360" w:before="105" w:after="105" w:lineRule="auto"/>
      </w:pPr>
      <w:r>
        <w:rPr>
          <w:rFonts w:eastAsia="inter" w:cs="inter" w:ascii="inter" w:hAnsi="inter"/>
          <w:b/>
          <w:color w:val="000000"/>
          <w:sz w:val="21"/>
        </w:rPr>
        <w:t xml:space="preserve">Witness Coordination</w:t>
      </w:r>
      <w:r>
        <w:rPr>
          <w:rFonts w:eastAsia="inter" w:cs="inter" w:ascii="inter" w:hAnsi="inter"/>
          <w:color w:val="000000"/>
          <w:sz w:val="21"/>
        </w:rPr>
        <w:t xml:space="preserve">: Credible third-party corroboration</w:t>
      </w:r>
    </w:p>
    <w:p>
      <w:pPr>
        <w:spacing w:line="360" w:after="210" w:lineRule="auto"/>
      </w:pPr>
      <w:r>
        <w:rPr>
          <w:rFonts w:eastAsia="inter" w:cs="inter" w:ascii="inter" w:hAnsi="inter"/>
          <w:b/>
          <w:color w:val="000000"/>
        </w:rPr>
        <w:t xml:space="preserve">2. Gender Bias Mitigation</w:t>
      </w:r>
    </w:p>
    <w:p>
      <w:pPr>
        <w:numPr>
          <w:ilvl w:val="0"/>
          <w:numId w:val="13"/>
        </w:numPr>
        <w:spacing w:line="360" w:before="105" w:after="105" w:lineRule="auto"/>
      </w:pPr>
      <w:r>
        <w:rPr>
          <w:rFonts w:eastAsia="inter" w:cs="inter" w:ascii="inter" w:hAnsi="inter"/>
          <w:b/>
          <w:color w:val="000000"/>
          <w:sz w:val="21"/>
        </w:rPr>
        <w:t xml:space="preserve">Avoid Stereotypes</w:t>
      </w:r>
      <w:r>
        <w:rPr>
          <w:rFonts w:eastAsia="inter" w:cs="inter" w:ascii="inter" w:hAnsi="inter"/>
          <w:color w:val="000000"/>
          <w:sz w:val="21"/>
        </w:rPr>
        <w:t xml:space="preserve">: Present factual evidence without emotional appeals</w:t>
      </w:r>
    </w:p>
    <w:p>
      <w:pPr>
        <w:numPr>
          <w:ilvl w:val="0"/>
          <w:numId w:val="13"/>
        </w:numPr>
        <w:spacing w:line="360" w:before="105" w:after="105" w:lineRule="auto"/>
      </w:pPr>
      <w:r>
        <w:rPr>
          <w:rFonts w:eastAsia="inter" w:cs="inter" w:ascii="inter" w:hAnsi="inter"/>
          <w:b/>
          <w:color w:val="000000"/>
          <w:sz w:val="21"/>
        </w:rPr>
        <w:t xml:space="preserve">Focus on Legal Standards</w:t>
      </w:r>
      <w:r>
        <w:rPr>
          <w:rFonts w:eastAsia="inter" w:cs="inter" w:ascii="inter" w:hAnsi="inter"/>
          <w:color w:val="000000"/>
          <w:sz w:val="21"/>
        </w:rPr>
        <w:t xml:space="preserve">: Emphasize compliance with statutory requirements</w:t>
      </w:r>
    </w:p>
    <w:p>
      <w:pPr>
        <w:numPr>
          <w:ilvl w:val="0"/>
          <w:numId w:val="13"/>
        </w:numPr>
        <w:spacing w:line="360" w:before="105" w:after="105" w:lineRule="auto"/>
      </w:pPr>
      <w:r>
        <w:rPr>
          <w:rFonts w:eastAsia="inter" w:cs="inter" w:ascii="inter" w:hAnsi="inter"/>
          <w:b/>
          <w:color w:val="000000"/>
          <w:sz w:val="21"/>
        </w:rPr>
        <w:t xml:space="preserve">Pattern Evidence</w:t>
      </w:r>
      <w:r>
        <w:rPr>
          <w:rFonts w:eastAsia="inter" w:cs="inter" w:ascii="inter" w:hAnsi="inter"/>
          <w:color w:val="000000"/>
          <w:sz w:val="21"/>
        </w:rPr>
        <w:t xml:space="preserve">: Demonstrate escalating behavior requiring judicial intervention</w:t>
      </w:r>
    </w:p>
    <w:p>
      <w:pPr>
        <w:spacing w:line="360" w:after="210" w:lineRule="auto"/>
      </w:pPr>
      <w:r>
        <w:rPr>
          <w:rFonts w:eastAsia="inter" w:cs="inter" w:ascii="inter" w:hAnsi="inter"/>
          <w:b/>
          <w:color w:val="000000"/>
        </w:rPr>
        <w:t xml:space="preserve">3. Domestic Violence Context</w:t>
      </w:r>
    </w:p>
    <w:p>
      <w:pPr>
        <w:numPr>
          <w:ilvl w:val="0"/>
          <w:numId w:val="14"/>
        </w:numPr>
        <w:spacing w:line="360" w:before="105" w:after="105" w:lineRule="auto"/>
      </w:pPr>
      <w:r>
        <w:rPr>
          <w:rFonts w:eastAsia="inter" w:cs="inter" w:ascii="inter" w:hAnsi="inter"/>
          <w:b/>
          <w:color w:val="000000"/>
          <w:sz w:val="21"/>
        </w:rPr>
        <w:t xml:space="preserve">Statistical Awareness</w:t>
      </w:r>
      <w:r>
        <w:rPr>
          <w:rFonts w:eastAsia="inter" w:cs="inter" w:ascii="inter" w:hAnsi="inter"/>
          <w:color w:val="000000"/>
          <w:sz w:val="21"/>
        </w:rPr>
        <w:t xml:space="preserve">: Female judges are often well-versed in domestic violence dynamics</w:t>
      </w:r>
    </w:p>
    <w:p>
      <w:pPr>
        <w:numPr>
          <w:ilvl w:val="0"/>
          <w:numId w:val="14"/>
        </w:numPr>
        <w:spacing w:line="360" w:before="105" w:after="105" w:lineRule="auto"/>
      </w:pPr>
      <w:r>
        <w:rPr>
          <w:rFonts w:eastAsia="inter" w:cs="inter" w:ascii="inter" w:hAnsi="inter"/>
          <w:b/>
          <w:color w:val="000000"/>
          <w:sz w:val="21"/>
        </w:rPr>
        <w:t xml:space="preserve">Safety Planning</w:t>
      </w:r>
      <w:r>
        <w:rPr>
          <w:rFonts w:eastAsia="inter" w:cs="inter" w:ascii="inter" w:hAnsi="inter"/>
          <w:color w:val="000000"/>
          <w:sz w:val="21"/>
        </w:rPr>
        <w:t xml:space="preserve">: Demonstrate comprehensive understanding of ongoing risk factors</w:t>
      </w:r>
    </w:p>
    <w:p>
      <w:pPr>
        <w:numPr>
          <w:ilvl w:val="0"/>
          <w:numId w:val="14"/>
        </w:numPr>
        <w:spacing w:line="360" w:before="105" w:after="105" w:lineRule="auto"/>
      </w:pPr>
      <w:r>
        <w:rPr>
          <w:rFonts w:eastAsia="inter" w:cs="inter" w:ascii="inter" w:hAnsi="inter"/>
          <w:b/>
          <w:color w:val="000000"/>
          <w:sz w:val="21"/>
        </w:rPr>
        <w:t xml:space="preserve">Long-term Protection</w:t>
      </w:r>
      <w:r>
        <w:rPr>
          <w:rFonts w:eastAsia="inter" w:cs="inter" w:ascii="inter" w:hAnsi="inter"/>
          <w:color w:val="000000"/>
          <w:sz w:val="21"/>
        </w:rPr>
        <w:t xml:space="preserve">: Emphasize need for sustainable solutions beyond temporary measures</w:t>
      </w:r>
    </w:p>
    <w:p>
      <w:pPr>
        <w:spacing w:line="360" w:before="315" w:after="105" w:lineRule="auto"/>
        <w:ind w:left="-30"/>
        <w:jc w:val="left"/>
      </w:pPr>
      <w:r>
        <w:rPr>
          <w:rFonts w:eastAsia="inter" w:cs="inter" w:ascii="inter" w:hAnsi="inter"/>
          <w:b/>
          <w:color w:val="000000"/>
          <w:sz w:val="24"/>
        </w:rPr>
        <w:t xml:space="preserve">Phase 5: Enforcement and Compliance Strategy</w:t>
      </w:r>
    </w:p>
    <w:p>
      <w:pPr>
        <w:spacing w:line="360" w:before="315" w:after="105" w:lineRule="auto"/>
        <w:ind w:left="-30"/>
        <w:jc w:val="left"/>
      </w:pPr>
      <w:r>
        <w:rPr>
          <w:rFonts w:eastAsia="inter" w:cs="inter" w:ascii="inter" w:hAnsi="inter"/>
          <w:b/>
          <w:color w:val="000000"/>
          <w:sz w:val="24"/>
        </w:rPr>
        <w:t xml:space="preserve">Sheriff Accountability Protocol</w:t>
      </w:r>
    </w:p>
    <w:p>
      <w:pPr>
        <w:spacing w:line="360" w:after="210" w:lineRule="auto"/>
      </w:pPr>
      <w:r>
        <w:rPr>
          <w:rFonts w:eastAsia="inter" w:cs="inter" w:ascii="inter" w:hAnsi="inter"/>
          <w:b/>
          <w:color w:val="000000"/>
        </w:rPr>
        <w:t xml:space="preserve">1. Documentation Requirements</w:t>
      </w:r>
    </w:p>
    <w:p>
      <w:pPr>
        <w:numPr>
          <w:ilvl w:val="0"/>
          <w:numId w:val="15"/>
        </w:numPr>
        <w:spacing w:line="360" w:before="105" w:after="105" w:lineRule="auto"/>
      </w:pPr>
      <w:r>
        <w:rPr>
          <w:rFonts w:eastAsia="inter" w:cs="inter" w:ascii="inter" w:hAnsi="inter"/>
          <w:b/>
          <w:color w:val="000000"/>
          <w:sz w:val="21"/>
        </w:rPr>
        <w:t xml:space="preserve">Violation Reports</w:t>
      </w:r>
      <w:r>
        <w:rPr>
          <w:rFonts w:eastAsia="inter" w:cs="inter" w:ascii="inter" w:hAnsi="inter"/>
          <w:color w:val="000000"/>
          <w:sz w:val="21"/>
        </w:rPr>
        <w:t xml:space="preserve">: Detailed incident reports for each AHPO violation</w:t>
      </w:r>
    </w:p>
    <w:p>
      <w:pPr>
        <w:numPr>
          <w:ilvl w:val="0"/>
          <w:numId w:val="15"/>
        </w:numPr>
        <w:spacing w:line="360" w:before="105" w:after="105" w:lineRule="auto"/>
      </w:pPr>
      <w:r>
        <w:rPr>
          <w:rFonts w:eastAsia="inter" w:cs="inter" w:ascii="inter" w:hAnsi="inter"/>
          <w:b/>
          <w:color w:val="000000"/>
          <w:sz w:val="21"/>
        </w:rPr>
        <w:t xml:space="preserve">Timeline Creation</w:t>
      </w:r>
      <w:r>
        <w:rPr>
          <w:rFonts w:eastAsia="inter" w:cs="inter" w:ascii="inter" w:hAnsi="inter"/>
          <w:color w:val="000000"/>
          <w:sz w:val="21"/>
        </w:rPr>
        <w:t xml:space="preserve">: Chronological record of enforcement failures</w:t>
      </w:r>
    </w:p>
    <w:p>
      <w:pPr>
        <w:numPr>
          <w:ilvl w:val="0"/>
          <w:numId w:val="15"/>
        </w:numPr>
        <w:spacing w:line="360" w:before="105" w:after="105" w:lineRule="auto"/>
      </w:pPr>
      <w:r>
        <w:rPr>
          <w:rFonts w:eastAsia="inter" w:cs="inter" w:ascii="inter" w:hAnsi="inter"/>
          <w:b/>
          <w:color w:val="000000"/>
          <w:sz w:val="21"/>
        </w:rPr>
        <w:t xml:space="preserve">Witness Statements</w:t>
      </w:r>
      <w:r>
        <w:rPr>
          <w:rFonts w:eastAsia="inter" w:cs="inter" w:ascii="inter" w:hAnsi="inter"/>
          <w:color w:val="000000"/>
          <w:sz w:val="21"/>
        </w:rPr>
        <w:t xml:space="preserve">: Third-party observations of violations and sheriff response</w:t>
      </w:r>
    </w:p>
    <w:p>
      <w:pPr>
        <w:spacing w:line="360" w:after="210" w:lineRule="auto"/>
      </w:pPr>
      <w:r>
        <w:rPr>
          <w:rFonts w:eastAsia="inter" w:cs="inter" w:ascii="inter" w:hAnsi="inter"/>
          <w:b/>
          <w:color w:val="000000"/>
        </w:rPr>
        <w:t xml:space="preserve">2. Escalation Procedures</w:t>
      </w:r>
    </w:p>
    <w:p>
      <w:pPr>
        <w:numPr>
          <w:ilvl w:val="0"/>
          <w:numId w:val="16"/>
        </w:numPr>
        <w:spacing w:line="360" w:before="105" w:after="105" w:lineRule="auto"/>
      </w:pPr>
      <w:r>
        <w:rPr>
          <w:rFonts w:eastAsia="inter" w:cs="inter" w:ascii="inter" w:hAnsi="inter"/>
          <w:b/>
          <w:color w:val="000000"/>
          <w:sz w:val="21"/>
        </w:rPr>
        <w:t xml:space="preserve">Supervisor Contact</w:t>
      </w:r>
      <w:r>
        <w:rPr>
          <w:rFonts w:eastAsia="inter" w:cs="inter" w:ascii="inter" w:hAnsi="inter"/>
          <w:color w:val="000000"/>
          <w:sz w:val="21"/>
        </w:rPr>
        <w:t xml:space="preserve">: Formal complaint to sheriff's department administration</w:t>
      </w:r>
    </w:p>
    <w:p>
      <w:pPr>
        <w:numPr>
          <w:ilvl w:val="0"/>
          <w:numId w:val="16"/>
        </w:numPr>
        <w:spacing w:line="360" w:before="105" w:after="105" w:lineRule="auto"/>
      </w:pPr>
      <w:r>
        <w:rPr>
          <w:rFonts w:eastAsia="inter" w:cs="inter" w:ascii="inter" w:hAnsi="inter"/>
          <w:b/>
          <w:color w:val="000000"/>
          <w:sz w:val="21"/>
        </w:rPr>
        <w:t xml:space="preserve">County Officials</w:t>
      </w:r>
      <w:r>
        <w:rPr>
          <w:rFonts w:eastAsia="inter" w:cs="inter" w:ascii="inter" w:hAnsi="inter"/>
          <w:color w:val="000000"/>
          <w:sz w:val="21"/>
        </w:rPr>
        <w:t xml:space="preserve">: Contact Snohomish County Executive office if necessary</w:t>
      </w:r>
    </w:p>
    <w:p>
      <w:pPr>
        <w:numPr>
          <w:ilvl w:val="0"/>
          <w:numId w:val="16"/>
        </w:numPr>
        <w:spacing w:line="360" w:before="105" w:after="105" w:lineRule="auto"/>
      </w:pPr>
      <w:r>
        <w:rPr>
          <w:rFonts w:eastAsia="inter" w:cs="inter" w:ascii="inter" w:hAnsi="inter"/>
          <w:b/>
          <w:color w:val="000000"/>
          <w:sz w:val="21"/>
        </w:rPr>
        <w:t xml:space="preserve">State Oversight</w:t>
      </w:r>
      <w:r>
        <w:rPr>
          <w:rFonts w:eastAsia="inter" w:cs="inter" w:ascii="inter" w:hAnsi="inter"/>
          <w:color w:val="000000"/>
          <w:sz w:val="21"/>
        </w:rPr>
        <w:t xml:space="preserve">: Washington State Patrol involvement for persistent failures</w:t>
      </w:r>
    </w:p>
    <w:p>
      <w:pPr>
        <w:spacing w:line="360" w:after="210" w:lineRule="auto"/>
      </w:pPr>
      <w:r>
        <w:rPr>
          <w:rFonts w:eastAsia="inter" w:cs="inter" w:ascii="inter" w:hAnsi="inter"/>
          <w:b/>
          <w:color w:val="000000"/>
        </w:rPr>
        <w:t xml:space="preserve">3. Alternative Enforcement</w:t>
      </w:r>
    </w:p>
    <w:p>
      <w:pPr>
        <w:numPr>
          <w:ilvl w:val="0"/>
          <w:numId w:val="17"/>
        </w:numPr>
        <w:spacing w:line="360" w:before="105" w:after="105" w:lineRule="auto"/>
      </w:pPr>
      <w:r>
        <w:rPr>
          <w:rFonts w:eastAsia="inter" w:cs="inter" w:ascii="inter" w:hAnsi="inter"/>
          <w:b/>
          <w:color w:val="000000"/>
          <w:sz w:val="21"/>
        </w:rPr>
        <w:t xml:space="preserve">Private Process Servers</w:t>
      </w:r>
      <w:r>
        <w:rPr>
          <w:rFonts w:eastAsia="inter" w:cs="inter" w:ascii="inter" w:hAnsi="inter"/>
          <w:color w:val="000000"/>
          <w:sz w:val="21"/>
        </w:rPr>
        <w:t xml:space="preserve">: For initial service of new orders</w:t>
      </w:r>
    </w:p>
    <w:p>
      <w:pPr>
        <w:numPr>
          <w:ilvl w:val="0"/>
          <w:numId w:val="17"/>
        </w:numPr>
        <w:spacing w:line="360" w:before="105" w:after="105" w:lineRule="auto"/>
      </w:pPr>
      <w:r>
        <w:rPr>
          <w:rFonts w:eastAsia="inter" w:cs="inter" w:ascii="inter" w:hAnsi="inter"/>
          <w:b/>
          <w:color w:val="000000"/>
          <w:sz w:val="21"/>
        </w:rPr>
        <w:t xml:space="preserve">Municipal Police</w:t>
      </w:r>
      <w:r>
        <w:rPr>
          <w:rFonts w:eastAsia="inter" w:cs="inter" w:ascii="inter" w:hAnsi="inter"/>
          <w:color w:val="000000"/>
          <w:sz w:val="21"/>
        </w:rPr>
        <w:t xml:space="preserve">: Coordinate with local police departments</w:t>
      </w:r>
    </w:p>
    <w:p>
      <w:pPr>
        <w:numPr>
          <w:ilvl w:val="0"/>
          <w:numId w:val="17"/>
        </w:numPr>
        <w:spacing w:line="360" w:before="105" w:after="105" w:lineRule="auto"/>
      </w:pPr>
      <w:r>
        <w:rPr>
          <w:rFonts w:eastAsia="inter" w:cs="inter" w:ascii="inter" w:hAnsi="inter"/>
          <w:b/>
          <w:color w:val="000000"/>
          <w:sz w:val="21"/>
        </w:rPr>
        <w:t xml:space="preserve">State Patrol</w:t>
      </w:r>
      <w:r>
        <w:rPr>
          <w:rFonts w:eastAsia="inter" w:cs="inter" w:ascii="inter" w:hAnsi="inter"/>
          <w:color w:val="000000"/>
          <w:sz w:val="21"/>
        </w:rPr>
        <w:t xml:space="preserve">: For cross-jurisdictional enforcement</w:t>
      </w:r>
    </w:p>
    <w:p>
      <w:pPr>
        <w:spacing w:line="360" w:before="315" w:after="105" w:lineRule="auto"/>
        <w:ind w:left="-30"/>
        <w:jc w:val="left"/>
      </w:pPr>
      <w:r>
        <w:rPr>
          <w:rFonts w:eastAsia="inter" w:cs="inter" w:ascii="inter" w:hAnsi="inter"/>
          <w:b/>
          <w:color w:val="000000"/>
          <w:sz w:val="24"/>
        </w:rPr>
        <w:t xml:space="preserve">Phase 6: Long-term Legal Strategy</w:t>
      </w:r>
    </w:p>
    <w:p>
      <w:pPr>
        <w:spacing w:line="360" w:before="315" w:after="105" w:lineRule="auto"/>
        <w:ind w:left="-30"/>
        <w:jc w:val="left"/>
      </w:pPr>
      <w:r>
        <w:rPr>
          <w:rFonts w:eastAsia="inter" w:cs="inter" w:ascii="inter" w:hAnsi="inter"/>
          <w:b/>
          <w:color w:val="000000"/>
          <w:sz w:val="24"/>
        </w:rPr>
        <w:t xml:space="preserve">Property Division and Financial Protection</w:t>
      </w:r>
    </w:p>
    <w:p>
      <w:pPr>
        <w:spacing w:line="360" w:after="210" w:lineRule="auto"/>
      </w:pPr>
      <w:r>
        <w:rPr>
          <w:rFonts w:eastAsia="inter" w:cs="inter" w:ascii="inter" w:hAnsi="inter"/>
          <w:b/>
          <w:color w:val="000000"/>
        </w:rPr>
        <w:t xml:space="preserve">1. Asset Inventory</w:t>
      </w:r>
    </w:p>
    <w:p>
      <w:pPr>
        <w:numPr>
          <w:ilvl w:val="0"/>
          <w:numId w:val="18"/>
        </w:numPr>
        <w:spacing w:line="360" w:before="105" w:after="105" w:lineRule="auto"/>
      </w:pPr>
      <w:r>
        <w:rPr>
          <w:rFonts w:eastAsia="inter" w:cs="inter" w:ascii="inter" w:hAnsi="inter"/>
          <w:b/>
          <w:color w:val="000000"/>
          <w:sz w:val="21"/>
        </w:rPr>
        <w:t xml:space="preserve">Real Property</w:t>
      </w:r>
      <w:r>
        <w:rPr>
          <w:rFonts w:eastAsia="inter" w:cs="inter" w:ascii="inter" w:hAnsi="inter"/>
          <w:color w:val="000000"/>
          <w:sz w:val="21"/>
        </w:rPr>
        <w:t xml:space="preserve">: Appraisals and title searches</w:t>
      </w:r>
    </w:p>
    <w:p>
      <w:pPr>
        <w:numPr>
          <w:ilvl w:val="0"/>
          <w:numId w:val="18"/>
        </w:numPr>
        <w:spacing w:line="360" w:before="105" w:after="105" w:lineRule="auto"/>
      </w:pPr>
      <w:r>
        <w:rPr>
          <w:rFonts w:eastAsia="inter" w:cs="inter" w:ascii="inter" w:hAnsi="inter"/>
          <w:b/>
          <w:color w:val="000000"/>
          <w:sz w:val="21"/>
        </w:rPr>
        <w:t xml:space="preserve">Personal Property</w:t>
      </w:r>
      <w:r>
        <w:rPr>
          <w:rFonts w:eastAsia="inter" w:cs="inter" w:ascii="inter" w:hAnsi="inter"/>
          <w:color w:val="000000"/>
          <w:sz w:val="21"/>
        </w:rPr>
        <w:t xml:space="preserve">: Detailed inventory with photographs</w:t>
      </w:r>
    </w:p>
    <w:p>
      <w:pPr>
        <w:numPr>
          <w:ilvl w:val="0"/>
          <w:numId w:val="18"/>
        </w:numPr>
        <w:spacing w:line="360" w:before="105" w:after="105" w:lineRule="auto"/>
      </w:pPr>
      <w:r>
        <w:rPr>
          <w:rFonts w:eastAsia="inter" w:cs="inter" w:ascii="inter" w:hAnsi="inter"/>
          <w:b/>
          <w:color w:val="000000"/>
          <w:sz w:val="21"/>
        </w:rPr>
        <w:t xml:space="preserve">Financial Accounts</w:t>
      </w:r>
      <w:r>
        <w:rPr>
          <w:rFonts w:eastAsia="inter" w:cs="inter" w:ascii="inter" w:hAnsi="inter"/>
          <w:color w:val="000000"/>
          <w:sz w:val="21"/>
        </w:rPr>
        <w:t xml:space="preserve">: Bank statements and investment records</w:t>
      </w:r>
    </w:p>
    <w:p>
      <w:pPr>
        <w:numPr>
          <w:ilvl w:val="0"/>
          <w:numId w:val="18"/>
        </w:numPr>
        <w:spacing w:line="360" w:before="105" w:after="105" w:lineRule="auto"/>
      </w:pPr>
      <w:r>
        <w:rPr>
          <w:rFonts w:eastAsia="inter" w:cs="inter" w:ascii="inter" w:hAnsi="inter"/>
          <w:b/>
          <w:color w:val="000000"/>
          <w:sz w:val="21"/>
        </w:rPr>
        <w:t xml:space="preserve">Business Interests</w:t>
      </w:r>
      <w:r>
        <w:rPr>
          <w:rFonts w:eastAsia="inter" w:cs="inter" w:ascii="inter" w:hAnsi="inter"/>
          <w:color w:val="000000"/>
          <w:sz w:val="21"/>
        </w:rPr>
        <w:t xml:space="preserve">: Valuation of shared enterprises</w:t>
      </w:r>
    </w:p>
    <w:p>
      <w:pPr>
        <w:spacing w:line="360" w:after="210" w:lineRule="auto"/>
      </w:pPr>
      <w:r>
        <w:rPr>
          <w:rFonts w:eastAsia="inter" w:cs="inter" w:ascii="inter" w:hAnsi="inter"/>
          <w:b/>
          <w:color w:val="000000"/>
        </w:rPr>
        <w:t xml:space="preserve">2. Debt Allocation</w:t>
      </w:r>
    </w:p>
    <w:p>
      <w:pPr>
        <w:numPr>
          <w:ilvl w:val="0"/>
          <w:numId w:val="19"/>
        </w:numPr>
        <w:spacing w:line="360" w:before="105" w:after="105" w:lineRule="auto"/>
      </w:pPr>
      <w:r>
        <w:rPr>
          <w:rFonts w:eastAsia="inter" w:cs="inter" w:ascii="inter" w:hAnsi="inter"/>
          <w:b/>
          <w:color w:val="000000"/>
          <w:sz w:val="21"/>
        </w:rPr>
        <w:t xml:space="preserve">Joint Debts</w:t>
      </w:r>
      <w:r>
        <w:rPr>
          <w:rFonts w:eastAsia="inter" w:cs="inter" w:ascii="inter" w:hAnsi="inter"/>
          <w:color w:val="000000"/>
          <w:sz w:val="21"/>
        </w:rPr>
        <w:t xml:space="preserve">: Credit cards, loans, mortgages</w:t>
      </w:r>
    </w:p>
    <w:p>
      <w:pPr>
        <w:numPr>
          <w:ilvl w:val="0"/>
          <w:numId w:val="19"/>
        </w:numPr>
        <w:spacing w:line="360" w:before="105" w:after="105" w:lineRule="auto"/>
      </w:pPr>
      <w:r>
        <w:rPr>
          <w:rFonts w:eastAsia="inter" w:cs="inter" w:ascii="inter" w:hAnsi="inter"/>
          <w:b/>
          <w:color w:val="000000"/>
          <w:sz w:val="21"/>
        </w:rPr>
        <w:t xml:space="preserve">Individual Liability</w:t>
      </w:r>
      <w:r>
        <w:rPr>
          <w:rFonts w:eastAsia="inter" w:cs="inter" w:ascii="inter" w:hAnsi="inter"/>
          <w:color w:val="000000"/>
          <w:sz w:val="21"/>
        </w:rPr>
        <w:t xml:space="preserve">: Pre-relationship vs. relationship debts</w:t>
      </w:r>
    </w:p>
    <w:p>
      <w:pPr>
        <w:numPr>
          <w:ilvl w:val="0"/>
          <w:numId w:val="19"/>
        </w:numPr>
        <w:spacing w:line="360" w:before="105" w:after="105" w:lineRule="auto"/>
      </w:pPr>
      <w:r>
        <w:rPr>
          <w:rFonts w:eastAsia="inter" w:cs="inter" w:ascii="inter" w:hAnsi="inter"/>
          <w:b/>
          <w:color w:val="000000"/>
          <w:sz w:val="21"/>
        </w:rPr>
        <w:t xml:space="preserve">Business Debts</w:t>
      </w:r>
      <w:r>
        <w:rPr>
          <w:rFonts w:eastAsia="inter" w:cs="inter" w:ascii="inter" w:hAnsi="inter"/>
          <w:color w:val="000000"/>
          <w:sz w:val="21"/>
        </w:rPr>
        <w:t xml:space="preserve">: Shared business obligations</w:t>
      </w:r>
    </w:p>
    <w:p>
      <w:pPr>
        <w:spacing w:line="360" w:before="315" w:after="105" w:lineRule="auto"/>
        <w:ind w:left="-30"/>
        <w:jc w:val="left"/>
      </w:pPr>
      <w:r>
        <w:rPr>
          <w:rFonts w:eastAsia="inter" w:cs="inter" w:ascii="inter" w:hAnsi="inter"/>
          <w:b/>
          <w:color w:val="000000"/>
          <w:sz w:val="24"/>
        </w:rPr>
        <w:t xml:space="preserve">Appeal Preparation</w:t>
      </w:r>
    </w:p>
    <w:p>
      <w:pPr>
        <w:spacing w:line="360" w:after="210" w:lineRule="auto"/>
      </w:pPr>
      <w:r>
        <w:rPr>
          <w:rFonts w:eastAsia="inter" w:cs="inter" w:ascii="inter" w:hAnsi="inter"/>
          <w:b/>
          <w:color w:val="000000"/>
        </w:rPr>
        <w:t xml:space="preserve">1. Record Preservation</w:t>
      </w:r>
    </w:p>
    <w:p>
      <w:pPr>
        <w:numPr>
          <w:ilvl w:val="0"/>
          <w:numId w:val="20"/>
        </w:numPr>
        <w:spacing w:line="360" w:before="105" w:after="105" w:lineRule="auto"/>
      </w:pPr>
      <w:r>
        <w:rPr>
          <w:rFonts w:eastAsia="inter" w:cs="inter" w:ascii="inter" w:hAnsi="inter"/>
          <w:b/>
          <w:color w:val="000000"/>
          <w:sz w:val="21"/>
        </w:rPr>
        <w:t xml:space="preserve">Court Reporter</w:t>
      </w:r>
      <w:r>
        <w:rPr>
          <w:rFonts w:eastAsia="inter" w:cs="inter" w:ascii="inter" w:hAnsi="inter"/>
          <w:color w:val="000000"/>
          <w:sz w:val="21"/>
        </w:rPr>
        <w:t xml:space="preserve">: Ensure all hearings are recorded</w:t>
      </w:r>
    </w:p>
    <w:p>
      <w:pPr>
        <w:numPr>
          <w:ilvl w:val="0"/>
          <w:numId w:val="20"/>
        </w:numPr>
        <w:spacing w:line="360" w:before="105" w:after="105" w:lineRule="auto"/>
      </w:pPr>
      <w:r>
        <w:rPr>
          <w:rFonts w:eastAsia="inter" w:cs="inter" w:ascii="inter" w:hAnsi="inter"/>
          <w:b/>
          <w:color w:val="000000"/>
          <w:sz w:val="21"/>
        </w:rPr>
        <w:t xml:space="preserve">Exhibit Management</w:t>
      </w:r>
      <w:r>
        <w:rPr>
          <w:rFonts w:eastAsia="inter" w:cs="inter" w:ascii="inter" w:hAnsi="inter"/>
          <w:color w:val="000000"/>
          <w:sz w:val="21"/>
        </w:rPr>
        <w:t xml:space="preserve">: Maintain complete evidence file</w:t>
      </w:r>
    </w:p>
    <w:p>
      <w:pPr>
        <w:numPr>
          <w:ilvl w:val="0"/>
          <w:numId w:val="20"/>
        </w:numPr>
        <w:spacing w:line="360" w:before="105" w:after="105" w:lineRule="auto"/>
      </w:pPr>
      <w:r>
        <w:rPr>
          <w:rFonts w:eastAsia="inter" w:cs="inter" w:ascii="inter" w:hAnsi="inter"/>
          <w:b/>
          <w:color w:val="000000"/>
          <w:sz w:val="21"/>
        </w:rPr>
        <w:t xml:space="preserve">Legal Citations</w:t>
      </w:r>
      <w:r>
        <w:rPr>
          <w:rFonts w:eastAsia="inter" w:cs="inter" w:ascii="inter" w:hAnsi="inter"/>
          <w:color w:val="000000"/>
          <w:sz w:val="21"/>
        </w:rPr>
        <w:t xml:space="preserve">: Preserve all legal authority cited</w:t>
      </w:r>
    </w:p>
    <w:p>
      <w:pPr>
        <w:spacing w:line="360" w:after="210" w:lineRule="auto"/>
      </w:pPr>
      <w:r>
        <w:rPr>
          <w:rFonts w:eastAsia="inter" w:cs="inter" w:ascii="inter" w:hAnsi="inter"/>
          <w:b/>
          <w:color w:val="000000"/>
        </w:rPr>
        <w:t xml:space="preserve">2. Appellate Strategy</w:t>
      </w:r>
    </w:p>
    <w:p>
      <w:pPr>
        <w:numPr>
          <w:ilvl w:val="0"/>
          <w:numId w:val="21"/>
        </w:numPr>
        <w:spacing w:line="360" w:before="105" w:after="105" w:lineRule="auto"/>
      </w:pPr>
      <w:r>
        <w:rPr>
          <w:rFonts w:eastAsia="inter" w:cs="inter" w:ascii="inter" w:hAnsi="inter"/>
          <w:b/>
          <w:color w:val="000000"/>
          <w:sz w:val="21"/>
        </w:rPr>
        <w:t xml:space="preserve">Standard of Review</w:t>
      </w:r>
      <w:r>
        <w:rPr>
          <w:rFonts w:eastAsia="inter" w:cs="inter" w:ascii="inter" w:hAnsi="inter"/>
          <w:color w:val="000000"/>
          <w:sz w:val="21"/>
        </w:rPr>
        <w:t xml:space="preserve">: Abuse of discretion for protection orders</w:t>
      </w:r>
    </w:p>
    <w:p>
      <w:pPr>
        <w:numPr>
          <w:ilvl w:val="0"/>
          <w:numId w:val="21"/>
        </w:numPr>
        <w:spacing w:line="360" w:before="105" w:after="105" w:lineRule="auto"/>
      </w:pPr>
      <w:r>
        <w:rPr>
          <w:rFonts w:eastAsia="inter" w:cs="inter" w:ascii="inter" w:hAnsi="inter"/>
          <w:b/>
          <w:color w:val="000000"/>
          <w:sz w:val="21"/>
        </w:rPr>
        <w:t xml:space="preserve">Error Identification</w:t>
      </w:r>
      <w:r>
        <w:rPr>
          <w:rFonts w:eastAsia="inter" w:cs="inter" w:ascii="inter" w:hAnsi="inter"/>
          <w:color w:val="000000"/>
          <w:sz w:val="21"/>
        </w:rPr>
        <w:t xml:space="preserve">: Document any legal or procedural errors</w:t>
      </w:r>
    </w:p>
    <w:p>
      <w:pPr>
        <w:numPr>
          <w:ilvl w:val="0"/>
          <w:numId w:val="21"/>
        </w:numPr>
        <w:spacing w:line="360" w:before="105" w:after="105" w:lineRule="auto"/>
      </w:pPr>
      <w:r>
        <w:rPr>
          <w:rFonts w:eastAsia="inter" w:cs="inter" w:ascii="inter" w:hAnsi="inter"/>
          <w:b/>
          <w:color w:val="000000"/>
          <w:sz w:val="21"/>
        </w:rPr>
        <w:t xml:space="preserve">Constitutional Issues</w:t>
      </w:r>
      <w:r>
        <w:rPr>
          <w:rFonts w:eastAsia="inter" w:cs="inter" w:ascii="inter" w:hAnsi="inter"/>
          <w:color w:val="000000"/>
          <w:sz w:val="21"/>
        </w:rPr>
        <w:t xml:space="preserve">: Due process and equal protection considerations</w:t>
      </w:r>
    </w:p>
    <w:p>
      <w:pPr>
        <w:spacing w:line="360" w:before="315" w:after="105" w:lineRule="auto"/>
        <w:ind w:left="-30"/>
        <w:jc w:val="left"/>
      </w:pPr>
      <w:r>
        <w:rPr>
          <w:rFonts w:eastAsia="inter" w:cs="inter" w:ascii="inter" w:hAnsi="inter"/>
          <w:b/>
          <w:color w:val="000000"/>
          <w:sz w:val="24"/>
        </w:rPr>
        <w:t xml:space="preserve">Recommended Forms and Documentation</w:t>
      </w:r>
    </w:p>
    <w:p>
      <w:pPr>
        <w:spacing w:line="360" w:before="315" w:after="105" w:lineRule="auto"/>
        <w:ind w:left="-30"/>
        <w:jc w:val="left"/>
      </w:pPr>
      <w:r>
        <w:rPr>
          <w:rFonts w:eastAsia="inter" w:cs="inter" w:ascii="inter" w:hAnsi="inter"/>
          <w:b/>
          <w:color w:val="000000"/>
          <w:sz w:val="24"/>
        </w:rPr>
        <w:t xml:space="preserve">Snohomish County Superior Court Forms</w:t>
      </w:r>
    </w:p>
    <w:p>
      <w:pPr>
        <w:numPr>
          <w:ilvl w:val="0"/>
          <w:numId w:val="22"/>
        </w:numPr>
        <w:spacing w:line="360" w:before="105" w:after="105" w:lineRule="auto"/>
      </w:pPr>
      <w:r>
        <w:rPr>
          <w:rFonts w:eastAsia="inter" w:cs="inter" w:ascii="inter" w:hAnsi="inter"/>
          <w:b/>
          <w:color w:val="000000"/>
          <w:sz w:val="21"/>
        </w:rPr>
        <w:t xml:space="preserve">PO 001</w:t>
      </w:r>
      <w:r>
        <w:rPr>
          <w:rFonts w:eastAsia="inter" w:cs="inter" w:ascii="inter" w:hAnsi="inter"/>
          <w:color w:val="000000"/>
          <w:sz w:val="21"/>
        </w:rPr>
        <w:t xml:space="preserve">: Petition for Protection Order (current version 01/2024)</w:t>
      </w:r>
    </w:p>
    <w:p>
      <w:pPr>
        <w:numPr>
          <w:ilvl w:val="0"/>
          <w:numId w:val="22"/>
        </w:numPr>
        <w:spacing w:line="360" w:before="105" w:after="105" w:lineRule="auto"/>
      </w:pPr>
      <w:r>
        <w:rPr>
          <w:rFonts w:eastAsia="inter" w:cs="inter" w:ascii="inter" w:hAnsi="inter"/>
          <w:b/>
          <w:color w:val="000000"/>
          <w:sz w:val="21"/>
        </w:rPr>
        <w:t xml:space="preserve">Case Information Cover Sheet</w:t>
      </w:r>
      <w:r>
        <w:rPr>
          <w:rFonts w:eastAsia="inter" w:cs="inter" w:ascii="inter" w:hAnsi="inter"/>
          <w:color w:val="000000"/>
          <w:sz w:val="21"/>
        </w:rPr>
        <w:t xml:space="preserve">: Family Law designation</w:t>
      </w:r>
    </w:p>
    <w:p>
      <w:pPr>
        <w:numPr>
          <w:ilvl w:val="0"/>
          <w:numId w:val="22"/>
        </w:numPr>
        <w:spacing w:line="360" w:before="105" w:after="105" w:lineRule="auto"/>
      </w:pPr>
      <w:r>
        <w:rPr>
          <w:rFonts w:eastAsia="inter" w:cs="inter" w:ascii="inter" w:hAnsi="inter"/>
          <w:b/>
          <w:color w:val="000000"/>
          <w:sz w:val="21"/>
        </w:rPr>
        <w:t xml:space="preserve">GDN M 204</w:t>
      </w:r>
      <w:r>
        <w:rPr>
          <w:rFonts w:eastAsia="inter" w:cs="inter" w:ascii="inter" w:hAnsi="inter"/>
          <w:color w:val="000000"/>
          <w:sz w:val="21"/>
        </w:rPr>
        <w:t xml:space="preserve">: Motion for Immediate Order (if children involved)</w:t>
      </w:r>
    </w:p>
    <w:p>
      <w:pPr>
        <w:numPr>
          <w:ilvl w:val="0"/>
          <w:numId w:val="22"/>
        </w:numPr>
        <w:spacing w:line="360" w:before="105" w:after="105" w:lineRule="auto"/>
      </w:pPr>
      <w:r>
        <w:rPr>
          <w:rFonts w:eastAsia="inter" w:cs="inter" w:ascii="inter" w:hAnsi="inter"/>
          <w:b/>
          <w:color w:val="000000"/>
          <w:sz w:val="21"/>
        </w:rPr>
        <w:t xml:space="preserve">Confidential Information Form</w:t>
      </w:r>
      <w:r>
        <w:rPr>
          <w:rFonts w:eastAsia="inter" w:cs="inter" w:ascii="inter" w:hAnsi="inter"/>
          <w:color w:val="000000"/>
          <w:sz w:val="21"/>
        </w:rPr>
        <w:t xml:space="preserve">: Required for all family law cases</w:t>
      </w:r>
    </w:p>
    <w:p>
      <w:pPr>
        <w:spacing w:line="360" w:before="315" w:after="105" w:lineRule="auto"/>
        <w:ind w:left="-30"/>
        <w:jc w:val="left"/>
      </w:pPr>
      <w:r>
        <w:rPr>
          <w:rFonts w:eastAsia="inter" w:cs="inter" w:ascii="inter" w:hAnsi="inter"/>
          <w:b/>
          <w:color w:val="000000"/>
          <w:sz w:val="24"/>
        </w:rPr>
        <w:t xml:space="preserve">Evidence Organization</w:t>
      </w:r>
    </w:p>
    <w:p>
      <w:pPr>
        <w:numPr>
          <w:ilvl w:val="0"/>
          <w:numId w:val="23"/>
        </w:numPr>
        <w:spacing w:line="360" w:before="105" w:after="105" w:lineRule="auto"/>
      </w:pPr>
      <w:r>
        <w:rPr>
          <w:rFonts w:eastAsia="inter" w:cs="inter" w:ascii="inter" w:hAnsi="inter"/>
          <w:b/>
          <w:color w:val="000000"/>
          <w:sz w:val="21"/>
        </w:rPr>
        <w:t xml:space="preserve">Chronological Binders</w:t>
      </w:r>
      <w:r>
        <w:rPr>
          <w:rFonts w:eastAsia="inter" w:cs="inter" w:ascii="inter" w:hAnsi="inter"/>
          <w:color w:val="000000"/>
          <w:sz w:val="21"/>
        </w:rPr>
        <w:t xml:space="preserve">: Organized by date and incident type</w:t>
      </w:r>
    </w:p>
    <w:p>
      <w:pPr>
        <w:numPr>
          <w:ilvl w:val="0"/>
          <w:numId w:val="23"/>
        </w:numPr>
        <w:spacing w:line="360" w:before="105" w:after="105" w:lineRule="auto"/>
      </w:pPr>
      <w:r>
        <w:rPr>
          <w:rFonts w:eastAsia="inter" w:cs="inter" w:ascii="inter" w:hAnsi="inter"/>
          <w:b/>
          <w:color w:val="000000"/>
          <w:sz w:val="21"/>
        </w:rPr>
        <w:t xml:space="preserve">Digital Archive</w:t>
      </w:r>
      <w:r>
        <w:rPr>
          <w:rFonts w:eastAsia="inter" w:cs="inter" w:ascii="inter" w:hAnsi="inter"/>
          <w:color w:val="000000"/>
          <w:sz w:val="21"/>
        </w:rPr>
        <w:t xml:space="preserve">: Secure backup of all electronic evidence</w:t>
      </w:r>
    </w:p>
    <w:p>
      <w:pPr>
        <w:numPr>
          <w:ilvl w:val="0"/>
          <w:numId w:val="23"/>
        </w:numPr>
        <w:spacing w:line="360" w:before="105" w:after="105" w:lineRule="auto"/>
      </w:pPr>
      <w:r>
        <w:rPr>
          <w:rFonts w:eastAsia="inter" w:cs="inter" w:ascii="inter" w:hAnsi="inter"/>
          <w:b/>
          <w:color w:val="000000"/>
          <w:sz w:val="21"/>
        </w:rPr>
        <w:t xml:space="preserve">Witness Contact List</w:t>
      </w:r>
      <w:r>
        <w:rPr>
          <w:rFonts w:eastAsia="inter" w:cs="inter" w:ascii="inter" w:hAnsi="inter"/>
          <w:color w:val="000000"/>
          <w:sz w:val="21"/>
        </w:rPr>
        <w:t xml:space="preserve">: Updated contact information for all potential witnesses</w:t>
      </w:r>
    </w:p>
    <w:p>
      <w:pPr>
        <w:numPr>
          <w:ilvl w:val="0"/>
          <w:numId w:val="23"/>
        </w:numPr>
        <w:spacing w:line="360" w:before="105" w:after="105" w:lineRule="auto"/>
      </w:pPr>
      <w:r>
        <w:rPr>
          <w:rFonts w:eastAsia="inter" w:cs="inter" w:ascii="inter" w:hAnsi="inter"/>
          <w:b/>
          <w:color w:val="000000"/>
          <w:sz w:val="21"/>
        </w:rPr>
        <w:t xml:space="preserve">Medical Records</w:t>
      </w:r>
      <w:r>
        <w:rPr>
          <w:rFonts w:eastAsia="inter" w:cs="inter" w:ascii="inter" w:hAnsi="inter"/>
          <w:color w:val="000000"/>
          <w:sz w:val="21"/>
        </w:rPr>
        <w:t xml:space="preserve">: Complete healthcare documentation related to abuse</w:t>
      </w:r>
    </w:p>
    <w:p>
      <w:pPr>
        <w:spacing w:line="360" w:before="315" w:after="105" w:lineRule="auto"/>
        <w:ind w:left="-30"/>
        <w:jc w:val="left"/>
      </w:pPr>
      <w:r>
        <w:rPr>
          <w:rFonts w:eastAsia="inter" w:cs="inter" w:ascii="inter" w:hAnsi="inter"/>
          <w:b/>
          <w:color w:val="000000"/>
          <w:sz w:val="24"/>
        </w:rPr>
        <w:t xml:space="preserve">Success Metrics and Monitoring</w:t>
      </w:r>
    </w:p>
    <w:p>
      <w:pPr>
        <w:spacing w:line="360" w:before="315" w:after="105" w:lineRule="auto"/>
        <w:ind w:left="-30"/>
        <w:jc w:val="left"/>
      </w:pPr>
      <w:r>
        <w:rPr>
          <w:rFonts w:eastAsia="inter" w:cs="inter" w:ascii="inter" w:hAnsi="inter"/>
          <w:b/>
          <w:color w:val="000000"/>
          <w:sz w:val="24"/>
        </w:rPr>
        <w:t xml:space="preserve">Key Performance Indicators</w:t>
      </w:r>
    </w:p>
    <w:p>
      <w:pPr>
        <w:numPr>
          <w:ilvl w:val="0"/>
          <w:numId w:val="24"/>
        </w:numPr>
        <w:spacing w:line="360" w:before="105" w:after="105" w:lineRule="auto"/>
      </w:pPr>
      <w:r>
        <w:rPr>
          <w:rFonts w:eastAsia="inter" w:cs="inter" w:ascii="inter" w:hAnsi="inter"/>
          <w:b/>
          <w:color w:val="000000"/>
          <w:sz w:val="21"/>
        </w:rPr>
        <w:t xml:space="preserve">Order Issuance</w:t>
      </w:r>
      <w:r>
        <w:rPr>
          <w:rFonts w:eastAsia="inter" w:cs="inter" w:ascii="inter" w:hAnsi="inter"/>
          <w:color w:val="000000"/>
          <w:sz w:val="21"/>
        </w:rPr>
        <w:t xml:space="preserve">: Successful obtaining of comprehensive protection order</w:t>
      </w:r>
    </w:p>
    <w:p>
      <w:pPr>
        <w:numPr>
          <w:ilvl w:val="0"/>
          <w:numId w:val="24"/>
        </w:numPr>
        <w:spacing w:line="360" w:before="105" w:after="105" w:lineRule="auto"/>
      </w:pPr>
      <w:r>
        <w:rPr>
          <w:rFonts w:eastAsia="inter" w:cs="inter" w:ascii="inter" w:hAnsi="inter"/>
          <w:b/>
          <w:color w:val="000000"/>
          <w:sz w:val="21"/>
        </w:rPr>
        <w:t xml:space="preserve">Enforcement Rate</w:t>
      </w:r>
      <w:r>
        <w:rPr>
          <w:rFonts w:eastAsia="inter" w:cs="inter" w:ascii="inter" w:hAnsi="inter"/>
          <w:color w:val="000000"/>
          <w:sz w:val="21"/>
        </w:rPr>
        <w:t xml:space="preserve">: Improved compliance compared to current AHPO</w:t>
      </w:r>
    </w:p>
    <w:p>
      <w:pPr>
        <w:numPr>
          <w:ilvl w:val="0"/>
          <w:numId w:val="24"/>
        </w:numPr>
        <w:spacing w:line="360" w:before="105" w:after="105" w:lineRule="auto"/>
      </w:pPr>
      <w:r>
        <w:rPr>
          <w:rFonts w:eastAsia="inter" w:cs="inter" w:ascii="inter" w:hAnsi="inter"/>
          <w:b/>
          <w:color w:val="000000"/>
          <w:sz w:val="21"/>
        </w:rPr>
        <w:t xml:space="preserve">CIR Recognition</w:t>
      </w:r>
      <w:r>
        <w:rPr>
          <w:rFonts w:eastAsia="inter" w:cs="inter" w:ascii="inter" w:hAnsi="inter"/>
          <w:color w:val="000000"/>
          <w:sz w:val="21"/>
        </w:rPr>
        <w:t xml:space="preserve">: Court acceptance of committed intimate relationship status</w:t>
      </w:r>
    </w:p>
    <w:p>
      <w:pPr>
        <w:numPr>
          <w:ilvl w:val="0"/>
          <w:numId w:val="24"/>
        </w:numPr>
        <w:spacing w:line="360" w:before="105" w:after="105" w:lineRule="auto"/>
      </w:pPr>
      <w:r>
        <w:rPr>
          <w:rFonts w:eastAsia="inter" w:cs="inter" w:ascii="inter" w:hAnsi="inter"/>
          <w:b/>
          <w:color w:val="000000"/>
          <w:sz w:val="21"/>
        </w:rPr>
        <w:t xml:space="preserve">Property Protection</w:t>
      </w:r>
      <w:r>
        <w:rPr>
          <w:rFonts w:eastAsia="inter" w:cs="inter" w:ascii="inter" w:hAnsi="inter"/>
          <w:color w:val="000000"/>
          <w:sz w:val="21"/>
        </w:rPr>
        <w:t xml:space="preserve">: Preservation of assets pending final resolution</w:t>
      </w:r>
    </w:p>
    <w:p>
      <w:pPr>
        <w:spacing w:line="360" w:before="315" w:after="105" w:lineRule="auto"/>
        <w:ind w:left="-30"/>
        <w:jc w:val="left"/>
      </w:pPr>
      <w:r>
        <w:rPr>
          <w:rFonts w:eastAsia="inter" w:cs="inter" w:ascii="inter" w:hAnsi="inter"/>
          <w:b/>
          <w:color w:val="000000"/>
          <w:sz w:val="24"/>
        </w:rPr>
        <w:t xml:space="preserve">Ongoing Assessment</w:t>
      </w:r>
    </w:p>
    <w:p>
      <w:pPr>
        <w:numPr>
          <w:ilvl w:val="0"/>
          <w:numId w:val="25"/>
        </w:numPr>
        <w:spacing w:line="360" w:before="105" w:after="105" w:lineRule="auto"/>
      </w:pPr>
      <w:r>
        <w:rPr>
          <w:rFonts w:eastAsia="inter" w:cs="inter" w:ascii="inter" w:hAnsi="inter"/>
          <w:b/>
          <w:color w:val="000000"/>
          <w:sz w:val="21"/>
        </w:rPr>
        <w:t xml:space="preserve">Monthly Review</w:t>
      </w:r>
      <w:r>
        <w:rPr>
          <w:rFonts w:eastAsia="inter" w:cs="inter" w:ascii="inter" w:hAnsi="inter"/>
          <w:color w:val="000000"/>
          <w:sz w:val="21"/>
        </w:rPr>
        <w:t xml:space="preserve">: Progress evaluation and strategy adjustment</w:t>
      </w:r>
    </w:p>
    <w:p>
      <w:pPr>
        <w:numPr>
          <w:ilvl w:val="0"/>
          <w:numId w:val="25"/>
        </w:numPr>
        <w:spacing w:line="360" w:before="105" w:after="105" w:lineRule="auto"/>
      </w:pPr>
      <w:r>
        <w:rPr>
          <w:rFonts w:eastAsia="inter" w:cs="inter" w:ascii="inter" w:hAnsi="inter"/>
          <w:b/>
          <w:color w:val="000000"/>
          <w:sz w:val="21"/>
        </w:rPr>
        <w:t xml:space="preserve">Violation Tracking</w:t>
      </w:r>
      <w:r>
        <w:rPr>
          <w:rFonts w:eastAsia="inter" w:cs="inter" w:ascii="inter" w:hAnsi="inter"/>
          <w:color w:val="000000"/>
          <w:sz w:val="21"/>
        </w:rPr>
        <w:t xml:space="preserve">: Documentation of any new incidents</w:t>
      </w:r>
    </w:p>
    <w:p>
      <w:pPr>
        <w:numPr>
          <w:ilvl w:val="0"/>
          <w:numId w:val="25"/>
        </w:numPr>
        <w:spacing w:line="360" w:before="105" w:after="105" w:lineRule="auto"/>
      </w:pPr>
      <w:r>
        <w:rPr>
          <w:rFonts w:eastAsia="inter" w:cs="inter" w:ascii="inter" w:hAnsi="inter"/>
          <w:b/>
          <w:color w:val="000000"/>
          <w:sz w:val="21"/>
        </w:rPr>
        <w:t xml:space="preserve">Compliance Monitoring</w:t>
      </w:r>
      <w:r>
        <w:rPr>
          <w:rFonts w:eastAsia="inter" w:cs="inter" w:ascii="inter" w:hAnsi="inter"/>
          <w:color w:val="000000"/>
          <w:sz w:val="21"/>
        </w:rPr>
        <w:t xml:space="preserve">: Respondent adherence to court orders</w:t>
      </w:r>
    </w:p>
    <w:p>
      <w:pPr>
        <w:numPr>
          <w:ilvl w:val="0"/>
          <w:numId w:val="25"/>
        </w:numPr>
        <w:spacing w:line="360" w:before="105" w:after="105" w:lineRule="auto"/>
      </w:pPr>
      <w:r>
        <w:rPr>
          <w:rFonts w:eastAsia="inter" w:cs="inter" w:ascii="inter" w:hAnsi="inter"/>
          <w:b/>
          <w:color w:val="000000"/>
          <w:sz w:val="21"/>
        </w:rPr>
        <w:t xml:space="preserve">Safety Evaluation</w:t>
      </w:r>
      <w:r>
        <w:rPr>
          <w:rFonts w:eastAsia="inter" w:cs="inter" w:ascii="inter" w:hAnsi="inter"/>
          <w:color w:val="000000"/>
          <w:sz w:val="21"/>
        </w:rPr>
        <w:t xml:space="preserve">: Continuous risk assessment and safety planning</w:t>
      </w:r>
    </w:p>
    <w:p>
      <w:pPr>
        <w:spacing w:line="360" w:after="210" w:lineRule="auto"/>
      </w:pPr>
      <w:r>
        <w:rPr>
          <w:rFonts w:eastAsia="inter" w:cs="inter" w:ascii="inter" w:hAnsi="inter"/>
          <w:color w:val="000000"/>
        </w:rPr>
        <w:t xml:space="preserve">This comprehensive action plan provides a systematic approach to establishing CIR doctrine recognition while ensuring maximum protection through enhanced legal remedies available in Snohomish County Superior Court. The strategy leverages documented patterns of success while addressing the specific challenges presented by enforcement failures and abusive opposing party behavior.</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3" w:name="fn1"/>
    <w:bookmarkEnd w:id="13"/>
    <w:p>
      <w:pPr>
        <w:numPr>
          <w:ilvl w:val="0"/>
          <w:numId w:val="27"/>
        </w:numPr>
        <w:spacing w:line="360" w:after="210" w:lineRule="auto"/>
      </w:pPr>
      <w:hyperlink r:id="rId8">
        <w:r>
          <w:rPr>
            <w:rFonts w:eastAsia="inter" w:cs="inter" w:ascii="inter" w:hAnsi="inter"/>
            <w:color w:val="#000"/>
            <w:sz w:val="18"/>
            <w:u w:val="single"/>
          </w:rPr>
          <w:t xml:space="preserve">https://www.tailoredfamilylaw.com/services/committed-intimate-relationship</w:t>
        </w:r>
      </w:hyperlink>
      <w:r>
        <w:rPr>
          <w:rFonts w:eastAsia="inter" w:cs="inter" w:ascii="inter" w:hAnsi="inter"/>
          <w:color w:val="000000"/>
          <w:sz w:val="18"/>
        </w:rPr>
        <w:t xml:space="preserve"> </w:t>
      </w:r>
    </w:p>
    <w:bookmarkStart w:id="14" w:name="fn2"/>
    <w:bookmarkEnd w:id="14"/>
    <w:p>
      <w:pPr>
        <w:numPr>
          <w:ilvl w:val="0"/>
          <w:numId w:val="27"/>
        </w:numPr>
        <w:spacing w:line="360" w:after="210" w:lineRule="auto"/>
      </w:pPr>
      <w:hyperlink r:id="rId9">
        <w:r>
          <w:rPr>
            <w:rFonts w:eastAsia="inter" w:cs="inter" w:ascii="inter" w:hAnsi="inter"/>
            <w:color w:val="#000"/>
            <w:sz w:val="18"/>
            <w:u w:val="single"/>
          </w:rPr>
          <w:t xml:space="preserve">https://mcaleerlaw.net/committed-intimate-relationship/</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3"/>
    <w:bookmarkEnd w:id="15"/>
    <w:p>
      <w:pPr>
        <w:numPr>
          <w:ilvl w:val="0"/>
          <w:numId w:val="27"/>
        </w:numPr>
        <w:spacing w:line="360" w:after="210" w:lineRule="auto"/>
      </w:pPr>
      <w:hyperlink r:id="rId10">
        <w:r>
          <w:rPr>
            <w:rFonts w:eastAsia="inter" w:cs="inter" w:ascii="inter" w:hAnsi="inter"/>
            <w:color w:val="#000"/>
            <w:sz w:val="18"/>
            <w:u w:val="single"/>
          </w:rPr>
          <w:t xml:space="preserve">https://www.lasher.com/in-re-dewitt-an-example-of-washingtons-committed-intimate-relationship-doctrine-applied-to-a-very-fact-intensive-case/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4"/>
    <w:bookmarkEnd w:id="16"/>
    <w:p>
      <w:pPr>
        <w:numPr>
          <w:ilvl w:val="0"/>
          <w:numId w:val="27"/>
        </w:numPr>
        <w:spacing w:line="360" w:after="210" w:lineRule="auto"/>
      </w:pPr>
      <w:hyperlink r:id="rId11">
        <w:r>
          <w:rPr>
            <w:rFonts w:eastAsia="inter" w:cs="inter" w:ascii="inter" w:hAnsi="inter"/>
            <w:color w:val="#000"/>
            <w:sz w:val="18"/>
            <w:u w:val="single"/>
          </w:rPr>
          <w:t xml:space="preserve">https://www.abajournal.com/news/article/gender-affects-access-to-courts-and-treatment-in-the-justice-system-washington-state-study-says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5"/>
    <w:bookmarkEnd w:id="17"/>
    <w:p>
      <w:pPr>
        <w:numPr>
          <w:ilvl w:val="0"/>
          <w:numId w:val="27"/>
        </w:numPr>
        <w:spacing w:line="360" w:after="210" w:lineRule="auto"/>
      </w:pPr>
      <w:hyperlink r:id="rId12">
        <w:r>
          <w:rPr>
            <w:rFonts w:eastAsia="inter" w:cs="inter" w:ascii="inter" w:hAnsi="inter"/>
            <w:color w:val="#000"/>
            <w:sz w:val="18"/>
            <w:u w:val="single"/>
          </w:rPr>
          <w:t xml:space="preserve">https://www.courts.wa.gov/subsite/gjc/documents/14_GJS_Chapter4.pdf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6"/>
    <w:bookmarkEnd w:id="18"/>
    <w:p>
      <w:pPr>
        <w:numPr>
          <w:ilvl w:val="0"/>
          <w:numId w:val="27"/>
        </w:numPr>
        <w:spacing w:line="360" w:after="210" w:lineRule="auto"/>
      </w:pPr>
      <w:hyperlink r:id="rId13">
        <w:r>
          <w:rPr>
            <w:rFonts w:eastAsia="inter" w:cs="inter" w:ascii="inter" w:hAnsi="inter"/>
            <w:color w:val="#000"/>
            <w:sz w:val="18"/>
            <w:u w:val="single"/>
          </w:rPr>
          <w:t xml:space="preserve">https://www.sorianolawllc.com/navigating-committed-intimate-relationships-in-washington-state-what-you-should-know/</w:t>
        </w:r>
      </w:hyperlink>
      <w:r>
        <w:rPr>
          <w:rFonts w:eastAsia="inter" w:cs="inter" w:ascii="inter" w:hAnsi="inter"/>
          <w:color w:val="000000"/>
          <w:sz w:val="18"/>
        </w:rPr>
        <w:t xml:space="preserve"> </w:t>
      </w:r>
    </w:p>
    <w:bookmarkStart w:id="19" w:name="fn7"/>
    <w:bookmarkEnd w:id="19"/>
    <w:p>
      <w:pPr>
        <w:numPr>
          <w:ilvl w:val="0"/>
          <w:numId w:val="27"/>
        </w:numPr>
        <w:spacing w:line="360" w:after="210" w:lineRule="auto"/>
      </w:pPr>
      <w:hyperlink r:id="rId14">
        <w:r>
          <w:rPr>
            <w:rFonts w:eastAsia="inter" w:cs="inter" w:ascii="inter" w:hAnsi="inter"/>
            <w:color w:val="#000"/>
            <w:sz w:val="18"/>
            <w:u w:val="single"/>
          </w:rPr>
          <w:t xml:space="preserve">https://hemmatlaw.com/how-to-tell-if-washington-has-jurisdiction-in-your-family-law-case/</w:t>
        </w:r>
      </w:hyperlink>
      <w:r>
        <w:rPr>
          <w:rFonts w:eastAsia="inter" w:cs="inter" w:ascii="inter" w:hAnsi="inter"/>
          <w:color w:val="000000"/>
          <w:sz w:val="18"/>
        </w:rPr>
        <w:t xml:space="preserve"> </w:t>
      </w:r>
    </w:p>
    <w:bookmarkStart w:id="20" w:name="fn8"/>
    <w:bookmarkEnd w:id="20"/>
    <w:p>
      <w:pPr>
        <w:numPr>
          <w:ilvl w:val="0"/>
          <w:numId w:val="27"/>
        </w:numPr>
        <w:spacing w:line="360" w:after="210" w:lineRule="auto"/>
      </w:pPr>
      <w:hyperlink r:id="rId15">
        <w:r>
          <w:rPr>
            <w:rFonts w:eastAsia="inter" w:cs="inter" w:ascii="inter" w:hAnsi="inter"/>
            <w:color w:val="#000"/>
            <w:sz w:val="18"/>
            <w:u w:val="single"/>
          </w:rPr>
          <w:t xml:space="preserve">https://www.avvo.com/legal-answers/who-has-jurisdiction-if-the-custody-case-originate-2644562.html</w:t>
        </w:r>
      </w:hyperlink>
      <w:r>
        <w:rPr>
          <w:rFonts w:eastAsia="inter" w:cs="inter" w:ascii="inter" w:hAnsi="inter"/>
          <w:color w:val="000000"/>
          <w:sz w:val="18"/>
        </w:rPr>
        <w:t xml:space="preserve"> </w:t>
      </w:r>
    </w:p>
    <w:bookmarkStart w:id="21" w:name="fn9"/>
    <w:bookmarkEnd w:id="21"/>
    <w:p>
      <w:pPr>
        <w:numPr>
          <w:ilvl w:val="0"/>
          <w:numId w:val="27"/>
        </w:numPr>
        <w:spacing w:line="360" w:after="210" w:lineRule="auto"/>
      </w:pPr>
      <w:hyperlink r:id="rId16">
        <w:r>
          <w:rPr>
            <w:rFonts w:eastAsia="inter" w:cs="inter" w:ascii="inter" w:hAnsi="inter"/>
            <w:color w:val="#000"/>
            <w:sz w:val="18"/>
            <w:u w:val="single"/>
          </w:rPr>
          <w:t xml:space="preserve">https://nawj.org/blog/newsroom/news/gender-bias-study-from-washington-state</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abstractNum>
  <w:abstractNum w:abstractNumId="2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5366dee35db1955775cb3b0fc004e7abeb8c8ba.png" TargetMode="Internal"/><Relationship Id="rId6" Type="http://schemas.openxmlformats.org/officeDocument/2006/relationships/image" Target="media/image-ff13ce6218ce822effd2aceff8aad6415cdacfaa.png" TargetMode="Internal"/><Relationship Id="rId7" Type="http://schemas.openxmlformats.org/officeDocument/2006/relationships/image" Target="media/image-0c7e4c509e87bd8edc3fa876a4be17da3f519f01.png" TargetMode="Internal"/><Relationship Id="rId8" Type="http://schemas.openxmlformats.org/officeDocument/2006/relationships/hyperlink" Target="https://www.tailoredfamilylaw.com/services/committed-intimate-relationship" TargetMode="External"/><Relationship Id="rId9" Type="http://schemas.openxmlformats.org/officeDocument/2006/relationships/hyperlink" Target="https://mcaleerlaw.net/committed-intimate-relationship/" TargetMode="External"/><Relationship Id="rId10" Type="http://schemas.openxmlformats.org/officeDocument/2006/relationships/hyperlink" Target="https://www.lasher.com/in-re-dewitt-an-example-of-washingtons-committed-intimate-relationship-doctrine-applied-to-a-very-fact-intensive-case/" TargetMode="External"/><Relationship Id="rId11" Type="http://schemas.openxmlformats.org/officeDocument/2006/relationships/hyperlink" Target="https://www.abajournal.com/news/article/gender-affects-access-to-courts-and-treatment-in-the-justice-system-washington-state-study-says" TargetMode="External"/><Relationship Id="rId12" Type="http://schemas.openxmlformats.org/officeDocument/2006/relationships/hyperlink" Target="https://www.courts.wa.gov/subsite/gjc/documents/14_GJS_Chapter4.pdf" TargetMode="External"/><Relationship Id="rId13" Type="http://schemas.openxmlformats.org/officeDocument/2006/relationships/hyperlink" Target="https://www.sorianolawllc.com/navigating-committed-intimate-relationships-in-washington-state-what-you-should-know/" TargetMode="External"/><Relationship Id="rId14" Type="http://schemas.openxmlformats.org/officeDocument/2006/relationships/hyperlink" Target="https://hemmatlaw.com/how-to-tell-if-washington-has-jurisdiction-in-your-family-law-case/" TargetMode="External"/><Relationship Id="rId15" Type="http://schemas.openxmlformats.org/officeDocument/2006/relationships/hyperlink" Target="https://www.avvo.com/legal-answers/who-has-jurisdiction-if-the-custody-case-originate-2644562.html" TargetMode="External"/><Relationship Id="rId16" Type="http://schemas.openxmlformats.org/officeDocument/2006/relationships/hyperlink" Target="https://nawj.org/blog/newsroom/news/gender-bias-study-from-washington-stat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2025-07-15T21:21:44.424Z</dcterms:created>
  <dcterms:modified xsi:type="dcterms:W3CDTF">2025-07-15T21:21:44.424Z</dcterms:modified>
</cp:coreProperties>
</file>