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7b6b5d31988272e41994f374ca80cd0c5a0d0f01.png"/>
            <a:graphic>
              <a:graphicData uri="http://schemas.openxmlformats.org/drawingml/2006/picture">
                <pic:pic>
                  <pic:nvPicPr>
                    <pic:cNvPr id="1" name="image-7b6b5d31988272e41994f374ca80cd0c5a0d0f01.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Draft: Combined Discovery Packet and Master Index (Snohomish County Superior Court)</w:t>
      </w:r>
    </w:p>
    <w:p>
      <w:pPr>
        <w:spacing w:line="360" w:after="210" w:lineRule="auto"/>
      </w:pPr>
      <w:r>
        <w:rPr>
          <w:rFonts w:eastAsia="inter" w:cs="inter" w:ascii="inter" w:hAnsi="inter"/>
          <w:color w:val="000000"/>
        </w:rPr>
        <w:t xml:space="preserve">Below is a structured, single “Discovery Packet” document that compiles and organizes all relevant case documents found in the file set, arranged to follow Snohomish County Superior Court practices for civil protection order/family law matters. It includes a master index, Bates-label scheme, defined discovery requests, and an attachments section referencing each item so it can be filed/served as one cohesive packet. Where useful, I embedded short, numbered citations to the underlying items so a court or opposing counsel can locate them quickly.</w:t>
      </w:r>
    </w:p>
    <w:p>
      <w:pPr>
        <w:spacing w:line="360" w:after="210" w:lineRule="auto"/>
      </w:pPr>
      <w:r>
        <w:rPr>
          <w:rFonts w:eastAsia="inter" w:cs="inter" w:ascii="inter" w:hAnsi="inter"/>
          <w:color w:val="000000"/>
        </w:rPr>
        <w:t xml:space="preserve">Note: Replace bracketed placeholders like “[BATES-0001]” and “[Exhibit A]” with final pagination once exported. File names and content summaries tie to the identified items below.</w:t>
      </w:r>
    </w:p>
    <w:p>
      <w:pPr>
        <w:spacing w:line="360" w:before="315" w:after="105" w:lineRule="auto"/>
        <w:ind w:left="-30"/>
        <w:jc w:val="left"/>
      </w:pPr>
      <w:r>
        <w:rPr>
          <w:rFonts w:eastAsia="inter" w:cs="inter" w:ascii="inter" w:hAnsi="inter"/>
          <w:b/>
          <w:color w:val="000000"/>
          <w:sz w:val="24"/>
        </w:rPr>
        <w:t xml:space="preserve">Caption</w:t>
      </w:r>
    </w:p>
    <w:p>
      <w:pPr>
        <w:spacing w:line="360" w:after="210" w:lineRule="auto"/>
      </w:pPr>
      <w:r>
        <w:rPr>
          <w:rFonts w:eastAsia="inter" w:cs="inter" w:ascii="inter" w:hAnsi="inter"/>
          <w:color w:val="000000"/>
        </w:rPr>
        <w:t xml:space="preserve">Superior Court of Washington, County of Snohomish</w:t>
      </w:r>
    </w:p>
    <w:p>
      <w:pPr>
        <w:spacing w:line="360" w:after="210" w:lineRule="auto"/>
      </w:pPr>
      <w:r>
        <w:rPr>
          <w:rFonts w:eastAsia="inter" w:cs="inter" w:ascii="inter" w:hAnsi="inter"/>
          <w:color w:val="000000"/>
        </w:rPr>
        <w:t xml:space="preserve">In re the Relationship of</w:t>
      </w:r>
      <w:r>
        <w:rPr>
          <w:rFonts w:eastAsia="inter" w:cs="inter" w:ascii="inter" w:hAnsi="inter"/>
          <w:color w:val="000000"/>
        </w:rPr>
        <w:br w:type="textWrapping"/>
      </w:r>
      <w:r>
        <w:rPr>
          <w:rFonts w:eastAsia="inter" w:cs="inter" w:ascii="inter" w:hAnsi="inter"/>
          <w:color w:val="000000"/>
        </w:rPr>
        <w:t xml:space="preserve">William Orley Miller Jr., Petitioner,</w:t>
      </w:r>
      <w:r>
        <w:rPr>
          <w:rFonts w:eastAsia="inter" w:cs="inter" w:ascii="inter" w:hAnsi="inter"/>
          <w:color w:val="000000"/>
        </w:rPr>
        <w:br w:type="textWrapping"/>
      </w:r>
      <w:r>
        <w:rPr>
          <w:rFonts w:eastAsia="inter" w:cs="inter" w:ascii="inter" w:hAnsi="inter"/>
          <w:color w:val="000000"/>
        </w:rPr>
        <w:t xml:space="preserve">and</w:t>
      </w:r>
      <w:r>
        <w:rPr>
          <w:rFonts w:eastAsia="inter" w:cs="inter" w:ascii="inter" w:hAnsi="inter"/>
          <w:color w:val="000000"/>
        </w:rPr>
        <w:br w:type="textWrapping"/>
      </w:r>
      <w:r>
        <w:rPr>
          <w:rFonts w:eastAsia="inter" w:cs="inter" w:ascii="inter" w:hAnsi="inter"/>
          <w:color w:val="000000"/>
        </w:rPr>
        <w:t xml:space="preserve">Candi Lynn Brightwell, Respondent.</w:t>
      </w:r>
    </w:p>
    <w:p>
      <w:pPr>
        <w:numPr>
          <w:ilvl w:val="0"/>
          <w:numId w:val="1"/>
        </w:numPr>
        <w:spacing w:line="360" w:before="105" w:after="105" w:lineRule="auto"/>
      </w:pPr>
      <w:r>
        <w:rPr>
          <w:rFonts w:eastAsia="inter" w:cs="inter" w:ascii="inter" w:hAnsi="inter"/>
          <w:color w:val="000000"/>
          <w:sz w:val="21"/>
        </w:rPr>
        <w:t xml:space="preserve">Family law matter with associated protection order proceedings.</w:t>
      </w:r>
    </w:p>
    <w:p>
      <w:pPr>
        <w:numPr>
          <w:ilvl w:val="0"/>
          <w:numId w:val="1"/>
        </w:numPr>
        <w:spacing w:line="360" w:before="105" w:after="105" w:lineRule="auto"/>
      </w:pPr>
      <w:r>
        <w:rPr>
          <w:rFonts w:eastAsia="inter" w:cs="inter" w:ascii="inter" w:hAnsi="inter"/>
          <w:color w:val="000000"/>
          <w:sz w:val="21"/>
        </w:rPr>
        <w:t xml:space="preserve">Related Case Nos.: 25-2-04968-31; 25-2-03361-31; 25-2-03181-31.</w:t>
      </w:r>
      <w:bookmarkStart w:id="0" w:name="fnref1"/>
      <w:bookmarkEnd w:id="0"/>
      <w:hyperlink w:anchor="fn1">
        <w:r>
          <w:rPr>
            <w:rFonts w:eastAsia="inter" w:cs="inter" w:ascii="inter" w:hAnsi="inter"/>
            <w:color w:val="#000"/>
            <w:sz w:val="21"/>
            <w:u w:val="single"/>
            <w:vertAlign w:val="superscript"/>
          </w:rPr>
          <w:t xml:space="preserve">[1]</w:t>
        </w:r>
      </w:hyperlink>
      <w:bookmarkStart w:id="1" w:name="fnref2"/>
      <w:bookmarkEnd w:id="1"/>
      <w:hyperlink w:anchor="fn2">
        <w:r>
          <w:rPr>
            <w:rFonts w:eastAsia="inter" w:cs="inter" w:ascii="inter" w:hAnsi="inter"/>
            <w:color w:val="#000"/>
            <w:sz w:val="21"/>
            <w:u w:val="single"/>
            <w:vertAlign w:val="superscript"/>
          </w:rPr>
          <w:t xml:space="preserve">[2]</w:t>
        </w:r>
      </w:hyperlink>
      <w:bookmarkStart w:id="2" w:name="fnref3"/>
      <w:bookmarkEnd w:id="2"/>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Title: Petitioner’s Consolidated Discovery Packet, Master Index, and Initial Disclosures</w:t>
      </w:r>
    </w:p>
    <w:p>
      <w:pPr>
        <w:spacing w:line="360" w:before="315" w:after="105" w:lineRule="auto"/>
        <w:ind w:left="-30"/>
        <w:jc w:val="left"/>
      </w:pPr>
      <w:r>
        <w:rPr>
          <w:rFonts w:eastAsia="inter" w:cs="inter" w:ascii="inter" w:hAnsi="inter"/>
          <w:b/>
          <w:color w:val="000000"/>
          <w:sz w:val="24"/>
        </w:rPr>
        <w:t xml:space="preserve">Section 1 — Master Index of Included Materials</w:t>
      </w:r>
    </w:p>
    <w:p>
      <w:pPr>
        <w:spacing w:line="360" w:after="210" w:lineRule="auto"/>
      </w:pPr>
      <w:r>
        <w:rPr>
          <w:rFonts w:eastAsia="inter" w:cs="inter" w:ascii="inter" w:hAnsi="inter"/>
          <w:color w:val="000000"/>
        </w:rPr>
        <w:t xml:space="preserve">A. Core Pleadings and Court Orders</w:t>
      </w:r>
    </w:p>
    <w:p>
      <w:pPr>
        <w:numPr>
          <w:ilvl w:val="0"/>
          <w:numId w:val="2"/>
        </w:numPr>
        <w:spacing w:line="360" w:after="210" w:lineRule="auto"/>
      </w:pPr>
      <w:r>
        <w:rPr>
          <w:rFonts w:eastAsia="inter" w:cs="inter" w:ascii="inter" w:hAnsi="inter"/>
          <w:color w:val="000000"/>
          <w:sz w:val="21"/>
        </w:rPr>
        <w:t xml:space="preserve">Case Information Cover Sheet (Snohomish Superior Court) — identifies nature of action, related cases, and domestic violence basis.</w:t>
      </w:r>
      <w:bookmarkStart w:id="3" w:name="fnref2:1"/>
      <w:bookmarkEnd w:id="3"/>
      <w:hyperlink w:anchor="fn2">
        <w:r>
          <w:rPr>
            <w:rFonts w:eastAsia="inter" w:cs="inter" w:ascii="inter" w:hAnsi="inter"/>
            <w:color w:val="#000"/>
            <w:sz w:val="21"/>
            <w:u w:val="single"/>
            <w:vertAlign w:val="superscript"/>
          </w:rPr>
          <w:t xml:space="preserve">[2]</w:t>
        </w:r>
      </w:hyperlink>
    </w:p>
    <w:p>
      <w:pPr>
        <w:numPr>
          <w:ilvl w:val="0"/>
          <w:numId w:val="2"/>
        </w:numPr>
        <w:spacing w:line="360" w:after="210" w:lineRule="auto"/>
      </w:pPr>
      <w:r>
        <w:rPr>
          <w:rFonts w:eastAsia="inter" w:cs="inter" w:ascii="inter" w:hAnsi="inter"/>
          <w:color w:val="000000"/>
          <w:sz w:val="21"/>
        </w:rPr>
        <w:t xml:space="preserve">Motion for Temporary Orders and Proposed Temporary Order — requests exclusive use, support, restraints, animals, and evidence limitations, with supporting declaration.</w:t>
      </w:r>
      <w:bookmarkStart w:id="4" w:name="fnref2:2"/>
      <w:bookmarkEnd w:id="4"/>
      <w:hyperlink w:anchor="fn2">
        <w:r>
          <w:rPr>
            <w:rFonts w:eastAsia="inter" w:cs="inter" w:ascii="inter" w:hAnsi="inter"/>
            <w:color w:val="#000"/>
            <w:sz w:val="21"/>
            <w:u w:val="single"/>
            <w:vertAlign w:val="superscript"/>
          </w:rPr>
          <w:t xml:space="preserve">[2]</w:t>
        </w:r>
      </w:hyperlink>
    </w:p>
    <w:p>
      <w:pPr>
        <w:numPr>
          <w:ilvl w:val="0"/>
          <w:numId w:val="2"/>
        </w:numPr>
        <w:spacing w:line="360" w:after="210" w:lineRule="auto"/>
      </w:pPr>
      <w:r>
        <w:rPr>
          <w:rFonts w:eastAsia="inter" w:cs="inter" w:ascii="inter" w:hAnsi="inter"/>
          <w:color w:val="000000"/>
          <w:sz w:val="21"/>
        </w:rPr>
        <w:t xml:space="preserve">Ex Parte Motion for Temporary Orders; Motion for OSC Re: Contempt; Cover letters for urgent filing — consolidates urgent relief and contempt bases tied to alleged violations of reissued TPO.</w:t>
      </w:r>
      <w:bookmarkStart w:id="5" w:name="fnref4"/>
      <w:bookmarkEnd w:id="5"/>
      <w:hyperlink w:anchor="fn4">
        <w:r>
          <w:rPr>
            <w:rFonts w:eastAsia="inter" w:cs="inter" w:ascii="inter" w:hAnsi="inter"/>
            <w:color w:val="#000"/>
            <w:sz w:val="21"/>
            <w:u w:val="single"/>
            <w:vertAlign w:val="superscript"/>
          </w:rPr>
          <w:t xml:space="preserve">[4]</w:t>
        </w:r>
      </w:hyperlink>
    </w:p>
    <w:p>
      <w:pPr>
        <w:numPr>
          <w:ilvl w:val="0"/>
          <w:numId w:val="2"/>
        </w:numPr>
        <w:spacing w:line="360" w:after="210" w:lineRule="auto"/>
      </w:pPr>
      <w:r>
        <w:rPr>
          <w:rFonts w:eastAsia="inter" w:cs="inter" w:ascii="inter" w:hAnsi="inter"/>
          <w:color w:val="000000"/>
          <w:sz w:val="21"/>
        </w:rPr>
        <w:t xml:space="preserve">Temporary Protection Order and Hearing Notice (PO 030) — terms including no-contact, stay-away, transfer of assets restraint (Section K), and animals/other terms.</w:t>
      </w:r>
      <w:bookmarkStart w:id="6" w:name="fnref5"/>
      <w:bookmarkEnd w:id="6"/>
      <w:hyperlink w:anchor="fn5">
        <w:r>
          <w:rPr>
            <w:rFonts w:eastAsia="inter" w:cs="inter" w:ascii="inter" w:hAnsi="inter"/>
            <w:color w:val="#000"/>
            <w:sz w:val="21"/>
            <w:u w:val="single"/>
            <w:vertAlign w:val="superscript"/>
          </w:rPr>
          <w:t xml:space="preserve">[5]</w:t>
        </w:r>
      </w:hyperlink>
    </w:p>
    <w:p>
      <w:pPr>
        <w:numPr>
          <w:ilvl w:val="0"/>
          <w:numId w:val="2"/>
        </w:numPr>
        <w:spacing w:line="360" w:after="210" w:lineRule="auto"/>
      </w:pPr>
      <w:r>
        <w:rPr>
          <w:rFonts w:eastAsia="inter" w:cs="inter" w:ascii="inter" w:hAnsi="inter"/>
          <w:color w:val="000000"/>
          <w:sz w:val="21"/>
        </w:rPr>
        <w:t xml:space="preserve">Reissuance of Temporary Protection Order and Notice of Hearing (ORRTPO) — extends TPO, calendars date, and contains clerk/law enforcement actions.</w:t>
      </w:r>
      <w:bookmarkStart w:id="7" w:name="fnref6"/>
      <w:bookmarkEnd w:id="7"/>
      <w:hyperlink w:anchor="fn6">
        <w:r>
          <w:rPr>
            <w:rFonts w:eastAsia="inter" w:cs="inter" w:ascii="inter" w:hAnsi="inter"/>
            <w:color w:val="#000"/>
            <w:sz w:val="21"/>
            <w:u w:val="single"/>
            <w:vertAlign w:val="superscript"/>
          </w:rPr>
          <w:t xml:space="preserve">[6]</w:t>
        </w:r>
      </w:hyperlink>
    </w:p>
    <w:p>
      <w:pPr>
        <w:numPr>
          <w:ilvl w:val="0"/>
          <w:numId w:val="2"/>
        </w:numPr>
        <w:spacing w:line="360" w:after="210" w:lineRule="auto"/>
      </w:pPr>
      <w:r>
        <w:rPr>
          <w:rFonts w:eastAsia="inter" w:cs="inter" w:ascii="inter" w:hAnsi="inter"/>
          <w:color w:val="000000"/>
          <w:sz w:val="21"/>
        </w:rPr>
        <w:t xml:space="preserve">Denial Orders and Hearing-Setting Orders in 25-2-03361-31 — denial without full order pending hearing, service instructions, Zoom details; sets hearing and denies temporary pending hearing.</w:t>
      </w:r>
      <w:bookmarkStart w:id="8" w:name="fnref1:1"/>
      <w:bookmarkEnd w:id="8"/>
      <w:hyperlink w:anchor="fn1">
        <w:r>
          <w:rPr>
            <w:rFonts w:eastAsia="inter" w:cs="inter" w:ascii="inter" w:hAnsi="inter"/>
            <w:color w:val="#000"/>
            <w:sz w:val="21"/>
            <w:u w:val="single"/>
            <w:vertAlign w:val="superscript"/>
          </w:rPr>
          <w:t xml:space="preserve">[1]</w:t>
        </w:r>
      </w:hyperlink>
    </w:p>
    <w:p>
      <w:pPr>
        <w:numPr>
          <w:ilvl w:val="0"/>
          <w:numId w:val="2"/>
        </w:numPr>
        <w:spacing w:line="360" w:after="210" w:lineRule="auto"/>
      </w:pPr>
      <w:r>
        <w:rPr>
          <w:rFonts w:eastAsia="inter" w:cs="inter" w:ascii="inter" w:hAnsi="inter"/>
          <w:color w:val="000000"/>
          <w:sz w:val="21"/>
        </w:rPr>
        <w:t xml:space="preserve">Respondent’s Response to Petition for Protection Order in 25-2-03361-31 — point-by-point responses, affirmative defenses, and related facts; references anti-harassment case and communications.</w:t>
      </w:r>
      <w:bookmarkStart w:id="9" w:name="fnref3:1"/>
      <w:bookmarkEnd w:id="9"/>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B. Declarations and Factual Support</w:t>
      </w:r>
    </w:p>
    <w:p>
      <w:pPr>
        <w:numPr>
          <w:ilvl w:val="0"/>
          <w:numId w:val="3"/>
        </w:numPr>
        <w:spacing w:line="360" w:after="210" w:lineRule="auto"/>
      </w:pPr>
      <w:r>
        <w:rPr>
          <w:rFonts w:eastAsia="inter" w:cs="inter" w:ascii="inter" w:hAnsi="inter"/>
          <w:color w:val="000000"/>
          <w:sz w:val="21"/>
        </w:rPr>
        <w:t xml:space="preserve">Declaration of William Orley Miller Jr. in Support of Motions — details CIR/meretricious relationship, domestic violence/coercive control allegations, medical vulnerability, business interference, Aflac policy timeline, animals, and property issues.</w:t>
      </w:r>
      <w:bookmarkStart w:id="10" w:name="fnref7"/>
      <w:bookmarkEnd w:id="10"/>
      <w:hyperlink w:anchor="fn7">
        <w:r>
          <w:rPr>
            <w:rFonts w:eastAsia="inter" w:cs="inter" w:ascii="inter" w:hAnsi="inter"/>
            <w:color w:val="#000"/>
            <w:sz w:val="21"/>
            <w:u w:val="single"/>
            <w:vertAlign w:val="superscript"/>
          </w:rPr>
          <w:t xml:space="preserve">[7]</w:t>
        </w:r>
      </w:hyperlink>
      <w:bookmarkStart w:id="11" w:name="fnref2:3"/>
      <w:bookmarkEnd w:id="11"/>
      <w:hyperlink w:anchor="fn2">
        <w:r>
          <w:rPr>
            <w:rFonts w:eastAsia="inter" w:cs="inter" w:ascii="inter" w:hAnsi="inter"/>
            <w:color w:val="#000"/>
            <w:sz w:val="21"/>
            <w:u w:val="single"/>
            <w:vertAlign w:val="superscript"/>
          </w:rPr>
          <w:t xml:space="preserve">[2]</w:t>
        </w:r>
      </w:hyperlink>
    </w:p>
    <w:p>
      <w:pPr>
        <w:numPr>
          <w:ilvl w:val="0"/>
          <w:numId w:val="3"/>
        </w:numPr>
        <w:spacing w:line="360" w:after="210" w:lineRule="auto"/>
      </w:pPr>
      <w:r>
        <w:rPr>
          <w:rFonts w:eastAsia="inter" w:cs="inter" w:ascii="inter" w:hAnsi="inter"/>
          <w:color w:val="000000"/>
          <w:sz w:val="21"/>
        </w:rPr>
        <w:t xml:space="preserve">Exhibits A–I to Contempt/TPO issues — texts, emails with counsel, reissuance order, narrative of alleged violations (denied access, disposal, tools, pet custody), and harm calculations.</w:t>
      </w:r>
      <w:bookmarkStart w:id="12" w:name="fnref8"/>
      <w:bookmarkEnd w:id="12"/>
      <w:hyperlink w:anchor="fn8">
        <w:r>
          <w:rPr>
            <w:rFonts w:eastAsia="inter" w:cs="inter" w:ascii="inter" w:hAnsi="inter"/>
            <w:color w:val="#000"/>
            <w:sz w:val="21"/>
            <w:u w:val="single"/>
            <w:vertAlign w:val="superscript"/>
          </w:rPr>
          <w:t xml:space="preserve">[8]</w:t>
        </w:r>
      </w:hyperlink>
      <w:bookmarkStart w:id="13" w:name="fnref6:1"/>
      <w:bookmarkEnd w:id="13"/>
      <w:hyperlink w:anchor="fn6">
        <w:r>
          <w:rPr>
            <w:rFonts w:eastAsia="inter" w:cs="inter" w:ascii="inter" w:hAnsi="inter"/>
            <w:color w:val="#000"/>
            <w:sz w:val="21"/>
            <w:u w:val="single"/>
            <w:vertAlign w:val="superscript"/>
          </w:rPr>
          <w:t xml:space="preserve">[6]</w:t>
        </w:r>
      </w:hyperlink>
    </w:p>
    <w:p>
      <w:pPr>
        <w:spacing w:line="360" w:after="210" w:lineRule="auto"/>
      </w:pPr>
      <w:r>
        <w:rPr>
          <w:rFonts w:eastAsia="inter" w:cs="inter" w:ascii="inter" w:hAnsi="inter"/>
          <w:color w:val="000000"/>
        </w:rPr>
        <w:t xml:space="preserve">C. Filing Covers and Exhibit Cover Sheets</w:t>
      </w:r>
    </w:p>
    <w:p>
      <w:pPr>
        <w:numPr>
          <w:ilvl w:val="0"/>
          <w:numId w:val="4"/>
        </w:numPr>
        <w:spacing w:line="360" w:before="105" w:after="105" w:lineRule="auto"/>
      </w:pPr>
      <w:r>
        <w:rPr>
          <w:rFonts w:eastAsia="inter" w:cs="inter" w:ascii="inter" w:hAnsi="inter"/>
          <w:color w:val="000000"/>
          <w:sz w:val="21"/>
        </w:rPr>
        <w:t xml:space="preserve">Submitted-by coversheet for exhibit attachment and clerk processing.</w:t>
      </w:r>
      <w:bookmarkStart w:id="14" w:name="fnref4:1"/>
      <w:bookmarkEnd w:id="14"/>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D. Standardized Court Form</w:t>
      </w:r>
    </w:p>
    <w:p>
      <w:pPr>
        <w:numPr>
          <w:ilvl w:val="0"/>
          <w:numId w:val="5"/>
        </w:numPr>
        <w:spacing w:line="360" w:before="105" w:after="105" w:lineRule="auto"/>
      </w:pPr>
      <w:r>
        <w:rPr>
          <w:rFonts w:eastAsia="inter" w:cs="inter" w:ascii="inter" w:hAnsi="inter"/>
          <w:color w:val="000000"/>
          <w:sz w:val="21"/>
        </w:rPr>
        <w:t xml:space="preserve">PO 030 form as issued content (with filled data and terms).</w:t>
      </w:r>
      <w:bookmarkStart w:id="15" w:name="fnref5:1"/>
      <w:bookmarkEnd w:id="15"/>
      <w:hyperlink w:anchor="fn5">
        <w:r>
          <w:rPr>
            <w:rFonts w:eastAsia="inter" w:cs="inter" w:ascii="inter" w:hAnsi="inter"/>
            <w:color w:val="#000"/>
            <w:sz w:val="21"/>
            <w:u w:val="single"/>
            <w:vertAlign w:val="superscript"/>
          </w:rPr>
          <w:t xml:space="preserve">[5]</w:t>
        </w:r>
      </w:hyperlink>
    </w:p>
    <w:p>
      <w:pPr>
        <w:spacing w:line="360" w:after="210" w:lineRule="auto"/>
      </w:pPr>
      <w:r>
        <w:rPr>
          <w:rFonts w:eastAsia="inter" w:cs="inter" w:ascii="inter" w:hAnsi="inter"/>
          <w:color w:val="000000"/>
        </w:rPr>
        <w:t xml:space="preserve">E. Additional Orders/Notices</w:t>
      </w:r>
    </w:p>
    <w:p>
      <w:pPr>
        <w:numPr>
          <w:ilvl w:val="0"/>
          <w:numId w:val="6"/>
        </w:numPr>
        <w:spacing w:line="360" w:before="105" w:after="105" w:lineRule="auto"/>
      </w:pPr>
      <w:r>
        <w:rPr>
          <w:rFonts w:eastAsia="inter" w:cs="inter" w:ascii="inter" w:hAnsi="inter"/>
          <w:color w:val="000000"/>
          <w:sz w:val="21"/>
        </w:rPr>
        <w:t xml:space="preserve">Order Setting Hearing with attendance guidance, service directions, and Zoom logistics.</w:t>
      </w:r>
      <w:bookmarkStart w:id="16" w:name="fnref1:2"/>
      <w:bookmarkEnd w:id="16"/>
      <w:hyperlink w:anchor="fn1">
        <w:r>
          <w:rPr>
            <w:rFonts w:eastAsia="inter" w:cs="inter" w:ascii="inter" w:hAnsi="inter"/>
            <w:color w:val="#000"/>
            <w:sz w:val="21"/>
            <w:u w:val="single"/>
            <w:vertAlign w:val="superscript"/>
          </w:rPr>
          <w:t xml:space="preserve">[1]</w:t>
        </w:r>
      </w:hyperlink>
    </w:p>
    <w:p>
      <w:pPr>
        <w:spacing w:line="360" w:after="210" w:lineRule="auto"/>
      </w:pPr>
      <w:r>
        <w:rPr>
          <w:rFonts w:eastAsia="inter" w:cs="inter" w:ascii="inter" w:hAnsi="inter"/>
          <w:color w:val="000000"/>
        </w:rPr>
        <w:t xml:space="preserve">Index note: Each document is incorporated by reference, to be Bates-stamped sequentially and cross-referenced in the fact timeline and requests below.</w:t>
      </w:r>
    </w:p>
    <w:p>
      <w:pPr>
        <w:spacing w:line="360" w:before="315" w:after="105" w:lineRule="auto"/>
        <w:ind w:left="-30"/>
        <w:jc w:val="left"/>
      </w:pPr>
      <w:r>
        <w:rPr>
          <w:rFonts w:eastAsia="inter" w:cs="inter" w:ascii="inter" w:hAnsi="inter"/>
          <w:b/>
          <w:color w:val="000000"/>
          <w:sz w:val="24"/>
        </w:rPr>
        <w:t xml:space="preserve">Section 2 — Parties’ Initial Disclosures (CR 26(a) adapted for Family Law/PO context)</w:t>
      </w:r>
    </w:p>
    <w:p>
      <w:pPr>
        <w:spacing w:line="360" w:after="210" w:lineRule="auto"/>
      </w:pPr>
      <w:r>
        <w:rPr>
          <w:rFonts w:eastAsia="inter" w:cs="inter" w:ascii="inter" w:hAnsi="inter"/>
          <w:color w:val="000000"/>
        </w:rPr>
        <w:t xml:space="preserve">Without waiving objections, Petitioner discloses:</w:t>
      </w:r>
    </w:p>
    <w:p>
      <w:pPr>
        <w:numPr>
          <w:ilvl w:val="0"/>
          <w:numId w:val="7"/>
        </w:numPr>
        <w:spacing w:line="360" w:after="210" w:lineRule="auto"/>
      </w:pPr>
      <w:r>
        <w:rPr>
          <w:rFonts w:eastAsia="inter" w:cs="inter" w:ascii="inter" w:hAnsi="inter"/>
          <w:color w:val="000000"/>
          <w:sz w:val="21"/>
        </w:rPr>
        <w:t xml:space="preserve">Individuals likely to have discoverable information:</w:t>
      </w:r>
    </w:p>
    <w:p>
      <w:pPr>
        <w:numPr>
          <w:ilvl w:val="1"/>
          <w:numId w:val="7"/>
        </w:numPr>
        <w:spacing w:line="360" w:before="105" w:after="105" w:lineRule="auto"/>
      </w:pPr>
      <w:r>
        <w:rPr>
          <w:rFonts w:eastAsia="inter" w:cs="inter" w:ascii="inter" w:hAnsi="inter"/>
          <w:color w:val="000000"/>
          <w:sz w:val="21"/>
        </w:rPr>
        <w:t xml:space="preserve">Parties: William Orley Miller Jr.; Candi Lynn Brightwell. Subject areas include relationship history, property access/denial, communications, incidents July 2024–June 2025, pets, and compliance with TPO.</w:t>
      </w:r>
      <w:bookmarkStart w:id="17" w:name="fnref7:1"/>
      <w:bookmarkEnd w:id="17"/>
      <w:hyperlink w:anchor="fn7">
        <w:r>
          <w:rPr>
            <w:rFonts w:eastAsia="inter" w:cs="inter" w:ascii="inter" w:hAnsi="inter"/>
            <w:color w:val="#000"/>
            <w:sz w:val="21"/>
            <w:u w:val="single"/>
            <w:vertAlign w:val="superscript"/>
          </w:rPr>
          <w:t xml:space="preserve">[7]</w:t>
        </w:r>
      </w:hyperlink>
      <w:bookmarkStart w:id="18" w:name="fnref6:2"/>
      <w:bookmarkEnd w:id="18"/>
      <w:hyperlink w:anchor="fn6">
        <w:r>
          <w:rPr>
            <w:rFonts w:eastAsia="inter" w:cs="inter" w:ascii="inter" w:hAnsi="inter"/>
            <w:color w:val="#000"/>
            <w:sz w:val="21"/>
            <w:u w:val="single"/>
            <w:vertAlign w:val="superscript"/>
          </w:rPr>
          <w:t xml:space="preserve">[6]</w:t>
        </w:r>
      </w:hyperlink>
      <w:bookmarkStart w:id="19" w:name="fnref8:1"/>
      <w:bookmarkEnd w:id="19"/>
      <w:hyperlink w:anchor="fn8">
        <w:r>
          <w:rPr>
            <w:rFonts w:eastAsia="inter" w:cs="inter" w:ascii="inter" w:hAnsi="inter"/>
            <w:color w:val="#000"/>
            <w:sz w:val="21"/>
            <w:u w:val="single"/>
            <w:vertAlign w:val="superscript"/>
          </w:rPr>
          <w:t xml:space="preserve">[8]</w:t>
        </w:r>
      </w:hyperlink>
      <w:bookmarkStart w:id="20" w:name="fnref3:2"/>
      <w:bookmarkEnd w:id="20"/>
      <w:hyperlink w:anchor="fn3">
        <w:r>
          <w:rPr>
            <w:rFonts w:eastAsia="inter" w:cs="inter" w:ascii="inter" w:hAnsi="inter"/>
            <w:color w:val="#000"/>
            <w:sz w:val="21"/>
            <w:u w:val="single"/>
            <w:vertAlign w:val="superscript"/>
          </w:rPr>
          <w:t xml:space="preserve">[3]</w:t>
        </w:r>
      </w:hyperlink>
      <w:bookmarkStart w:id="21" w:name="fnref2:4"/>
      <w:bookmarkEnd w:id="21"/>
      <w:hyperlink w:anchor="fn2">
        <w:r>
          <w:rPr>
            <w:rFonts w:eastAsia="inter" w:cs="inter" w:ascii="inter" w:hAnsi="inter"/>
            <w:color w:val="#000"/>
            <w:sz w:val="21"/>
            <w:u w:val="single"/>
            <w:vertAlign w:val="superscript"/>
          </w:rPr>
          <w:t xml:space="preserve">[2]</w:t>
        </w:r>
      </w:hyperlink>
      <w:bookmarkStart w:id="22" w:name="fnref4:2"/>
      <w:bookmarkEnd w:id="22"/>
      <w:hyperlink w:anchor="fn4">
        <w:r>
          <w:rPr>
            <w:rFonts w:eastAsia="inter" w:cs="inter" w:ascii="inter" w:hAnsi="inter"/>
            <w:color w:val="#000"/>
            <w:sz w:val="21"/>
            <w:u w:val="single"/>
            <w:vertAlign w:val="superscript"/>
          </w:rPr>
          <w:t xml:space="preserve">[4]</w:t>
        </w:r>
      </w:hyperlink>
    </w:p>
    <w:p>
      <w:pPr>
        <w:numPr>
          <w:ilvl w:val="1"/>
          <w:numId w:val="7"/>
        </w:numPr>
        <w:spacing w:line="360" w:before="105" w:after="105" w:lineRule="auto"/>
      </w:pPr>
      <w:r>
        <w:rPr>
          <w:rFonts w:eastAsia="inter" w:cs="inter" w:ascii="inter" w:hAnsi="inter"/>
          <w:color w:val="000000"/>
          <w:sz w:val="21"/>
        </w:rPr>
        <w:t xml:space="preserve">Counsel for Respondent (Van Siclen, Stocks &amp; Firkins) — communications regarding access/animals and purported conditions.</w:t>
      </w:r>
      <w:bookmarkStart w:id="23" w:name="fnref6:3"/>
      <w:bookmarkEnd w:id="23"/>
      <w:hyperlink w:anchor="fn6">
        <w:r>
          <w:rPr>
            <w:rFonts w:eastAsia="inter" w:cs="inter" w:ascii="inter" w:hAnsi="inter"/>
            <w:color w:val="#000"/>
            <w:sz w:val="21"/>
            <w:u w:val="single"/>
            <w:vertAlign w:val="superscript"/>
          </w:rPr>
          <w:t xml:space="preserve">[6]</w:t>
        </w:r>
      </w:hyperlink>
      <w:bookmarkStart w:id="24" w:name="fnref8:2"/>
      <w:bookmarkEnd w:id="24"/>
      <w:hyperlink w:anchor="fn8">
        <w:r>
          <w:rPr>
            <w:rFonts w:eastAsia="inter" w:cs="inter" w:ascii="inter" w:hAnsi="inter"/>
            <w:color w:val="#000"/>
            <w:sz w:val="21"/>
            <w:u w:val="single"/>
            <w:vertAlign w:val="superscript"/>
          </w:rPr>
          <w:t xml:space="preserve">[8]</w:t>
        </w:r>
      </w:hyperlink>
    </w:p>
    <w:p>
      <w:pPr>
        <w:numPr>
          <w:ilvl w:val="1"/>
          <w:numId w:val="7"/>
        </w:numPr>
        <w:spacing w:line="360" w:before="105" w:after="105" w:lineRule="auto"/>
      </w:pPr>
      <w:r>
        <w:rPr>
          <w:rFonts w:eastAsia="inter" w:cs="inter" w:ascii="inter" w:hAnsi="inter"/>
          <w:color w:val="000000"/>
          <w:sz w:val="21"/>
        </w:rPr>
        <w:t xml:space="preserve">Law enforcement and Court Administration (Snohomish County Sheriff; courtroom staff) — service, civil standbys, reissuance entries, and calendar.</w:t>
      </w:r>
      <w:bookmarkStart w:id="25" w:name="fnref5:2"/>
      <w:bookmarkEnd w:id="25"/>
      <w:hyperlink w:anchor="fn5">
        <w:r>
          <w:rPr>
            <w:rFonts w:eastAsia="inter" w:cs="inter" w:ascii="inter" w:hAnsi="inter"/>
            <w:color w:val="#000"/>
            <w:sz w:val="21"/>
            <w:u w:val="single"/>
            <w:vertAlign w:val="superscript"/>
          </w:rPr>
          <w:t xml:space="preserve">[5]</w:t>
        </w:r>
      </w:hyperlink>
      <w:bookmarkStart w:id="26" w:name="fnref6:4"/>
      <w:bookmarkEnd w:id="26"/>
      <w:hyperlink w:anchor="fn6">
        <w:r>
          <w:rPr>
            <w:rFonts w:eastAsia="inter" w:cs="inter" w:ascii="inter" w:hAnsi="inter"/>
            <w:color w:val="#000"/>
            <w:sz w:val="21"/>
            <w:u w:val="single"/>
            <w:vertAlign w:val="superscript"/>
          </w:rPr>
          <w:t xml:space="preserve">[6]</w:t>
        </w:r>
      </w:hyperlink>
      <w:bookmarkStart w:id="27" w:name="fnref1:3"/>
      <w:bookmarkEnd w:id="27"/>
      <w:hyperlink w:anchor="fn1">
        <w:r>
          <w:rPr>
            <w:rFonts w:eastAsia="inter" w:cs="inter" w:ascii="inter" w:hAnsi="inter"/>
            <w:color w:val="#000"/>
            <w:sz w:val="21"/>
            <w:u w:val="single"/>
            <w:vertAlign w:val="superscript"/>
          </w:rPr>
          <w:t xml:space="preserve">[1]</w:t>
        </w:r>
      </w:hyperlink>
    </w:p>
    <w:p>
      <w:pPr>
        <w:numPr>
          <w:ilvl w:val="1"/>
          <w:numId w:val="7"/>
        </w:numPr>
        <w:spacing w:line="360" w:before="105" w:after="105" w:lineRule="auto"/>
      </w:pPr>
      <w:r>
        <w:rPr>
          <w:rFonts w:eastAsia="inter" w:cs="inter" w:ascii="inter" w:hAnsi="inter"/>
          <w:color w:val="000000"/>
          <w:sz w:val="21"/>
        </w:rPr>
        <w:t xml:space="preserve">Medical/EMS: Snohomish Regional Fire &amp; Rescue; hospital providers related to Sept 2024 and April 13, 2025 events (ICU/life support).</w:t>
      </w:r>
      <w:bookmarkStart w:id="28" w:name="fnref3:3"/>
      <w:bookmarkEnd w:id="28"/>
      <w:hyperlink w:anchor="fn3">
        <w:r>
          <w:rPr>
            <w:rFonts w:eastAsia="inter" w:cs="inter" w:ascii="inter" w:hAnsi="inter"/>
            <w:color w:val="#000"/>
            <w:sz w:val="21"/>
            <w:u w:val="single"/>
            <w:vertAlign w:val="superscript"/>
          </w:rPr>
          <w:t xml:space="preserve">[3]</w:t>
        </w:r>
      </w:hyperlink>
      <w:bookmarkStart w:id="29" w:name="fnref2:5"/>
      <w:bookmarkEnd w:id="29"/>
      <w:hyperlink w:anchor="fn2">
        <w:r>
          <w:rPr>
            <w:rFonts w:eastAsia="inter" w:cs="inter" w:ascii="inter" w:hAnsi="inter"/>
            <w:color w:val="#000"/>
            <w:sz w:val="21"/>
            <w:u w:val="single"/>
            <w:vertAlign w:val="superscript"/>
          </w:rPr>
          <w:t xml:space="preserve">[2]</w:t>
        </w:r>
      </w:hyperlink>
      <w:bookmarkStart w:id="30" w:name="fnref4:3"/>
      <w:bookmarkEnd w:id="30"/>
      <w:hyperlink w:anchor="fn4">
        <w:r>
          <w:rPr>
            <w:rFonts w:eastAsia="inter" w:cs="inter" w:ascii="inter" w:hAnsi="inter"/>
            <w:color w:val="#000"/>
            <w:sz w:val="21"/>
            <w:u w:val="single"/>
            <w:vertAlign w:val="superscript"/>
          </w:rPr>
          <w:t xml:space="preserve">[4]</w:t>
        </w:r>
      </w:hyperlink>
    </w:p>
    <w:p>
      <w:pPr>
        <w:numPr>
          <w:ilvl w:val="1"/>
          <w:numId w:val="7"/>
        </w:numPr>
        <w:spacing w:line="360" w:before="105" w:after="105" w:lineRule="auto"/>
      </w:pPr>
      <w:r>
        <w:rPr>
          <w:rFonts w:eastAsia="inter" w:cs="inter" w:ascii="inter" w:hAnsi="inter"/>
          <w:color w:val="000000"/>
          <w:sz w:val="21"/>
        </w:rPr>
        <w:t xml:space="preserve">Aflac representatives regarding group policy status, effective dates, claims No. GRP-6320164.</w:t>
      </w:r>
      <w:bookmarkStart w:id="31" w:name="fnref7:2"/>
      <w:bookmarkEnd w:id="31"/>
      <w:hyperlink w:anchor="fn7">
        <w:r>
          <w:rPr>
            <w:rFonts w:eastAsia="inter" w:cs="inter" w:ascii="inter" w:hAnsi="inter"/>
            <w:color w:val="#000"/>
            <w:sz w:val="21"/>
            <w:u w:val="single"/>
            <w:vertAlign w:val="superscript"/>
          </w:rPr>
          <w:t xml:space="preserve">[7]</w:t>
        </w:r>
      </w:hyperlink>
      <w:bookmarkStart w:id="32" w:name="fnref4:4"/>
      <w:bookmarkEnd w:id="32"/>
      <w:hyperlink w:anchor="fn4">
        <w:r>
          <w:rPr>
            <w:rFonts w:eastAsia="inter" w:cs="inter" w:ascii="inter" w:hAnsi="inter"/>
            <w:color w:val="#000"/>
            <w:sz w:val="21"/>
            <w:u w:val="single"/>
            <w:vertAlign w:val="superscript"/>
          </w:rPr>
          <w:t xml:space="preserve">[4]</w:t>
        </w:r>
      </w:hyperlink>
    </w:p>
    <w:p>
      <w:pPr>
        <w:numPr>
          <w:ilvl w:val="0"/>
          <w:numId w:val="7"/>
        </w:numPr>
        <w:spacing w:line="360" w:after="210" w:lineRule="auto"/>
      </w:pPr>
      <w:r>
        <w:rPr>
          <w:rFonts w:eastAsia="inter" w:cs="inter" w:ascii="inter" w:hAnsi="inter"/>
          <w:color w:val="000000"/>
          <w:sz w:val="21"/>
        </w:rPr>
        <w:t xml:space="preserve">Categories of documents/data:</w:t>
      </w:r>
    </w:p>
    <w:p>
      <w:pPr>
        <w:numPr>
          <w:ilvl w:val="1"/>
          <w:numId w:val="7"/>
        </w:numPr>
        <w:spacing w:line="360" w:before="105" w:after="105" w:lineRule="auto"/>
      </w:pPr>
      <w:r>
        <w:rPr>
          <w:rFonts w:eastAsia="inter" w:cs="inter" w:ascii="inter" w:hAnsi="inter"/>
          <w:color w:val="000000"/>
          <w:sz w:val="21"/>
        </w:rPr>
        <w:t xml:space="preserve">Court orders and filings in related case numbers (TPO, reissuance, denial orders, hearing orders).</w:t>
      </w:r>
      <w:bookmarkStart w:id="33" w:name="fnref2:6"/>
      <w:bookmarkEnd w:id="33"/>
      <w:hyperlink w:anchor="fn2">
        <w:r>
          <w:rPr>
            <w:rFonts w:eastAsia="inter" w:cs="inter" w:ascii="inter" w:hAnsi="inter"/>
            <w:color w:val="#000"/>
            <w:sz w:val="21"/>
            <w:u w:val="single"/>
            <w:vertAlign w:val="superscript"/>
          </w:rPr>
          <w:t xml:space="preserve">[2]</w:t>
        </w:r>
      </w:hyperlink>
      <w:bookmarkStart w:id="34" w:name="fnref4:5"/>
      <w:bookmarkEnd w:id="34"/>
      <w:hyperlink w:anchor="fn4">
        <w:r>
          <w:rPr>
            <w:rFonts w:eastAsia="inter" w:cs="inter" w:ascii="inter" w:hAnsi="inter"/>
            <w:color w:val="#000"/>
            <w:sz w:val="21"/>
            <w:u w:val="single"/>
            <w:vertAlign w:val="superscript"/>
          </w:rPr>
          <w:t xml:space="preserve">[4]</w:t>
        </w:r>
      </w:hyperlink>
      <w:bookmarkStart w:id="35" w:name="fnref6:5"/>
      <w:bookmarkEnd w:id="35"/>
      <w:hyperlink w:anchor="fn6">
        <w:r>
          <w:rPr>
            <w:rFonts w:eastAsia="inter" w:cs="inter" w:ascii="inter" w:hAnsi="inter"/>
            <w:color w:val="#000"/>
            <w:sz w:val="21"/>
            <w:u w:val="single"/>
            <w:vertAlign w:val="superscript"/>
          </w:rPr>
          <w:t xml:space="preserve">[6]</w:t>
        </w:r>
      </w:hyperlink>
      <w:bookmarkStart w:id="36" w:name="fnref3:4"/>
      <w:bookmarkEnd w:id="36"/>
      <w:hyperlink w:anchor="fn3">
        <w:r>
          <w:rPr>
            <w:rFonts w:eastAsia="inter" w:cs="inter" w:ascii="inter" w:hAnsi="inter"/>
            <w:color w:val="#000"/>
            <w:sz w:val="21"/>
            <w:u w:val="single"/>
            <w:vertAlign w:val="superscript"/>
          </w:rPr>
          <w:t xml:space="preserve">[3]</w:t>
        </w:r>
      </w:hyperlink>
      <w:bookmarkStart w:id="37" w:name="fnref1:4"/>
      <w:bookmarkEnd w:id="37"/>
      <w:hyperlink w:anchor="fn1">
        <w:r>
          <w:rPr>
            <w:rFonts w:eastAsia="inter" w:cs="inter" w:ascii="inter" w:hAnsi="inter"/>
            <w:color w:val="#000"/>
            <w:sz w:val="21"/>
            <w:u w:val="single"/>
            <w:vertAlign w:val="superscript"/>
          </w:rPr>
          <w:t xml:space="preserve">[1]</w:t>
        </w:r>
      </w:hyperlink>
      <w:bookmarkStart w:id="38" w:name="fnref5:3"/>
      <w:bookmarkEnd w:id="38"/>
      <w:hyperlink w:anchor="fn5">
        <w:r>
          <w:rPr>
            <w:rFonts w:eastAsia="inter" w:cs="inter" w:ascii="inter" w:hAnsi="inter"/>
            <w:color w:val="#000"/>
            <w:sz w:val="21"/>
            <w:u w:val="single"/>
            <w:vertAlign w:val="superscript"/>
          </w:rPr>
          <w:t xml:space="preserve">[5]</w:t>
        </w:r>
      </w:hyperlink>
    </w:p>
    <w:p>
      <w:pPr>
        <w:numPr>
          <w:ilvl w:val="1"/>
          <w:numId w:val="7"/>
        </w:numPr>
        <w:spacing w:line="360" w:before="105" w:after="105" w:lineRule="auto"/>
      </w:pPr>
      <w:r>
        <w:rPr>
          <w:rFonts w:eastAsia="inter" w:cs="inter" w:ascii="inter" w:hAnsi="inter"/>
          <w:color w:val="000000"/>
          <w:sz w:val="21"/>
        </w:rPr>
        <w:t xml:space="preserve">Communications: texts and emails re access, codes/keys, animals, and counsel directives.</w:t>
      </w:r>
      <w:bookmarkStart w:id="39" w:name="fnref8:3"/>
      <w:bookmarkEnd w:id="39"/>
      <w:hyperlink w:anchor="fn8">
        <w:r>
          <w:rPr>
            <w:rFonts w:eastAsia="inter" w:cs="inter" w:ascii="inter" w:hAnsi="inter"/>
            <w:color w:val="#000"/>
            <w:sz w:val="21"/>
            <w:u w:val="single"/>
            <w:vertAlign w:val="superscript"/>
          </w:rPr>
          <w:t xml:space="preserve">[8]</w:t>
        </w:r>
      </w:hyperlink>
      <w:bookmarkStart w:id="40" w:name="fnref6:6"/>
      <w:bookmarkEnd w:id="40"/>
      <w:hyperlink w:anchor="fn6">
        <w:r>
          <w:rPr>
            <w:rFonts w:eastAsia="inter" w:cs="inter" w:ascii="inter" w:hAnsi="inter"/>
            <w:color w:val="#000"/>
            <w:sz w:val="21"/>
            <w:u w:val="single"/>
            <w:vertAlign w:val="superscript"/>
          </w:rPr>
          <w:t xml:space="preserve">[6]</w:t>
        </w:r>
      </w:hyperlink>
    </w:p>
    <w:p>
      <w:pPr>
        <w:numPr>
          <w:ilvl w:val="1"/>
          <w:numId w:val="7"/>
        </w:numPr>
        <w:spacing w:line="360" w:before="105" w:after="105" w:lineRule="auto"/>
      </w:pPr>
      <w:r>
        <w:rPr>
          <w:rFonts w:eastAsia="inter" w:cs="inter" w:ascii="inter" w:hAnsi="inter"/>
          <w:color w:val="000000"/>
          <w:sz w:val="21"/>
        </w:rPr>
        <w:t xml:space="preserve">Property and business records: inventory, tools, shop stock, alleged disposal items; proof of business disruption and revenue impacts.</w:t>
      </w:r>
      <w:bookmarkStart w:id="41" w:name="fnref4:6"/>
      <w:bookmarkEnd w:id="41"/>
      <w:hyperlink w:anchor="fn4">
        <w:r>
          <w:rPr>
            <w:rFonts w:eastAsia="inter" w:cs="inter" w:ascii="inter" w:hAnsi="inter"/>
            <w:color w:val="#000"/>
            <w:sz w:val="21"/>
            <w:u w:val="single"/>
            <w:vertAlign w:val="superscript"/>
          </w:rPr>
          <w:t xml:space="preserve">[4]</w:t>
        </w:r>
      </w:hyperlink>
      <w:bookmarkStart w:id="42" w:name="fnref8:4"/>
      <w:bookmarkEnd w:id="42"/>
      <w:hyperlink w:anchor="fn8">
        <w:r>
          <w:rPr>
            <w:rFonts w:eastAsia="inter" w:cs="inter" w:ascii="inter" w:hAnsi="inter"/>
            <w:color w:val="#000"/>
            <w:sz w:val="21"/>
            <w:u w:val="single"/>
            <w:vertAlign w:val="superscript"/>
          </w:rPr>
          <w:t xml:space="preserve">[8]</w:t>
        </w:r>
      </w:hyperlink>
      <w:bookmarkStart w:id="43" w:name="fnref2:7"/>
      <w:bookmarkEnd w:id="43"/>
      <w:hyperlink w:anchor="fn2">
        <w:r>
          <w:rPr>
            <w:rFonts w:eastAsia="inter" w:cs="inter" w:ascii="inter" w:hAnsi="inter"/>
            <w:color w:val="#000"/>
            <w:sz w:val="21"/>
            <w:u w:val="single"/>
            <w:vertAlign w:val="superscript"/>
          </w:rPr>
          <w:t xml:space="preserve">[2]</w:t>
        </w:r>
      </w:hyperlink>
    </w:p>
    <w:p>
      <w:pPr>
        <w:numPr>
          <w:ilvl w:val="1"/>
          <w:numId w:val="7"/>
        </w:numPr>
        <w:spacing w:line="360" w:before="105" w:after="105" w:lineRule="auto"/>
      </w:pPr>
      <w:r>
        <w:rPr>
          <w:rFonts w:eastAsia="inter" w:cs="inter" w:ascii="inter" w:hAnsi="inter"/>
          <w:color w:val="000000"/>
          <w:sz w:val="21"/>
        </w:rPr>
        <w:t xml:space="preserve">Medical and EMS records tied to April 13, 2025 and other dates.</w:t>
      </w:r>
      <w:bookmarkStart w:id="44" w:name="fnref3:5"/>
      <w:bookmarkEnd w:id="44"/>
      <w:hyperlink w:anchor="fn3">
        <w:r>
          <w:rPr>
            <w:rFonts w:eastAsia="inter" w:cs="inter" w:ascii="inter" w:hAnsi="inter"/>
            <w:color w:val="#000"/>
            <w:sz w:val="21"/>
            <w:u w:val="single"/>
            <w:vertAlign w:val="superscript"/>
          </w:rPr>
          <w:t xml:space="preserve">[3]</w:t>
        </w:r>
      </w:hyperlink>
      <w:bookmarkStart w:id="45" w:name="fnref2:8"/>
      <w:bookmarkEnd w:id="45"/>
      <w:hyperlink w:anchor="fn2">
        <w:r>
          <w:rPr>
            <w:rFonts w:eastAsia="inter" w:cs="inter" w:ascii="inter" w:hAnsi="inter"/>
            <w:color w:val="#000"/>
            <w:sz w:val="21"/>
            <w:u w:val="single"/>
            <w:vertAlign w:val="superscript"/>
          </w:rPr>
          <w:t xml:space="preserve">[2]</w:t>
        </w:r>
      </w:hyperlink>
      <w:bookmarkStart w:id="46" w:name="fnref4:7"/>
      <w:bookmarkEnd w:id="46"/>
      <w:hyperlink w:anchor="fn4">
        <w:r>
          <w:rPr>
            <w:rFonts w:eastAsia="inter" w:cs="inter" w:ascii="inter" w:hAnsi="inter"/>
            <w:color w:val="#000"/>
            <w:sz w:val="21"/>
            <w:u w:val="single"/>
            <w:vertAlign w:val="superscript"/>
          </w:rPr>
          <w:t xml:space="preserve">[4]</w:t>
        </w:r>
      </w:hyperlink>
    </w:p>
    <w:p>
      <w:pPr>
        <w:numPr>
          <w:ilvl w:val="1"/>
          <w:numId w:val="7"/>
        </w:numPr>
        <w:spacing w:line="360" w:before="105" w:after="105" w:lineRule="auto"/>
      </w:pPr>
      <w:r>
        <w:rPr>
          <w:rFonts w:eastAsia="inter" w:cs="inter" w:ascii="inter" w:hAnsi="inter"/>
          <w:color w:val="000000"/>
          <w:sz w:val="21"/>
        </w:rPr>
        <w:t xml:space="preserve">Insurance (Aflac) account snapshots, policy status notices, portal access logs/credentials communications, and claim filings/responses.</w:t>
      </w:r>
      <w:bookmarkStart w:id="47" w:name="fnref7:3"/>
      <w:bookmarkEnd w:id="47"/>
      <w:hyperlink w:anchor="fn7">
        <w:r>
          <w:rPr>
            <w:rFonts w:eastAsia="inter" w:cs="inter" w:ascii="inter" w:hAnsi="inter"/>
            <w:color w:val="#000"/>
            <w:sz w:val="21"/>
            <w:u w:val="single"/>
            <w:vertAlign w:val="superscript"/>
          </w:rPr>
          <w:t xml:space="preserve">[7]</w:t>
        </w:r>
      </w:hyperlink>
      <w:bookmarkStart w:id="48" w:name="fnref4:8"/>
      <w:bookmarkEnd w:id="48"/>
      <w:hyperlink w:anchor="fn4">
        <w:r>
          <w:rPr>
            <w:rFonts w:eastAsia="inter" w:cs="inter" w:ascii="inter" w:hAnsi="inter"/>
            <w:color w:val="#000"/>
            <w:sz w:val="21"/>
            <w:u w:val="single"/>
            <w:vertAlign w:val="superscript"/>
          </w:rPr>
          <w:t xml:space="preserve">[4]</w:t>
        </w:r>
      </w:hyperlink>
    </w:p>
    <w:p>
      <w:pPr>
        <w:numPr>
          <w:ilvl w:val="0"/>
          <w:numId w:val="7"/>
        </w:numPr>
        <w:spacing w:line="360" w:after="210" w:lineRule="auto"/>
      </w:pPr>
      <w:r>
        <w:rPr>
          <w:rFonts w:eastAsia="inter" w:cs="inter" w:ascii="inter" w:hAnsi="inter"/>
          <w:color w:val="000000"/>
          <w:sz w:val="21"/>
        </w:rPr>
        <w:t xml:space="preserve">Damages computation:</w:t>
      </w:r>
    </w:p>
    <w:p>
      <w:pPr>
        <w:numPr>
          <w:ilvl w:val="1"/>
          <w:numId w:val="7"/>
        </w:numPr>
        <w:spacing w:line="360" w:before="105" w:after="105" w:lineRule="auto"/>
      </w:pPr>
      <w:r>
        <w:rPr>
          <w:rFonts w:eastAsia="inter" w:cs="inter" w:ascii="inter" w:hAnsi="inter"/>
          <w:color w:val="000000"/>
          <w:sz w:val="21"/>
        </w:rPr>
        <w:t xml:space="preserve">Business loss assertion of $750/day tied to denial of access from Sept 13, 2024 (or a subset), subject to records/mitigation and court determination.</w:t>
      </w:r>
      <w:bookmarkStart w:id="49" w:name="fnref8:5"/>
      <w:bookmarkEnd w:id="49"/>
      <w:hyperlink w:anchor="fn8">
        <w:r>
          <w:rPr>
            <w:rFonts w:eastAsia="inter" w:cs="inter" w:ascii="inter" w:hAnsi="inter"/>
            <w:color w:val="#000"/>
            <w:sz w:val="21"/>
            <w:u w:val="single"/>
            <w:vertAlign w:val="superscript"/>
          </w:rPr>
          <w:t xml:space="preserve">[8]</w:t>
        </w:r>
      </w:hyperlink>
      <w:bookmarkStart w:id="50" w:name="fnref4:9"/>
      <w:bookmarkEnd w:id="50"/>
      <w:hyperlink w:anchor="fn4">
        <w:r>
          <w:rPr>
            <w:rFonts w:eastAsia="inter" w:cs="inter" w:ascii="inter" w:hAnsi="inter"/>
            <w:color w:val="#000"/>
            <w:sz w:val="21"/>
            <w:u w:val="single"/>
            <w:vertAlign w:val="superscript"/>
          </w:rPr>
          <w:t xml:space="preserve">[4]</w:t>
        </w:r>
      </w:hyperlink>
    </w:p>
    <w:p>
      <w:pPr>
        <w:numPr>
          <w:ilvl w:val="0"/>
          <w:numId w:val="7"/>
        </w:numPr>
        <w:spacing w:line="360" w:after="210" w:lineRule="auto"/>
      </w:pPr>
      <w:r>
        <w:rPr>
          <w:rFonts w:eastAsia="inter" w:cs="inter" w:ascii="inter" w:hAnsi="inter"/>
          <w:color w:val="000000"/>
          <w:sz w:val="21"/>
        </w:rPr>
        <w:t xml:space="preserve">Insurance agreements:</w:t>
      </w:r>
    </w:p>
    <w:p>
      <w:pPr>
        <w:numPr>
          <w:ilvl w:val="1"/>
          <w:numId w:val="7"/>
        </w:numPr>
        <w:spacing w:line="360" w:before="105" w:after="105" w:lineRule="auto"/>
      </w:pPr>
      <w:r>
        <w:rPr>
          <w:rFonts w:eastAsia="inter" w:cs="inter" w:ascii="inter" w:hAnsi="inter"/>
          <w:color w:val="000000"/>
          <w:sz w:val="21"/>
        </w:rPr>
        <w:t xml:space="preserve">Aflac group accident/critical illness policy recorded as active/lapsed dispute; effective dates in question; claim GRP-6320164; sought as part of discovery.</w:t>
      </w:r>
      <w:bookmarkStart w:id="51" w:name="fnref4:10"/>
      <w:bookmarkEnd w:id="51"/>
      <w:hyperlink w:anchor="fn4">
        <w:r>
          <w:rPr>
            <w:rFonts w:eastAsia="inter" w:cs="inter" w:ascii="inter" w:hAnsi="inter"/>
            <w:color w:val="#000"/>
            <w:sz w:val="21"/>
            <w:u w:val="single"/>
            <w:vertAlign w:val="superscript"/>
          </w:rPr>
          <w:t xml:space="preserve">[4]</w:t>
        </w:r>
      </w:hyperlink>
      <w:bookmarkStart w:id="52" w:name="fnref7:4"/>
      <w:bookmarkEnd w:id="52"/>
      <w:hyperlink w:anchor="fn7">
        <w:r>
          <w:rPr>
            <w:rFonts w:eastAsia="inter" w:cs="inter" w:ascii="inter" w:hAnsi="inter"/>
            <w:color w:val="#000"/>
            <w:sz w:val="21"/>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Section 3 — Factual Timeline (Concise)</w:t>
      </w:r>
    </w:p>
    <w:p>
      <w:pPr>
        <w:numPr>
          <w:ilvl w:val="0"/>
          <w:numId w:val="8"/>
        </w:numPr>
        <w:spacing w:line="360" w:before="105" w:after="105" w:lineRule="auto"/>
      </w:pPr>
      <w:r>
        <w:rPr>
          <w:rFonts w:eastAsia="inter" w:cs="inter" w:ascii="inter" w:hAnsi="inter"/>
          <w:color w:val="000000"/>
          <w:sz w:val="21"/>
        </w:rPr>
        <w:t xml:space="preserve">July 2024: Incident leading to arrest and subsequent disputes over property and communications.</w:t>
      </w:r>
      <w:bookmarkStart w:id="53" w:name="fnref6:7"/>
      <w:bookmarkEnd w:id="53"/>
      <w:hyperlink w:anchor="fn6">
        <w:r>
          <w:rPr>
            <w:rFonts w:eastAsia="inter" w:cs="inter" w:ascii="inter" w:hAnsi="inter"/>
            <w:color w:val="#000"/>
            <w:sz w:val="21"/>
            <w:u w:val="single"/>
            <w:vertAlign w:val="superscript"/>
          </w:rPr>
          <w:t xml:space="preserve">[6]</w:t>
        </w:r>
      </w:hyperlink>
      <w:bookmarkStart w:id="54" w:name="fnref3:6"/>
      <w:bookmarkEnd w:id="54"/>
      <w:hyperlink w:anchor="fn3">
        <w:r>
          <w:rPr>
            <w:rFonts w:eastAsia="inter" w:cs="inter" w:ascii="inter" w:hAnsi="inter"/>
            <w:color w:val="#000"/>
            <w:sz w:val="21"/>
            <w:u w:val="single"/>
            <w:vertAlign w:val="superscript"/>
          </w:rPr>
          <w:t xml:space="preserve">[3]</w:t>
        </w:r>
      </w:hyperlink>
      <w:bookmarkStart w:id="55" w:name="fnref7:5"/>
      <w:bookmarkEnd w:id="55"/>
      <w:hyperlink w:anchor="fn7">
        <w:r>
          <w:rPr>
            <w:rFonts w:eastAsia="inter" w:cs="inter" w:ascii="inter" w:hAnsi="inter"/>
            <w:color w:val="#000"/>
            <w:sz w:val="21"/>
            <w:u w:val="single"/>
            <w:vertAlign w:val="superscript"/>
          </w:rPr>
          <w:t xml:space="preserve">[7]</w:t>
        </w:r>
      </w:hyperlink>
    </w:p>
    <w:p>
      <w:pPr>
        <w:numPr>
          <w:ilvl w:val="0"/>
          <w:numId w:val="8"/>
        </w:numPr>
        <w:spacing w:line="360" w:before="105" w:after="105" w:lineRule="auto"/>
      </w:pPr>
      <w:r>
        <w:rPr>
          <w:rFonts w:eastAsia="inter" w:cs="inter" w:ascii="inter" w:hAnsi="inter"/>
          <w:color w:val="000000"/>
          <w:sz w:val="21"/>
        </w:rPr>
        <w:t xml:space="preserve">Nov 6, 2024: Arrest incident; contested accounts of lying/property; animal and property disputes arise.</w:t>
      </w:r>
      <w:bookmarkStart w:id="56" w:name="fnref6:8"/>
      <w:bookmarkEnd w:id="56"/>
      <w:hyperlink w:anchor="fn6">
        <w:r>
          <w:rPr>
            <w:rFonts w:eastAsia="inter" w:cs="inter" w:ascii="inter" w:hAnsi="inter"/>
            <w:color w:val="#000"/>
            <w:sz w:val="21"/>
            <w:u w:val="single"/>
            <w:vertAlign w:val="superscript"/>
          </w:rPr>
          <w:t xml:space="preserve">[6]</w:t>
        </w:r>
      </w:hyperlink>
      <w:bookmarkStart w:id="57" w:name="fnref3:7"/>
      <w:bookmarkEnd w:id="57"/>
      <w:hyperlink w:anchor="fn3">
        <w:r>
          <w:rPr>
            <w:rFonts w:eastAsia="inter" w:cs="inter" w:ascii="inter" w:hAnsi="inter"/>
            <w:color w:val="#000"/>
            <w:sz w:val="21"/>
            <w:u w:val="single"/>
            <w:vertAlign w:val="superscript"/>
          </w:rPr>
          <w:t xml:space="preserve">[3]</w:t>
        </w:r>
      </w:hyperlink>
      <w:bookmarkStart w:id="58" w:name="fnref7:6"/>
      <w:bookmarkEnd w:id="58"/>
      <w:hyperlink w:anchor="fn7">
        <w:r>
          <w:rPr>
            <w:rFonts w:eastAsia="inter" w:cs="inter" w:ascii="inter" w:hAnsi="inter"/>
            <w:color w:val="#000"/>
            <w:sz w:val="21"/>
            <w:u w:val="single"/>
            <w:vertAlign w:val="superscript"/>
          </w:rPr>
          <w:t xml:space="preserve">[7]</w:t>
        </w:r>
      </w:hyperlink>
    </w:p>
    <w:p>
      <w:pPr>
        <w:numPr>
          <w:ilvl w:val="0"/>
          <w:numId w:val="8"/>
        </w:numPr>
        <w:spacing w:line="360" w:before="105" w:after="105" w:lineRule="auto"/>
      </w:pPr>
      <w:r>
        <w:rPr>
          <w:rFonts w:eastAsia="inter" w:cs="inter" w:ascii="inter" w:hAnsi="inter"/>
          <w:color w:val="000000"/>
          <w:sz w:val="21"/>
        </w:rPr>
        <w:t xml:space="preserve">Dec 27, 2024: Incident forming DV case background; contested details and later filings.</w:t>
      </w:r>
      <w:bookmarkStart w:id="59" w:name="fnref8:6"/>
      <w:bookmarkEnd w:id="59"/>
      <w:hyperlink w:anchor="fn8">
        <w:r>
          <w:rPr>
            <w:rFonts w:eastAsia="inter" w:cs="inter" w:ascii="inter" w:hAnsi="inter"/>
            <w:color w:val="#000"/>
            <w:sz w:val="21"/>
            <w:u w:val="single"/>
            <w:vertAlign w:val="superscript"/>
          </w:rPr>
          <w:t xml:space="preserve">[8]</w:t>
        </w:r>
      </w:hyperlink>
      <w:bookmarkStart w:id="60" w:name="fnref3:8"/>
      <w:bookmarkEnd w:id="60"/>
      <w:hyperlink w:anchor="fn3">
        <w:r>
          <w:rPr>
            <w:rFonts w:eastAsia="inter" w:cs="inter" w:ascii="inter" w:hAnsi="inter"/>
            <w:color w:val="#000"/>
            <w:sz w:val="21"/>
            <w:u w:val="single"/>
            <w:vertAlign w:val="superscript"/>
          </w:rPr>
          <w:t xml:space="preserve">[3]</w:t>
        </w:r>
      </w:hyperlink>
      <w:bookmarkStart w:id="61" w:name="fnref7:7"/>
      <w:bookmarkEnd w:id="61"/>
      <w:hyperlink w:anchor="fn7">
        <w:r>
          <w:rPr>
            <w:rFonts w:eastAsia="inter" w:cs="inter" w:ascii="inter" w:hAnsi="inter"/>
            <w:color w:val="#000"/>
            <w:sz w:val="21"/>
            <w:u w:val="single"/>
            <w:vertAlign w:val="superscript"/>
          </w:rPr>
          <w:t xml:space="preserve">[7]</w:t>
        </w:r>
      </w:hyperlink>
    </w:p>
    <w:p>
      <w:pPr>
        <w:numPr>
          <w:ilvl w:val="0"/>
          <w:numId w:val="8"/>
        </w:numPr>
        <w:spacing w:line="360" w:before="105" w:after="105" w:lineRule="auto"/>
      </w:pPr>
      <w:r>
        <w:rPr>
          <w:rFonts w:eastAsia="inter" w:cs="inter" w:ascii="inter" w:hAnsi="inter"/>
          <w:color w:val="000000"/>
          <w:sz w:val="21"/>
        </w:rPr>
        <w:t xml:space="preserve">Early Mar–Apr 2025: Garage access dispute; April 5–6 police calls; April 11 anti-harassment filing; April 13 medical crisis with EMS and ICU.</w:t>
      </w:r>
      <w:bookmarkStart w:id="62" w:name="fnref2:9"/>
      <w:bookmarkEnd w:id="62"/>
      <w:hyperlink w:anchor="fn2">
        <w:r>
          <w:rPr>
            <w:rFonts w:eastAsia="inter" w:cs="inter" w:ascii="inter" w:hAnsi="inter"/>
            <w:color w:val="#000"/>
            <w:sz w:val="21"/>
            <w:u w:val="single"/>
            <w:vertAlign w:val="superscript"/>
          </w:rPr>
          <w:t xml:space="preserve">[2]</w:t>
        </w:r>
      </w:hyperlink>
      <w:bookmarkStart w:id="63" w:name="fnref3:9"/>
      <w:bookmarkEnd w:id="63"/>
      <w:hyperlink w:anchor="fn3">
        <w:r>
          <w:rPr>
            <w:rFonts w:eastAsia="inter" w:cs="inter" w:ascii="inter" w:hAnsi="inter"/>
            <w:color w:val="#000"/>
            <w:sz w:val="21"/>
            <w:u w:val="single"/>
            <w:vertAlign w:val="superscript"/>
          </w:rPr>
          <w:t xml:space="preserve">[3]</w:t>
        </w:r>
      </w:hyperlink>
      <w:bookmarkStart w:id="64" w:name="fnref4:11"/>
      <w:bookmarkEnd w:id="64"/>
      <w:hyperlink w:anchor="fn4">
        <w:r>
          <w:rPr>
            <w:rFonts w:eastAsia="inter" w:cs="inter" w:ascii="inter" w:hAnsi="inter"/>
            <w:color w:val="#000"/>
            <w:sz w:val="21"/>
            <w:u w:val="single"/>
            <w:vertAlign w:val="superscript"/>
          </w:rPr>
          <w:t xml:space="preserve">[4]</w:t>
        </w:r>
      </w:hyperlink>
      <w:bookmarkStart w:id="65" w:name="fnref6:9"/>
      <w:bookmarkEnd w:id="65"/>
      <w:hyperlink w:anchor="fn6">
        <w:r>
          <w:rPr>
            <w:rFonts w:eastAsia="inter" w:cs="inter" w:ascii="inter" w:hAnsi="inter"/>
            <w:color w:val="#000"/>
            <w:sz w:val="21"/>
            <w:u w:val="single"/>
            <w:vertAlign w:val="superscript"/>
          </w:rPr>
          <w:t xml:space="preserve">[6]</w:t>
        </w:r>
      </w:hyperlink>
      <w:bookmarkStart w:id="66" w:name="fnref8:7"/>
      <w:bookmarkEnd w:id="66"/>
      <w:hyperlink w:anchor="fn8">
        <w:r>
          <w:rPr>
            <w:rFonts w:eastAsia="inter" w:cs="inter" w:ascii="inter" w:hAnsi="inter"/>
            <w:color w:val="#000"/>
            <w:sz w:val="21"/>
            <w:u w:val="single"/>
            <w:vertAlign w:val="superscript"/>
          </w:rPr>
          <w:t xml:space="preserve">[8]</w:t>
        </w:r>
      </w:hyperlink>
    </w:p>
    <w:p>
      <w:pPr>
        <w:numPr>
          <w:ilvl w:val="0"/>
          <w:numId w:val="8"/>
        </w:numPr>
        <w:spacing w:line="360" w:before="105" w:after="105" w:lineRule="auto"/>
      </w:pPr>
      <w:r>
        <w:rPr>
          <w:rFonts w:eastAsia="inter" w:cs="inter" w:ascii="inter" w:hAnsi="inter"/>
          <w:color w:val="000000"/>
          <w:sz w:val="21"/>
        </w:rPr>
        <w:t xml:space="preserve">May 30, 2025: TPO issued for Miller v. Brightwell; terms include Section K “Do not transfer jointly owned assets” and pet custody language.</w:t>
      </w:r>
      <w:bookmarkStart w:id="67" w:name="fnref5:4"/>
      <w:bookmarkEnd w:id="67"/>
      <w:hyperlink w:anchor="fn5">
        <w:r>
          <w:rPr>
            <w:rFonts w:eastAsia="inter" w:cs="inter" w:ascii="inter" w:hAnsi="inter"/>
            <w:color w:val="#000"/>
            <w:sz w:val="21"/>
            <w:u w:val="single"/>
            <w:vertAlign w:val="superscript"/>
          </w:rPr>
          <w:t xml:space="preserve">[5]</w:t>
        </w:r>
      </w:hyperlink>
      <w:bookmarkStart w:id="68" w:name="fnref6:10"/>
      <w:bookmarkEnd w:id="68"/>
      <w:hyperlink w:anchor="fn6">
        <w:r>
          <w:rPr>
            <w:rFonts w:eastAsia="inter" w:cs="inter" w:ascii="inter" w:hAnsi="inter"/>
            <w:color w:val="#000"/>
            <w:sz w:val="21"/>
            <w:u w:val="single"/>
            <w:vertAlign w:val="superscript"/>
          </w:rPr>
          <w:t xml:space="preserve">[6]</w:t>
        </w:r>
      </w:hyperlink>
    </w:p>
    <w:p>
      <w:pPr>
        <w:numPr>
          <w:ilvl w:val="0"/>
          <w:numId w:val="8"/>
        </w:numPr>
        <w:spacing w:line="360" w:before="105" w:after="105" w:lineRule="auto"/>
      </w:pPr>
      <w:r>
        <w:rPr>
          <w:rFonts w:eastAsia="inter" w:cs="inter" w:ascii="inter" w:hAnsi="inter"/>
          <w:color w:val="000000"/>
          <w:sz w:val="21"/>
        </w:rPr>
        <w:t xml:space="preserve">June 6–13, 2025: Miller’s compliance demands; counsel responses restricting access; reissuance June 10; civil standby June 14.</w:t>
      </w:r>
      <w:bookmarkStart w:id="69" w:name="fnref6:11"/>
      <w:bookmarkEnd w:id="69"/>
      <w:hyperlink w:anchor="fn6">
        <w:r>
          <w:rPr>
            <w:rFonts w:eastAsia="inter" w:cs="inter" w:ascii="inter" w:hAnsi="inter"/>
            <w:color w:val="#000"/>
            <w:sz w:val="21"/>
            <w:u w:val="single"/>
            <w:vertAlign w:val="superscript"/>
          </w:rPr>
          <w:t xml:space="preserve">[6]</w:t>
        </w:r>
      </w:hyperlink>
      <w:bookmarkStart w:id="70" w:name="fnref8:8"/>
      <w:bookmarkEnd w:id="70"/>
      <w:hyperlink w:anchor="fn8">
        <w:r>
          <w:rPr>
            <w:rFonts w:eastAsia="inter" w:cs="inter" w:ascii="inter" w:hAnsi="inter"/>
            <w:color w:val="#000"/>
            <w:sz w:val="21"/>
            <w:u w:val="single"/>
            <w:vertAlign w:val="superscript"/>
          </w:rPr>
          <w:t xml:space="preserve">[8]</w:t>
        </w:r>
      </w:hyperlink>
    </w:p>
    <w:p>
      <w:pPr>
        <w:numPr>
          <w:ilvl w:val="0"/>
          <w:numId w:val="8"/>
        </w:numPr>
        <w:spacing w:line="360" w:before="105" w:after="105" w:lineRule="auto"/>
      </w:pPr>
      <w:r>
        <w:rPr>
          <w:rFonts w:eastAsia="inter" w:cs="inter" w:ascii="inter" w:hAnsi="inter"/>
          <w:color w:val="000000"/>
          <w:sz w:val="21"/>
        </w:rPr>
        <w:t xml:space="preserve">June 16–27, 2025: Motions for temporary orders and contempt; exhibits and cover filings; ex parte submissions.</w:t>
      </w:r>
      <w:bookmarkStart w:id="71" w:name="fnref2:10"/>
      <w:bookmarkEnd w:id="71"/>
      <w:hyperlink w:anchor="fn2">
        <w:r>
          <w:rPr>
            <w:rFonts w:eastAsia="inter" w:cs="inter" w:ascii="inter" w:hAnsi="inter"/>
            <w:color w:val="#000"/>
            <w:sz w:val="21"/>
            <w:u w:val="single"/>
            <w:vertAlign w:val="superscript"/>
          </w:rPr>
          <w:t xml:space="preserve">[2]</w:t>
        </w:r>
      </w:hyperlink>
      <w:bookmarkStart w:id="72" w:name="fnref4:12"/>
      <w:bookmarkEnd w:id="72"/>
      <w:hyperlink w:anchor="fn4">
        <w:r>
          <w:rPr>
            <w:rFonts w:eastAsia="inter" w:cs="inter" w:ascii="inter" w:hAnsi="inter"/>
            <w:color w:val="#000"/>
            <w:sz w:val="21"/>
            <w:u w:val="single"/>
            <w:vertAlign w:val="superscript"/>
          </w:rPr>
          <w:t xml:space="preserve">[4]</w:t>
        </w:r>
      </w:hyperlink>
      <w:bookmarkStart w:id="73" w:name="fnref8:9"/>
      <w:bookmarkEnd w:id="73"/>
      <w:hyperlink w:anchor="fn8">
        <w:r>
          <w:rPr>
            <w:rFonts w:eastAsia="inter" w:cs="inter" w:ascii="inter" w:hAnsi="inter"/>
            <w:color w:val="#000"/>
            <w:sz w:val="21"/>
            <w:u w:val="single"/>
            <w:vertAlign w:val="superscript"/>
          </w:rPr>
          <w:t xml:space="preserve">[8]</w:t>
        </w:r>
      </w:hyperlink>
      <w:bookmarkStart w:id="74" w:name="fnref6:12"/>
      <w:bookmarkEnd w:id="74"/>
      <w:hyperlink w:anchor="fn6">
        <w:r>
          <w:rPr>
            <w:rFonts w:eastAsia="inter" w:cs="inter" w:ascii="inter" w:hAnsi="inter"/>
            <w:color w:val="#000"/>
            <w:sz w:val="21"/>
            <w:u w:val="single"/>
            <w:vertAlign w:val="superscript"/>
          </w:rPr>
          <w:t xml:space="preserve">[6]</w:t>
        </w:r>
      </w:hyperlink>
    </w:p>
    <w:p>
      <w:pPr>
        <w:numPr>
          <w:ilvl w:val="0"/>
          <w:numId w:val="8"/>
        </w:numPr>
        <w:spacing w:line="360" w:before="105" w:after="105" w:lineRule="auto"/>
      </w:pPr>
      <w:r>
        <w:rPr>
          <w:rFonts w:eastAsia="inter" w:cs="inter" w:ascii="inter" w:hAnsi="inter"/>
          <w:color w:val="000000"/>
          <w:sz w:val="21"/>
        </w:rPr>
        <w:t xml:space="preserve">April–June 2025: Aflac policy coverage/termination dispute and claim filing GRP-6320164.</w:t>
      </w:r>
      <w:bookmarkStart w:id="75" w:name="fnref7:8"/>
      <w:bookmarkEnd w:id="75"/>
      <w:hyperlink w:anchor="fn7">
        <w:r>
          <w:rPr>
            <w:rFonts w:eastAsia="inter" w:cs="inter" w:ascii="inter" w:hAnsi="inter"/>
            <w:color w:val="#000"/>
            <w:sz w:val="21"/>
            <w:u w:val="single"/>
            <w:vertAlign w:val="superscript"/>
          </w:rPr>
          <w:t xml:space="preserve">[7]</w:t>
        </w:r>
      </w:hyperlink>
      <w:bookmarkStart w:id="76" w:name="fnref4:13"/>
      <w:bookmarkEnd w:id="76"/>
      <w:hyperlink w:anchor="fn4">
        <w:r>
          <w:rPr>
            <w:rFonts w:eastAsia="inter" w:cs="inter" w:ascii="inter" w:hAnsi="inter"/>
            <w:color w:val="#000"/>
            <w:sz w:val="21"/>
            <w:u w:val="single"/>
            <w:vertAlign w:val="superscript"/>
          </w:rPr>
          <w:t xml:space="preserve">[4]</w:t>
        </w:r>
      </w:hyperlink>
    </w:p>
    <w:p>
      <w:pPr>
        <w:spacing w:line="360" w:after="210" w:lineRule="auto"/>
      </w:pPr>
      <w:r>
        <w:rPr>
          <w:rFonts w:eastAsia="inter" w:cs="inter" w:ascii="inter" w:hAnsi="inter"/>
          <w:color w:val="000000"/>
        </w:rPr>
        <w:t xml:space="preserve">All dates, where precise, derive from filed documents and embedded dates therein.</w:t>
      </w:r>
      <w:bookmarkStart w:id="77" w:name="fnref1:5"/>
      <w:bookmarkEnd w:id="77"/>
      <w:hyperlink w:anchor="fn1">
        <w:r>
          <w:rPr>
            <w:rFonts w:eastAsia="inter" w:cs="inter" w:ascii="inter" w:hAnsi="inter"/>
            <w:color w:val="#000"/>
            <w:u w:val="single"/>
            <w:vertAlign w:val="superscript"/>
          </w:rPr>
          <w:t xml:space="preserve">[1]</w:t>
        </w:r>
      </w:hyperlink>
      <w:bookmarkStart w:id="78" w:name="fnref3:10"/>
      <w:bookmarkEnd w:id="78"/>
      <w:hyperlink w:anchor="fn3">
        <w:r>
          <w:rPr>
            <w:rFonts w:eastAsia="inter" w:cs="inter" w:ascii="inter" w:hAnsi="inter"/>
            <w:color w:val="#000"/>
            <w:u w:val="single"/>
            <w:vertAlign w:val="superscript"/>
          </w:rPr>
          <w:t xml:space="preserve">[3]</w:t>
        </w:r>
      </w:hyperlink>
      <w:bookmarkStart w:id="79" w:name="fnref5:5"/>
      <w:bookmarkEnd w:id="79"/>
      <w:hyperlink w:anchor="fn5">
        <w:r>
          <w:rPr>
            <w:rFonts w:eastAsia="inter" w:cs="inter" w:ascii="inter" w:hAnsi="inter"/>
            <w:color w:val="#000"/>
            <w:u w:val="single"/>
            <w:vertAlign w:val="superscript"/>
          </w:rPr>
          <w:t xml:space="preserve">[5]</w:t>
        </w:r>
      </w:hyperlink>
      <w:bookmarkStart w:id="80" w:name="fnref4:14"/>
      <w:bookmarkEnd w:id="80"/>
      <w:hyperlink w:anchor="fn4">
        <w:r>
          <w:rPr>
            <w:rFonts w:eastAsia="inter" w:cs="inter" w:ascii="inter" w:hAnsi="inter"/>
            <w:color w:val="#000"/>
            <w:u w:val="single"/>
            <w:vertAlign w:val="superscript"/>
          </w:rPr>
          <w:t xml:space="preserve">[4]</w:t>
        </w:r>
      </w:hyperlink>
      <w:bookmarkStart w:id="81" w:name="fnref8:10"/>
      <w:bookmarkEnd w:id="81"/>
      <w:hyperlink w:anchor="fn8">
        <w:r>
          <w:rPr>
            <w:rFonts w:eastAsia="inter" w:cs="inter" w:ascii="inter" w:hAnsi="inter"/>
            <w:color w:val="#000"/>
            <w:u w:val="single"/>
            <w:vertAlign w:val="superscript"/>
          </w:rPr>
          <w:t xml:space="preserve">[8]</w:t>
        </w:r>
      </w:hyperlink>
      <w:bookmarkStart w:id="82" w:name="fnref2:11"/>
      <w:bookmarkEnd w:id="82"/>
      <w:hyperlink w:anchor="fn2">
        <w:r>
          <w:rPr>
            <w:rFonts w:eastAsia="inter" w:cs="inter" w:ascii="inter" w:hAnsi="inter"/>
            <w:color w:val="#000"/>
            <w:u w:val="single"/>
            <w:vertAlign w:val="superscript"/>
          </w:rPr>
          <w:t xml:space="preserve">[2]</w:t>
        </w:r>
      </w:hyperlink>
      <w:bookmarkStart w:id="83" w:name="fnref6:13"/>
      <w:bookmarkEnd w:id="83"/>
      <w:hyperlink w:anchor="fn6">
        <w:r>
          <w:rPr>
            <w:rFonts w:eastAsia="inter" w:cs="inter" w:ascii="inter" w:hAnsi="inter"/>
            <w:color w:val="#000"/>
            <w:u w:val="single"/>
            <w:vertAlign w:val="superscript"/>
          </w:rPr>
          <w:t xml:space="preserve">[6]</w:t>
        </w:r>
      </w:hyperlink>
    </w:p>
    <w:p>
      <w:pPr>
        <w:spacing w:line="360" w:before="315" w:after="105" w:lineRule="auto"/>
        <w:ind w:left="-30"/>
        <w:jc w:val="left"/>
      </w:pPr>
      <w:r>
        <w:rPr>
          <w:rFonts w:eastAsia="inter" w:cs="inter" w:ascii="inter" w:hAnsi="inter"/>
          <w:b/>
          <w:color w:val="000000"/>
          <w:sz w:val="24"/>
        </w:rPr>
        <w:t xml:space="preserve">Section 4 — Discovery Requests (to Respondent)</w:t>
      </w:r>
    </w:p>
    <w:p>
      <w:pPr>
        <w:spacing w:line="360" w:after="210" w:lineRule="auto"/>
      </w:pPr>
      <w:r>
        <w:rPr>
          <w:rFonts w:eastAsia="inter" w:cs="inter" w:ascii="inter" w:hAnsi="inter"/>
          <w:color w:val="000000"/>
        </w:rPr>
        <w:t xml:space="preserve">Instructions: Produce within 30 days consistent with CR 26–37 and Snohomish County local practice. Electronically stored information should be produced in native or reasonably usable format with metadata for communications and logs.</w:t>
      </w:r>
    </w:p>
    <w:p>
      <w:pPr>
        <w:spacing w:line="360" w:after="210" w:lineRule="auto"/>
      </w:pPr>
      <w:r>
        <w:rPr>
          <w:rFonts w:eastAsia="inter" w:cs="inter" w:ascii="inter" w:hAnsi="inter"/>
          <w:color w:val="000000"/>
        </w:rPr>
        <w:t xml:space="preserve">A. Requests for Production</w:t>
      </w:r>
    </w:p>
    <w:p>
      <w:pPr>
        <w:numPr>
          <w:ilvl w:val="0"/>
          <w:numId w:val="9"/>
        </w:numPr>
        <w:spacing w:line="360" w:after="210" w:lineRule="auto"/>
      </w:pPr>
      <w:r>
        <w:rPr>
          <w:rFonts w:eastAsia="inter" w:cs="inter" w:ascii="inter" w:hAnsi="inter"/>
          <w:color w:val="000000"/>
          <w:sz w:val="21"/>
        </w:rPr>
        <w:t xml:space="preserve">All communications (texts, emails, messaging apps) between Respondent and Petitioner from July 1, 2024 to present concerning residence access, keys/codes, tools, animals, property removals, remodeling, and civil standbys.</w:t>
      </w:r>
      <w:bookmarkStart w:id="84" w:name="fnref3:11"/>
      <w:bookmarkEnd w:id="84"/>
      <w:hyperlink w:anchor="fn3">
        <w:r>
          <w:rPr>
            <w:rFonts w:eastAsia="inter" w:cs="inter" w:ascii="inter" w:hAnsi="inter"/>
            <w:color w:val="#000"/>
            <w:sz w:val="21"/>
            <w:u w:val="single"/>
            <w:vertAlign w:val="superscript"/>
          </w:rPr>
          <w:t xml:space="preserve">[3]</w:t>
        </w:r>
      </w:hyperlink>
      <w:bookmarkStart w:id="85" w:name="fnref8:11"/>
      <w:bookmarkEnd w:id="85"/>
      <w:hyperlink w:anchor="fn8">
        <w:r>
          <w:rPr>
            <w:rFonts w:eastAsia="inter" w:cs="inter" w:ascii="inter" w:hAnsi="inter"/>
            <w:color w:val="#000"/>
            <w:sz w:val="21"/>
            <w:u w:val="single"/>
            <w:vertAlign w:val="superscript"/>
          </w:rPr>
          <w:t xml:space="preserve">[8]</w:t>
        </w:r>
      </w:hyperlink>
      <w:bookmarkStart w:id="86" w:name="fnref6:14"/>
      <w:bookmarkEnd w:id="86"/>
      <w:hyperlink w:anchor="fn6">
        <w:r>
          <w:rPr>
            <w:rFonts w:eastAsia="inter" w:cs="inter" w:ascii="inter" w:hAnsi="inter"/>
            <w:color w:val="#000"/>
            <w:sz w:val="21"/>
            <w:u w:val="single"/>
            <w:vertAlign w:val="superscript"/>
          </w:rPr>
          <w:t xml:space="preserve">[6]</w:t>
        </w:r>
      </w:hyperlink>
    </w:p>
    <w:p>
      <w:pPr>
        <w:numPr>
          <w:ilvl w:val="0"/>
          <w:numId w:val="9"/>
        </w:numPr>
        <w:spacing w:line="360" w:after="210" w:lineRule="auto"/>
      </w:pPr>
      <w:r>
        <w:rPr>
          <w:rFonts w:eastAsia="inter" w:cs="inter" w:ascii="inter" w:hAnsi="inter"/>
          <w:color w:val="000000"/>
          <w:sz w:val="21"/>
        </w:rPr>
        <w:t xml:space="preserve">All communications between Respondent/counsel and any third party (including law enforcement) about Petitioner’s access rights, animals, and property from May 30, 2025 to present.</w:t>
      </w:r>
      <w:bookmarkStart w:id="87" w:name="fnref8:12"/>
      <w:bookmarkEnd w:id="87"/>
      <w:hyperlink w:anchor="fn8">
        <w:r>
          <w:rPr>
            <w:rFonts w:eastAsia="inter" w:cs="inter" w:ascii="inter" w:hAnsi="inter"/>
            <w:color w:val="#000"/>
            <w:sz w:val="21"/>
            <w:u w:val="single"/>
            <w:vertAlign w:val="superscript"/>
          </w:rPr>
          <w:t xml:space="preserve">[8]</w:t>
        </w:r>
      </w:hyperlink>
      <w:bookmarkStart w:id="88" w:name="fnref6:15"/>
      <w:bookmarkEnd w:id="88"/>
      <w:hyperlink w:anchor="fn6">
        <w:r>
          <w:rPr>
            <w:rFonts w:eastAsia="inter" w:cs="inter" w:ascii="inter" w:hAnsi="inter"/>
            <w:color w:val="#000"/>
            <w:sz w:val="21"/>
            <w:u w:val="single"/>
            <w:vertAlign w:val="superscript"/>
          </w:rPr>
          <w:t xml:space="preserve">[6]</w:t>
        </w:r>
      </w:hyperlink>
    </w:p>
    <w:p>
      <w:pPr>
        <w:numPr>
          <w:ilvl w:val="0"/>
          <w:numId w:val="9"/>
        </w:numPr>
        <w:spacing w:line="360" w:after="210" w:lineRule="auto"/>
      </w:pPr>
      <w:r>
        <w:rPr>
          <w:rFonts w:eastAsia="inter" w:cs="inter" w:ascii="inter" w:hAnsi="inter"/>
          <w:color w:val="000000"/>
          <w:sz w:val="21"/>
        </w:rPr>
        <w:t xml:space="preserve">All documents, photos, video, security camera exports, and logs relating to modifications, disposal, donation, or sale of items alleged to be Petitioner’s or business property since Sept 13, 2024, including dumpster contents and remodeling records (invoices, receipts, before/after photos).</w:t>
      </w:r>
      <w:bookmarkStart w:id="89" w:name="fnref8:13"/>
      <w:bookmarkEnd w:id="89"/>
      <w:hyperlink w:anchor="fn8">
        <w:r>
          <w:rPr>
            <w:rFonts w:eastAsia="inter" w:cs="inter" w:ascii="inter" w:hAnsi="inter"/>
            <w:color w:val="#000"/>
            <w:sz w:val="21"/>
            <w:u w:val="single"/>
            <w:vertAlign w:val="superscript"/>
          </w:rPr>
          <w:t xml:space="preserve">[8]</w:t>
        </w:r>
      </w:hyperlink>
    </w:p>
    <w:p>
      <w:pPr>
        <w:numPr>
          <w:ilvl w:val="0"/>
          <w:numId w:val="9"/>
        </w:numPr>
        <w:spacing w:line="360" w:after="210" w:lineRule="auto"/>
      </w:pPr>
      <w:r>
        <w:rPr>
          <w:rFonts w:eastAsia="inter" w:cs="inter" w:ascii="inter" w:hAnsi="inter"/>
          <w:color w:val="000000"/>
          <w:sz w:val="21"/>
        </w:rPr>
        <w:t xml:space="preserve">All pet veterinary records, receipts, and communications relating to Lily, Rayne, and Macy from Jan 1, 2024 to present; and any communications disputing custody/possession or transfer logistics following May 30, 2025.</w:t>
      </w:r>
      <w:bookmarkStart w:id="90" w:name="fnref5:6"/>
      <w:bookmarkEnd w:id="90"/>
      <w:hyperlink w:anchor="fn5">
        <w:r>
          <w:rPr>
            <w:rFonts w:eastAsia="inter" w:cs="inter" w:ascii="inter" w:hAnsi="inter"/>
            <w:color w:val="#000"/>
            <w:sz w:val="21"/>
            <w:u w:val="single"/>
            <w:vertAlign w:val="superscript"/>
          </w:rPr>
          <w:t xml:space="preserve">[5]</w:t>
        </w:r>
      </w:hyperlink>
      <w:bookmarkStart w:id="91" w:name="fnref6:16"/>
      <w:bookmarkEnd w:id="91"/>
      <w:hyperlink w:anchor="fn6">
        <w:r>
          <w:rPr>
            <w:rFonts w:eastAsia="inter" w:cs="inter" w:ascii="inter" w:hAnsi="inter"/>
            <w:color w:val="#000"/>
            <w:sz w:val="21"/>
            <w:u w:val="single"/>
            <w:vertAlign w:val="superscript"/>
          </w:rPr>
          <w:t xml:space="preserve">[6]</w:t>
        </w:r>
      </w:hyperlink>
      <w:bookmarkStart w:id="92" w:name="fnref8:14"/>
      <w:bookmarkEnd w:id="92"/>
      <w:hyperlink w:anchor="fn8">
        <w:r>
          <w:rPr>
            <w:rFonts w:eastAsia="inter" w:cs="inter" w:ascii="inter" w:hAnsi="inter"/>
            <w:color w:val="#000"/>
            <w:sz w:val="21"/>
            <w:u w:val="single"/>
            <w:vertAlign w:val="superscript"/>
          </w:rPr>
          <w:t xml:space="preserve">[8]</w:t>
        </w:r>
      </w:hyperlink>
    </w:p>
    <w:p>
      <w:pPr>
        <w:numPr>
          <w:ilvl w:val="0"/>
          <w:numId w:val="9"/>
        </w:numPr>
        <w:spacing w:line="360" w:after="210" w:lineRule="auto"/>
      </w:pPr>
      <w:r>
        <w:rPr>
          <w:rFonts w:eastAsia="inter" w:cs="inter" w:ascii="inter" w:hAnsi="inter"/>
          <w:color w:val="000000"/>
          <w:sz w:val="21"/>
        </w:rPr>
        <w:t xml:space="preserve">All documents and communications with Aflac or employer plan administrators about the group policy status, coverage dates, enrollments/terminations, portability/continuation options involving Petitioner from Jan 1, 2025 to July 1, 2025, including portal logs/credentials exchanged.</w:t>
      </w:r>
      <w:bookmarkStart w:id="93" w:name="fnref4:15"/>
      <w:bookmarkEnd w:id="93"/>
      <w:hyperlink w:anchor="fn4">
        <w:r>
          <w:rPr>
            <w:rFonts w:eastAsia="inter" w:cs="inter" w:ascii="inter" w:hAnsi="inter"/>
            <w:color w:val="#000"/>
            <w:sz w:val="21"/>
            <w:u w:val="single"/>
            <w:vertAlign w:val="superscript"/>
          </w:rPr>
          <w:t xml:space="preserve">[4]</w:t>
        </w:r>
      </w:hyperlink>
      <w:bookmarkStart w:id="94" w:name="fnref7:9"/>
      <w:bookmarkEnd w:id="94"/>
      <w:hyperlink w:anchor="fn7">
        <w:r>
          <w:rPr>
            <w:rFonts w:eastAsia="inter" w:cs="inter" w:ascii="inter" w:hAnsi="inter"/>
            <w:color w:val="#000"/>
            <w:sz w:val="21"/>
            <w:u w:val="single"/>
            <w:vertAlign w:val="superscript"/>
          </w:rPr>
          <w:t xml:space="preserve">[7]</w:t>
        </w:r>
      </w:hyperlink>
    </w:p>
    <w:p>
      <w:pPr>
        <w:numPr>
          <w:ilvl w:val="0"/>
          <w:numId w:val="9"/>
        </w:numPr>
        <w:spacing w:line="360" w:after="210" w:lineRule="auto"/>
      </w:pPr>
      <w:r>
        <w:rPr>
          <w:rFonts w:eastAsia="inter" w:cs="inter" w:ascii="inter" w:hAnsi="inter"/>
          <w:color w:val="000000"/>
          <w:sz w:val="21"/>
        </w:rPr>
        <w:t xml:space="preserve">All documents concerning any alleged unauthorized access, surveillance, or recording by Petitioner, including device lists, camera placements, network logs, and complaints/reports.</w:t>
      </w:r>
      <w:bookmarkStart w:id="95" w:name="fnref3:12"/>
      <w:bookmarkEnd w:id="95"/>
      <w:hyperlink w:anchor="fn3">
        <w:r>
          <w:rPr>
            <w:rFonts w:eastAsia="inter" w:cs="inter" w:ascii="inter" w:hAnsi="inter"/>
            <w:color w:val="#000"/>
            <w:sz w:val="21"/>
            <w:u w:val="single"/>
            <w:vertAlign w:val="superscript"/>
          </w:rPr>
          <w:t xml:space="preserve">[3]</w:t>
        </w:r>
      </w:hyperlink>
      <w:bookmarkStart w:id="96" w:name="fnref6:17"/>
      <w:bookmarkEnd w:id="96"/>
      <w:hyperlink w:anchor="fn6">
        <w:r>
          <w:rPr>
            <w:rFonts w:eastAsia="inter" w:cs="inter" w:ascii="inter" w:hAnsi="inter"/>
            <w:color w:val="#000"/>
            <w:sz w:val="21"/>
            <w:u w:val="single"/>
            <w:vertAlign w:val="superscript"/>
          </w:rPr>
          <w:t xml:space="preserve">[6]</w:t>
        </w:r>
      </w:hyperlink>
      <w:bookmarkStart w:id="97" w:name="fnref8:15"/>
      <w:bookmarkEnd w:id="97"/>
      <w:hyperlink w:anchor="fn8">
        <w:r>
          <w:rPr>
            <w:rFonts w:eastAsia="inter" w:cs="inter" w:ascii="inter" w:hAnsi="inter"/>
            <w:color w:val="#000"/>
            <w:sz w:val="21"/>
            <w:u w:val="single"/>
            <w:vertAlign w:val="superscript"/>
          </w:rPr>
          <w:t xml:space="preserve">[8]</w:t>
        </w:r>
      </w:hyperlink>
    </w:p>
    <w:p>
      <w:pPr>
        <w:numPr>
          <w:ilvl w:val="0"/>
          <w:numId w:val="9"/>
        </w:numPr>
        <w:spacing w:line="360" w:after="210" w:lineRule="auto"/>
      </w:pPr>
      <w:r>
        <w:rPr>
          <w:rFonts w:eastAsia="inter" w:cs="inter" w:ascii="inter" w:hAnsi="inter"/>
          <w:color w:val="000000"/>
          <w:sz w:val="21"/>
        </w:rPr>
        <w:t xml:space="preserve">All documents supporting contentions that Petitioner caused damage to the residence or property, including photos, repair invoices, estimates, police reports, and insurance claims.</w:t>
      </w:r>
      <w:bookmarkStart w:id="98" w:name="fnref8:16"/>
      <w:bookmarkEnd w:id="98"/>
      <w:hyperlink w:anchor="fn8">
        <w:r>
          <w:rPr>
            <w:rFonts w:eastAsia="inter" w:cs="inter" w:ascii="inter" w:hAnsi="inter"/>
            <w:color w:val="#000"/>
            <w:sz w:val="21"/>
            <w:u w:val="single"/>
            <w:vertAlign w:val="superscript"/>
          </w:rPr>
          <w:t xml:space="preserve">[8]</w:t>
        </w:r>
      </w:hyperlink>
    </w:p>
    <w:p>
      <w:pPr>
        <w:numPr>
          <w:ilvl w:val="0"/>
          <w:numId w:val="9"/>
        </w:numPr>
        <w:spacing w:line="360" w:after="210" w:lineRule="auto"/>
      </w:pPr>
      <w:r>
        <w:rPr>
          <w:rFonts w:eastAsia="inter" w:cs="inter" w:ascii="inter" w:hAnsi="inter"/>
          <w:color w:val="000000"/>
          <w:sz w:val="21"/>
        </w:rPr>
        <w:t xml:space="preserve">All law enforcement reports and civil standby documentation for events at 1024 S Machias Rd between July 1, 2024 and July 1, 2025.</w:t>
      </w:r>
      <w:bookmarkStart w:id="99" w:name="fnref6:18"/>
      <w:bookmarkEnd w:id="99"/>
      <w:hyperlink w:anchor="fn6">
        <w:r>
          <w:rPr>
            <w:rFonts w:eastAsia="inter" w:cs="inter" w:ascii="inter" w:hAnsi="inter"/>
            <w:color w:val="#000"/>
            <w:sz w:val="21"/>
            <w:u w:val="single"/>
            <w:vertAlign w:val="superscript"/>
          </w:rPr>
          <w:t xml:space="preserve">[6]</w:t>
        </w:r>
      </w:hyperlink>
      <w:bookmarkStart w:id="100" w:name="fnref8:17"/>
      <w:bookmarkEnd w:id="100"/>
      <w:hyperlink w:anchor="fn8">
        <w:r>
          <w:rPr>
            <w:rFonts w:eastAsia="inter" w:cs="inter" w:ascii="inter" w:hAnsi="inter"/>
            <w:color w:val="#000"/>
            <w:sz w:val="21"/>
            <w:u w:val="single"/>
            <w:vertAlign w:val="superscript"/>
          </w:rPr>
          <w:t xml:space="preserve">[8]</w:t>
        </w:r>
      </w:hyperlink>
    </w:p>
    <w:p>
      <w:pPr>
        <w:numPr>
          <w:ilvl w:val="0"/>
          <w:numId w:val="9"/>
        </w:numPr>
        <w:spacing w:line="360" w:after="210" w:lineRule="auto"/>
      </w:pPr>
      <w:r>
        <w:rPr>
          <w:rFonts w:eastAsia="inter" w:cs="inter" w:ascii="inter" w:hAnsi="inter"/>
          <w:color w:val="000000"/>
          <w:sz w:val="21"/>
        </w:rPr>
        <w:t xml:space="preserve">All financial records evidencing payments made for mortgage, utilities, property taxes, insurance, and any asserted financial support or reimbursements, from July 1, 2024 to present.</w:t>
      </w:r>
      <w:bookmarkStart w:id="101" w:name="fnref2:12"/>
      <w:bookmarkEnd w:id="101"/>
      <w:hyperlink w:anchor="fn2">
        <w:r>
          <w:rPr>
            <w:rFonts w:eastAsia="inter" w:cs="inter" w:ascii="inter" w:hAnsi="inter"/>
            <w:color w:val="#000"/>
            <w:sz w:val="21"/>
            <w:u w:val="single"/>
            <w:vertAlign w:val="superscript"/>
          </w:rPr>
          <w:t xml:space="preserve">[2]</w:t>
        </w:r>
      </w:hyperlink>
      <w:bookmarkStart w:id="102" w:name="fnref4:16"/>
      <w:bookmarkEnd w:id="102"/>
      <w:hyperlink w:anchor="fn4">
        <w:r>
          <w:rPr>
            <w:rFonts w:eastAsia="inter" w:cs="inter" w:ascii="inter" w:hAnsi="inter"/>
            <w:color w:val="#000"/>
            <w:sz w:val="21"/>
            <w:u w:val="single"/>
            <w:vertAlign w:val="superscript"/>
          </w:rPr>
          <w:t xml:space="preserve">[4]</w:t>
        </w:r>
      </w:hyperlink>
      <w:bookmarkStart w:id="103" w:name="fnref8:18"/>
      <w:bookmarkEnd w:id="103"/>
      <w:hyperlink w:anchor="fn8">
        <w:r>
          <w:rPr>
            <w:rFonts w:eastAsia="inter" w:cs="inter" w:ascii="inter" w:hAnsi="inter"/>
            <w:color w:val="#000"/>
            <w:sz w:val="21"/>
            <w:u w:val="single"/>
            <w:vertAlign w:val="superscript"/>
          </w:rPr>
          <w:t xml:space="preserve">[8]</w:t>
        </w:r>
      </w:hyperlink>
    </w:p>
    <w:p>
      <w:pPr>
        <w:numPr>
          <w:ilvl w:val="0"/>
          <w:numId w:val="9"/>
        </w:numPr>
        <w:spacing w:line="360" w:after="210" w:lineRule="auto"/>
      </w:pPr>
      <w:r>
        <w:rPr>
          <w:rFonts w:eastAsia="inter" w:cs="inter" w:ascii="inter" w:hAnsi="inter"/>
          <w:color w:val="000000"/>
          <w:sz w:val="21"/>
        </w:rPr>
        <w:t xml:space="preserve">All documents reflecting Respondent’s positions communicated by counsel on or about June 6–13, 2025 regarding access restrictions and pet custody, including email threads and attachments.</w:t>
      </w:r>
      <w:bookmarkStart w:id="104" w:name="fnref6:19"/>
      <w:bookmarkEnd w:id="104"/>
      <w:hyperlink w:anchor="fn6">
        <w:r>
          <w:rPr>
            <w:rFonts w:eastAsia="inter" w:cs="inter" w:ascii="inter" w:hAnsi="inter"/>
            <w:color w:val="#000"/>
            <w:sz w:val="21"/>
            <w:u w:val="single"/>
            <w:vertAlign w:val="superscript"/>
          </w:rPr>
          <w:t xml:space="preserve">[6]</w:t>
        </w:r>
      </w:hyperlink>
      <w:bookmarkStart w:id="105" w:name="fnref8:19"/>
      <w:bookmarkEnd w:id="105"/>
      <w:hyperlink w:anchor="fn8">
        <w:r>
          <w:rPr>
            <w:rFonts w:eastAsia="inter" w:cs="inter" w:ascii="inter" w:hAnsi="inter"/>
            <w:color w:val="#000"/>
            <w:sz w:val="21"/>
            <w:u w:val="single"/>
            <w:vertAlign w:val="superscript"/>
          </w:rPr>
          <w:t xml:space="preserve">[8]</w:t>
        </w:r>
      </w:hyperlink>
    </w:p>
    <w:p>
      <w:pPr>
        <w:spacing w:line="360" w:after="210" w:lineRule="auto"/>
      </w:pPr>
      <w:r>
        <w:rPr>
          <w:rFonts w:eastAsia="inter" w:cs="inter" w:ascii="inter" w:hAnsi="inter"/>
          <w:color w:val="000000"/>
        </w:rPr>
        <w:t xml:space="preserve">B. Interrogatories</w:t>
      </w:r>
    </w:p>
    <w:p>
      <w:pPr>
        <w:numPr>
          <w:ilvl w:val="0"/>
          <w:numId w:val="10"/>
        </w:numPr>
        <w:spacing w:line="360" w:after="210" w:lineRule="auto"/>
      </w:pPr>
      <w:r>
        <w:rPr>
          <w:rFonts w:eastAsia="inter" w:cs="inter" w:ascii="inter" w:hAnsi="inter"/>
          <w:color w:val="000000"/>
          <w:sz w:val="21"/>
        </w:rPr>
        <w:t xml:space="preserve">Identify each instance since Sept 13, 2024 when Petitioner sought access to the residence, shop, tools, or animals; state Respondent’s response, date/time, persons present, and reasons for denial/conditions imposed.</w:t>
      </w:r>
      <w:bookmarkStart w:id="106" w:name="fnref6:20"/>
      <w:bookmarkEnd w:id="106"/>
      <w:hyperlink w:anchor="fn6">
        <w:r>
          <w:rPr>
            <w:rFonts w:eastAsia="inter" w:cs="inter" w:ascii="inter" w:hAnsi="inter"/>
            <w:color w:val="#000"/>
            <w:sz w:val="21"/>
            <w:u w:val="single"/>
            <w:vertAlign w:val="superscript"/>
          </w:rPr>
          <w:t xml:space="preserve">[6]</w:t>
        </w:r>
      </w:hyperlink>
      <w:bookmarkStart w:id="107" w:name="fnref8:20"/>
      <w:bookmarkEnd w:id="107"/>
      <w:hyperlink w:anchor="fn8">
        <w:r>
          <w:rPr>
            <w:rFonts w:eastAsia="inter" w:cs="inter" w:ascii="inter" w:hAnsi="inter"/>
            <w:color w:val="#000"/>
            <w:sz w:val="21"/>
            <w:u w:val="single"/>
            <w:vertAlign w:val="superscript"/>
          </w:rPr>
          <w:t xml:space="preserve">[8]</w:t>
        </w:r>
      </w:hyperlink>
    </w:p>
    <w:p>
      <w:pPr>
        <w:numPr>
          <w:ilvl w:val="0"/>
          <w:numId w:val="10"/>
        </w:numPr>
        <w:spacing w:line="360" w:after="210" w:lineRule="auto"/>
      </w:pPr>
      <w:r>
        <w:rPr>
          <w:rFonts w:eastAsia="inter" w:cs="inter" w:ascii="inter" w:hAnsi="inter"/>
          <w:color w:val="000000"/>
          <w:sz w:val="21"/>
        </w:rPr>
        <w:t xml:space="preserve">Describe with specificity any remodeling, alterations, or property changes to 1024 S Machias Rd since Sept 13, 2024, including who performed the work, scope, materials used, and funding source.</w:t>
      </w:r>
      <w:bookmarkStart w:id="108" w:name="fnref8:21"/>
      <w:bookmarkEnd w:id="108"/>
      <w:hyperlink w:anchor="fn8">
        <w:r>
          <w:rPr>
            <w:rFonts w:eastAsia="inter" w:cs="inter" w:ascii="inter" w:hAnsi="inter"/>
            <w:color w:val="#000"/>
            <w:sz w:val="21"/>
            <w:u w:val="single"/>
            <w:vertAlign w:val="superscript"/>
          </w:rPr>
          <w:t xml:space="preserve">[8]</w:t>
        </w:r>
      </w:hyperlink>
    </w:p>
    <w:p>
      <w:pPr>
        <w:numPr>
          <w:ilvl w:val="0"/>
          <w:numId w:val="10"/>
        </w:numPr>
        <w:spacing w:line="360" w:after="210" w:lineRule="auto"/>
      </w:pPr>
      <w:r>
        <w:rPr>
          <w:rFonts w:eastAsia="inter" w:cs="inter" w:ascii="inter" w:hAnsi="inter"/>
          <w:color w:val="000000"/>
          <w:sz w:val="21"/>
        </w:rPr>
        <w:t xml:space="preserve">Identify all items of Petitioner’s and of Mudd Monkies Inc. property Respondent contends were disposed of, moved, or used since Sept 13, 2024, the date/action, current location, and basis for action.</w:t>
      </w:r>
      <w:bookmarkStart w:id="109" w:name="fnref8:22"/>
      <w:bookmarkEnd w:id="109"/>
      <w:hyperlink w:anchor="fn8">
        <w:r>
          <w:rPr>
            <w:rFonts w:eastAsia="inter" w:cs="inter" w:ascii="inter" w:hAnsi="inter"/>
            <w:color w:val="#000"/>
            <w:sz w:val="21"/>
            <w:u w:val="single"/>
            <w:vertAlign w:val="superscript"/>
          </w:rPr>
          <w:t xml:space="preserve">[8]</w:t>
        </w:r>
      </w:hyperlink>
    </w:p>
    <w:p>
      <w:pPr>
        <w:numPr>
          <w:ilvl w:val="0"/>
          <w:numId w:val="10"/>
        </w:numPr>
        <w:spacing w:line="360" w:after="210" w:lineRule="auto"/>
      </w:pPr>
      <w:r>
        <w:rPr>
          <w:rFonts w:eastAsia="inter" w:cs="inter" w:ascii="inter" w:hAnsi="inter"/>
          <w:color w:val="000000"/>
          <w:sz w:val="21"/>
        </w:rPr>
        <w:t xml:space="preserve">State Respondent’s knowledge concerning the May 30, 2025 TPO terms about assets and animals and explain steps taken to comply between May 30 and June 14, 2025.</w:t>
      </w:r>
      <w:bookmarkStart w:id="110" w:name="fnref5:7"/>
      <w:bookmarkEnd w:id="110"/>
      <w:hyperlink w:anchor="fn5">
        <w:r>
          <w:rPr>
            <w:rFonts w:eastAsia="inter" w:cs="inter" w:ascii="inter" w:hAnsi="inter"/>
            <w:color w:val="#000"/>
            <w:sz w:val="21"/>
            <w:u w:val="single"/>
            <w:vertAlign w:val="superscript"/>
          </w:rPr>
          <w:t xml:space="preserve">[5]</w:t>
        </w:r>
      </w:hyperlink>
      <w:bookmarkStart w:id="111" w:name="fnref6:21"/>
      <w:bookmarkEnd w:id="111"/>
      <w:hyperlink w:anchor="fn6">
        <w:r>
          <w:rPr>
            <w:rFonts w:eastAsia="inter" w:cs="inter" w:ascii="inter" w:hAnsi="inter"/>
            <w:color w:val="#000"/>
            <w:sz w:val="21"/>
            <w:u w:val="single"/>
            <w:vertAlign w:val="superscript"/>
          </w:rPr>
          <w:t xml:space="preserve">[6]</w:t>
        </w:r>
      </w:hyperlink>
      <w:bookmarkStart w:id="112" w:name="fnref8:23"/>
      <w:bookmarkEnd w:id="112"/>
      <w:hyperlink w:anchor="fn8">
        <w:r>
          <w:rPr>
            <w:rFonts w:eastAsia="inter" w:cs="inter" w:ascii="inter" w:hAnsi="inter"/>
            <w:color w:val="#000"/>
            <w:sz w:val="21"/>
            <w:u w:val="single"/>
            <w:vertAlign w:val="superscript"/>
          </w:rPr>
          <w:t xml:space="preserve">[8]</w:t>
        </w:r>
      </w:hyperlink>
    </w:p>
    <w:p>
      <w:pPr>
        <w:numPr>
          <w:ilvl w:val="0"/>
          <w:numId w:val="10"/>
        </w:numPr>
        <w:spacing w:line="360" w:after="210" w:lineRule="auto"/>
      </w:pPr>
      <w:r>
        <w:rPr>
          <w:rFonts w:eastAsia="inter" w:cs="inter" w:ascii="inter" w:hAnsi="inter"/>
          <w:color w:val="000000"/>
          <w:sz w:val="21"/>
        </w:rPr>
        <w:t xml:space="preserve">Describe Respondent’s understanding of the Aflac policy status, dates, and Petitioner’s enrollment/termination events in Q1–Q2 2025 and identify each person at Aflac/employer with whom Respondent communicated.</w:t>
      </w:r>
      <w:bookmarkStart w:id="113" w:name="fnref7:10"/>
      <w:bookmarkEnd w:id="113"/>
      <w:hyperlink w:anchor="fn7">
        <w:r>
          <w:rPr>
            <w:rFonts w:eastAsia="inter" w:cs="inter" w:ascii="inter" w:hAnsi="inter"/>
            <w:color w:val="#000"/>
            <w:sz w:val="21"/>
            <w:u w:val="single"/>
            <w:vertAlign w:val="superscript"/>
          </w:rPr>
          <w:t xml:space="preserve">[7]</w:t>
        </w:r>
      </w:hyperlink>
      <w:bookmarkStart w:id="114" w:name="fnref4:17"/>
      <w:bookmarkEnd w:id="114"/>
      <w:hyperlink w:anchor="fn4">
        <w:r>
          <w:rPr>
            <w:rFonts w:eastAsia="inter" w:cs="inter" w:ascii="inter" w:hAnsi="inter"/>
            <w:color w:val="#000"/>
            <w:sz w:val="21"/>
            <w:u w:val="single"/>
            <w:vertAlign w:val="superscript"/>
          </w:rPr>
          <w:t xml:space="preserve">[4]</w:t>
        </w:r>
      </w:hyperlink>
    </w:p>
    <w:p>
      <w:pPr>
        <w:numPr>
          <w:ilvl w:val="0"/>
          <w:numId w:val="10"/>
        </w:numPr>
        <w:spacing w:line="360" w:after="210" w:lineRule="auto"/>
      </w:pPr>
      <w:r>
        <w:rPr>
          <w:rFonts w:eastAsia="inter" w:cs="inter" w:ascii="inter" w:hAnsi="inter"/>
          <w:color w:val="000000"/>
          <w:sz w:val="21"/>
        </w:rPr>
        <w:t xml:space="preserve">Identify each law enforcement or court interaction involving the parties from July 1, 2024 to July 1, 2025 and summarize Respondent’s account of each.</w:t>
      </w:r>
      <w:bookmarkStart w:id="115" w:name="fnref1:6"/>
      <w:bookmarkEnd w:id="115"/>
      <w:hyperlink w:anchor="fn1">
        <w:r>
          <w:rPr>
            <w:rFonts w:eastAsia="inter" w:cs="inter" w:ascii="inter" w:hAnsi="inter"/>
            <w:color w:val="#000"/>
            <w:sz w:val="21"/>
            <w:u w:val="single"/>
            <w:vertAlign w:val="superscript"/>
          </w:rPr>
          <w:t xml:space="preserve">[1]</w:t>
        </w:r>
      </w:hyperlink>
      <w:bookmarkStart w:id="116" w:name="fnref4:18"/>
      <w:bookmarkEnd w:id="116"/>
      <w:hyperlink w:anchor="fn4">
        <w:r>
          <w:rPr>
            <w:rFonts w:eastAsia="inter" w:cs="inter" w:ascii="inter" w:hAnsi="inter"/>
            <w:color w:val="#000"/>
            <w:sz w:val="21"/>
            <w:u w:val="single"/>
            <w:vertAlign w:val="superscript"/>
          </w:rPr>
          <w:t xml:space="preserve">[4]</w:t>
        </w:r>
      </w:hyperlink>
      <w:bookmarkStart w:id="117" w:name="fnref3:13"/>
      <w:bookmarkEnd w:id="117"/>
      <w:hyperlink w:anchor="fn3">
        <w:r>
          <w:rPr>
            <w:rFonts w:eastAsia="inter" w:cs="inter" w:ascii="inter" w:hAnsi="inter"/>
            <w:color w:val="#000"/>
            <w:sz w:val="21"/>
            <w:u w:val="single"/>
            <w:vertAlign w:val="superscript"/>
          </w:rPr>
          <w:t xml:space="preserve">[3]</w:t>
        </w:r>
      </w:hyperlink>
      <w:bookmarkStart w:id="118" w:name="fnref2:13"/>
      <w:bookmarkEnd w:id="118"/>
      <w:hyperlink w:anchor="fn2">
        <w:r>
          <w:rPr>
            <w:rFonts w:eastAsia="inter" w:cs="inter" w:ascii="inter" w:hAnsi="inter"/>
            <w:color w:val="#000"/>
            <w:sz w:val="21"/>
            <w:u w:val="single"/>
            <w:vertAlign w:val="superscript"/>
          </w:rPr>
          <w:t xml:space="preserve">[2]</w:t>
        </w:r>
      </w:hyperlink>
      <w:bookmarkStart w:id="119" w:name="fnref6:22"/>
      <w:bookmarkEnd w:id="119"/>
      <w:hyperlink w:anchor="fn6">
        <w:r>
          <w:rPr>
            <w:rFonts w:eastAsia="inter" w:cs="inter" w:ascii="inter" w:hAnsi="inter"/>
            <w:color w:val="#000"/>
            <w:sz w:val="21"/>
            <w:u w:val="single"/>
            <w:vertAlign w:val="superscript"/>
          </w:rPr>
          <w:t xml:space="preserve">[6]</w:t>
        </w:r>
      </w:hyperlink>
      <w:bookmarkStart w:id="120" w:name="fnref8:24"/>
      <w:bookmarkEnd w:id="120"/>
      <w:hyperlink w:anchor="fn8">
        <w:r>
          <w:rPr>
            <w:rFonts w:eastAsia="inter" w:cs="inter" w:ascii="inter" w:hAnsi="inter"/>
            <w:color w:val="#000"/>
            <w:sz w:val="21"/>
            <w:u w:val="single"/>
            <w:vertAlign w:val="superscript"/>
          </w:rPr>
          <w:t xml:space="preserve">[8]</w:t>
        </w:r>
      </w:hyperlink>
    </w:p>
    <w:p>
      <w:pPr>
        <w:spacing w:line="360" w:after="210" w:lineRule="auto"/>
      </w:pPr>
      <w:r>
        <w:rPr>
          <w:rFonts w:eastAsia="inter" w:cs="inter" w:ascii="inter" w:hAnsi="inter"/>
          <w:color w:val="000000"/>
        </w:rPr>
        <w:t xml:space="preserve">C. Requests for Admission</w:t>
      </w:r>
    </w:p>
    <w:p>
      <w:pPr>
        <w:numPr>
          <w:ilvl w:val="0"/>
          <w:numId w:val="11"/>
        </w:numPr>
        <w:spacing w:line="360" w:after="210" w:lineRule="auto"/>
      </w:pPr>
      <w:r>
        <w:rPr>
          <w:rFonts w:eastAsia="inter" w:cs="inter" w:ascii="inter" w:hAnsi="inter"/>
          <w:color w:val="000000"/>
          <w:sz w:val="21"/>
        </w:rPr>
        <w:t xml:space="preserve">Admit that on and after May 30, 2025, Respondent was aware of PO 030 terms restraining transfer of jointly owned assets (Section K).</w:t>
      </w:r>
      <w:bookmarkStart w:id="121" w:name="fnref5:8"/>
      <w:bookmarkEnd w:id="121"/>
      <w:hyperlink w:anchor="fn5">
        <w:r>
          <w:rPr>
            <w:rFonts w:eastAsia="inter" w:cs="inter" w:ascii="inter" w:hAnsi="inter"/>
            <w:color w:val="#000"/>
            <w:sz w:val="21"/>
            <w:u w:val="single"/>
            <w:vertAlign w:val="superscript"/>
          </w:rPr>
          <w:t xml:space="preserve">[5]</w:t>
        </w:r>
      </w:hyperlink>
    </w:p>
    <w:p>
      <w:pPr>
        <w:numPr>
          <w:ilvl w:val="0"/>
          <w:numId w:val="11"/>
        </w:numPr>
        <w:spacing w:line="360" w:after="210" w:lineRule="auto"/>
      </w:pPr>
      <w:r>
        <w:rPr>
          <w:rFonts w:eastAsia="inter" w:cs="inter" w:ascii="inter" w:hAnsi="inter"/>
          <w:color w:val="000000"/>
          <w:sz w:val="21"/>
        </w:rPr>
        <w:t xml:space="preserve">Admit that on or about June 10–14, 2025, Respondent or Respondent’s counsel refused Petitioner general entry to the residence beyond limited civil standby.</w:t>
      </w:r>
      <w:bookmarkStart w:id="122" w:name="fnref6:23"/>
      <w:bookmarkEnd w:id="122"/>
      <w:hyperlink w:anchor="fn6">
        <w:r>
          <w:rPr>
            <w:rFonts w:eastAsia="inter" w:cs="inter" w:ascii="inter" w:hAnsi="inter"/>
            <w:color w:val="#000"/>
            <w:sz w:val="21"/>
            <w:u w:val="single"/>
            <w:vertAlign w:val="superscript"/>
          </w:rPr>
          <w:t xml:space="preserve">[6]</w:t>
        </w:r>
      </w:hyperlink>
      <w:bookmarkStart w:id="123" w:name="fnref8:25"/>
      <w:bookmarkEnd w:id="123"/>
      <w:hyperlink w:anchor="fn8">
        <w:r>
          <w:rPr>
            <w:rFonts w:eastAsia="inter" w:cs="inter" w:ascii="inter" w:hAnsi="inter"/>
            <w:color w:val="#000"/>
            <w:sz w:val="21"/>
            <w:u w:val="single"/>
            <w:vertAlign w:val="superscript"/>
          </w:rPr>
          <w:t xml:space="preserve">[8]</w:t>
        </w:r>
      </w:hyperlink>
    </w:p>
    <w:p>
      <w:pPr>
        <w:numPr>
          <w:ilvl w:val="0"/>
          <w:numId w:val="11"/>
        </w:numPr>
        <w:spacing w:line="360" w:after="210" w:lineRule="auto"/>
      </w:pPr>
      <w:r>
        <w:rPr>
          <w:rFonts w:eastAsia="inter" w:cs="inter" w:ascii="inter" w:hAnsi="inter"/>
          <w:color w:val="000000"/>
          <w:sz w:val="21"/>
        </w:rPr>
        <w:t xml:space="preserve">Admit that Petitioner was awarded temporary custody of pets identified in the TPO and reissuance order.</w:t>
      </w:r>
      <w:bookmarkStart w:id="124" w:name="fnref5:9"/>
      <w:bookmarkEnd w:id="124"/>
      <w:hyperlink w:anchor="fn5">
        <w:r>
          <w:rPr>
            <w:rFonts w:eastAsia="inter" w:cs="inter" w:ascii="inter" w:hAnsi="inter"/>
            <w:color w:val="#000"/>
            <w:sz w:val="21"/>
            <w:u w:val="single"/>
            <w:vertAlign w:val="superscript"/>
          </w:rPr>
          <w:t xml:space="preserve">[5]</w:t>
        </w:r>
      </w:hyperlink>
      <w:bookmarkStart w:id="125" w:name="fnref6:24"/>
      <w:bookmarkEnd w:id="125"/>
      <w:hyperlink w:anchor="fn6">
        <w:r>
          <w:rPr>
            <w:rFonts w:eastAsia="inter" w:cs="inter" w:ascii="inter" w:hAnsi="inter"/>
            <w:color w:val="#000"/>
            <w:sz w:val="21"/>
            <w:u w:val="single"/>
            <w:vertAlign w:val="superscript"/>
          </w:rPr>
          <w:t xml:space="preserve">[6]</w:t>
        </w:r>
      </w:hyperlink>
    </w:p>
    <w:p>
      <w:pPr>
        <w:numPr>
          <w:ilvl w:val="0"/>
          <w:numId w:val="11"/>
        </w:numPr>
        <w:spacing w:line="360" w:after="210" w:lineRule="auto"/>
      </w:pPr>
      <w:r>
        <w:rPr>
          <w:rFonts w:eastAsia="inter" w:cs="inter" w:ascii="inter" w:hAnsi="inter"/>
          <w:color w:val="000000"/>
          <w:sz w:val="21"/>
        </w:rPr>
        <w:t xml:space="preserve">Admit that one or more of Petitioner’s or Mudd Monkies Inc. items were thrown into a dumpster or otherwise removed/disposed after May 30, 2025.</w:t>
      </w:r>
      <w:bookmarkStart w:id="126" w:name="fnref8:26"/>
      <w:bookmarkEnd w:id="126"/>
      <w:hyperlink w:anchor="fn8">
        <w:r>
          <w:rPr>
            <w:rFonts w:eastAsia="inter" w:cs="inter" w:ascii="inter" w:hAnsi="inter"/>
            <w:color w:val="#000"/>
            <w:sz w:val="21"/>
            <w:u w:val="single"/>
            <w:vertAlign w:val="superscript"/>
          </w:rPr>
          <w:t xml:space="preserve">[8]</w:t>
        </w:r>
      </w:hyperlink>
    </w:p>
    <w:p>
      <w:pPr>
        <w:numPr>
          <w:ilvl w:val="0"/>
          <w:numId w:val="11"/>
        </w:numPr>
        <w:spacing w:line="360" w:after="210" w:lineRule="auto"/>
      </w:pPr>
      <w:r>
        <w:rPr>
          <w:rFonts w:eastAsia="inter" w:cs="inter" w:ascii="inter" w:hAnsi="inter"/>
          <w:color w:val="000000"/>
          <w:sz w:val="21"/>
        </w:rPr>
        <w:t xml:space="preserve">Admit that Respondent performed or directed remodeling/alteration work at the residence after Sept 13, 2024 without Petitioner’s consent.</w:t>
      </w:r>
      <w:bookmarkStart w:id="127" w:name="fnref8:27"/>
      <w:bookmarkEnd w:id="127"/>
      <w:hyperlink w:anchor="fn8">
        <w:r>
          <w:rPr>
            <w:rFonts w:eastAsia="inter" w:cs="inter" w:ascii="inter" w:hAnsi="inter"/>
            <w:color w:val="#000"/>
            <w:sz w:val="21"/>
            <w:u w:val="single"/>
            <w:vertAlign w:val="superscript"/>
          </w:rPr>
          <w:t xml:space="preserve">[8]</w:t>
        </w:r>
      </w:hyperlink>
    </w:p>
    <w:p>
      <w:pPr>
        <w:numPr>
          <w:ilvl w:val="0"/>
          <w:numId w:val="11"/>
        </w:numPr>
        <w:spacing w:line="360" w:after="210" w:lineRule="auto"/>
      </w:pPr>
      <w:r>
        <w:rPr>
          <w:rFonts w:eastAsia="inter" w:cs="inter" w:ascii="inter" w:hAnsi="inter"/>
          <w:color w:val="000000"/>
          <w:sz w:val="21"/>
        </w:rPr>
        <w:t xml:space="preserve">Admit that Respondent had communications with Aflac or plan administrators after April 1, 2025 regarding policy status affecting Petitioner.</w:t>
      </w:r>
      <w:bookmarkStart w:id="128" w:name="fnref4:19"/>
      <w:bookmarkEnd w:id="128"/>
      <w:hyperlink w:anchor="fn4">
        <w:r>
          <w:rPr>
            <w:rFonts w:eastAsia="inter" w:cs="inter" w:ascii="inter" w:hAnsi="inter"/>
            <w:color w:val="#000"/>
            <w:sz w:val="21"/>
            <w:u w:val="single"/>
            <w:vertAlign w:val="superscript"/>
          </w:rPr>
          <w:t xml:space="preserve">[4]</w:t>
        </w:r>
      </w:hyperlink>
      <w:bookmarkStart w:id="129" w:name="fnref7:11"/>
      <w:bookmarkEnd w:id="129"/>
      <w:hyperlink w:anchor="fn7">
        <w:r>
          <w:rPr>
            <w:rFonts w:eastAsia="inter" w:cs="inter" w:ascii="inter" w:hAnsi="inter"/>
            <w:color w:val="#000"/>
            <w:sz w:val="21"/>
            <w:u w:val="single"/>
            <w:vertAlign w:val="superscript"/>
          </w:rPr>
          <w:t xml:space="preserve">[7]</w:t>
        </w:r>
      </w:hyperlink>
    </w:p>
    <w:p>
      <w:pPr>
        <w:spacing w:line="360" w:before="315" w:after="105" w:lineRule="auto"/>
        <w:ind w:left="-30"/>
        <w:jc w:val="left"/>
      </w:pPr>
      <w:r>
        <w:rPr>
          <w:rFonts w:eastAsia="inter" w:cs="inter" w:ascii="inter" w:hAnsi="inter"/>
          <w:b/>
          <w:color w:val="000000"/>
          <w:sz w:val="24"/>
        </w:rPr>
        <w:t xml:space="preserve">Section 5 — Protective Order Proposal (if needed)</w:t>
      </w:r>
    </w:p>
    <w:p>
      <w:pPr>
        <w:spacing w:line="360" w:after="210" w:lineRule="auto"/>
      </w:pPr>
      <w:r>
        <w:rPr>
          <w:rFonts w:eastAsia="inter" w:cs="inter" w:ascii="inter" w:hAnsi="inter"/>
          <w:color w:val="000000"/>
        </w:rPr>
        <w:t xml:space="preserve">Given sensitive medical/financial data and account credentials, Petitioner proposes a stipulated protective order limiting use and disclosure of:</w:t>
      </w:r>
    </w:p>
    <w:p>
      <w:pPr>
        <w:numPr>
          <w:ilvl w:val="0"/>
          <w:numId w:val="12"/>
        </w:numPr>
        <w:spacing w:line="360" w:before="105" w:after="105" w:lineRule="auto"/>
      </w:pPr>
      <w:r>
        <w:rPr>
          <w:rFonts w:eastAsia="inter" w:cs="inter" w:ascii="inter" w:hAnsi="inter"/>
          <w:color w:val="000000"/>
          <w:sz w:val="21"/>
        </w:rPr>
        <w:t xml:space="preserve">Medical records and EMS reports.</w:t>
      </w:r>
    </w:p>
    <w:p>
      <w:pPr>
        <w:numPr>
          <w:ilvl w:val="0"/>
          <w:numId w:val="12"/>
        </w:numPr>
        <w:spacing w:line="360" w:before="105" w:after="105" w:lineRule="auto"/>
      </w:pPr>
      <w:r>
        <w:rPr>
          <w:rFonts w:eastAsia="inter" w:cs="inter" w:ascii="inter" w:hAnsi="inter"/>
          <w:color w:val="000000"/>
          <w:sz w:val="21"/>
        </w:rPr>
        <w:t xml:space="preserve">Insurance credentials/logs.</w:t>
      </w:r>
    </w:p>
    <w:p>
      <w:pPr>
        <w:numPr>
          <w:ilvl w:val="0"/>
          <w:numId w:val="12"/>
        </w:numPr>
        <w:spacing w:line="360" w:before="105" w:after="105" w:lineRule="auto"/>
      </w:pPr>
      <w:r>
        <w:rPr>
          <w:rFonts w:eastAsia="inter" w:cs="inter" w:ascii="inter" w:hAnsi="inter"/>
          <w:color w:val="000000"/>
          <w:sz w:val="21"/>
        </w:rPr>
        <w:t xml:space="preserve">Account/device logs or camera placements.</w:t>
      </w:r>
    </w:p>
    <w:p>
      <w:pPr>
        <w:spacing w:line="360" w:after="210" w:lineRule="auto"/>
      </w:pPr>
      <w:r>
        <w:rPr>
          <w:rFonts w:eastAsia="inter" w:cs="inter" w:ascii="inter" w:hAnsi="inter"/>
          <w:color w:val="000000"/>
        </w:rPr>
        <w:t xml:space="preserve">Scope: Use only for this litigation, with return/destruction at conclusion.</w:t>
      </w:r>
    </w:p>
    <w:p>
      <w:pPr>
        <w:spacing w:line="360" w:before="315" w:after="105" w:lineRule="auto"/>
        <w:ind w:left="-30"/>
        <w:jc w:val="left"/>
      </w:pPr>
      <w:r>
        <w:rPr>
          <w:rFonts w:eastAsia="inter" w:cs="inter" w:ascii="inter" w:hAnsi="inter"/>
          <w:b/>
          <w:color w:val="000000"/>
          <w:sz w:val="24"/>
        </w:rPr>
        <w:t xml:space="preserve">Section 6 — Production From Petitioner (available for inspection/copy)</w:t>
      </w:r>
    </w:p>
    <w:p>
      <w:pPr>
        <w:numPr>
          <w:ilvl w:val="0"/>
          <w:numId w:val="13"/>
        </w:numPr>
        <w:spacing w:line="360" w:before="105" w:after="105" w:lineRule="auto"/>
      </w:pPr>
      <w:r>
        <w:rPr>
          <w:rFonts w:eastAsia="inter" w:cs="inter" w:ascii="inter" w:hAnsi="inter"/>
          <w:color w:val="000000"/>
          <w:sz w:val="21"/>
        </w:rPr>
        <w:t xml:space="preserve">Copies of TPO and Reissuance orders; hearing orders and denial orders.</w:t>
      </w:r>
      <w:bookmarkStart w:id="130" w:name="fnref1:7"/>
      <w:bookmarkEnd w:id="130"/>
      <w:hyperlink w:anchor="fn1">
        <w:r>
          <w:rPr>
            <w:rFonts w:eastAsia="inter" w:cs="inter" w:ascii="inter" w:hAnsi="inter"/>
            <w:color w:val="#000"/>
            <w:sz w:val="21"/>
            <w:u w:val="single"/>
            <w:vertAlign w:val="superscript"/>
          </w:rPr>
          <w:t xml:space="preserve">[1]</w:t>
        </w:r>
      </w:hyperlink>
      <w:bookmarkStart w:id="131" w:name="fnref5:10"/>
      <w:bookmarkEnd w:id="131"/>
      <w:hyperlink w:anchor="fn5">
        <w:r>
          <w:rPr>
            <w:rFonts w:eastAsia="inter" w:cs="inter" w:ascii="inter" w:hAnsi="inter"/>
            <w:color w:val="#000"/>
            <w:sz w:val="21"/>
            <w:u w:val="single"/>
            <w:vertAlign w:val="superscript"/>
          </w:rPr>
          <w:t xml:space="preserve">[5]</w:t>
        </w:r>
      </w:hyperlink>
      <w:bookmarkStart w:id="132" w:name="fnref6:25"/>
      <w:bookmarkEnd w:id="132"/>
      <w:hyperlink w:anchor="fn6">
        <w:r>
          <w:rPr>
            <w:rFonts w:eastAsia="inter" w:cs="inter" w:ascii="inter" w:hAnsi="inter"/>
            <w:color w:val="#000"/>
            <w:sz w:val="21"/>
            <w:u w:val="single"/>
            <w:vertAlign w:val="superscript"/>
          </w:rPr>
          <w:t xml:space="preserve">[6]</w:t>
        </w:r>
      </w:hyperlink>
    </w:p>
    <w:p>
      <w:pPr>
        <w:numPr>
          <w:ilvl w:val="0"/>
          <w:numId w:val="13"/>
        </w:numPr>
        <w:spacing w:line="360" w:before="105" w:after="105" w:lineRule="auto"/>
      </w:pPr>
      <w:r>
        <w:rPr>
          <w:rFonts w:eastAsia="inter" w:cs="inter" w:ascii="inter" w:hAnsi="inter"/>
          <w:color w:val="000000"/>
          <w:sz w:val="21"/>
        </w:rPr>
        <w:t xml:space="preserve">Petitioner’s motions, declarations, and exhibits A–I, including demand letters and counsel email responses.</w:t>
      </w:r>
      <w:bookmarkStart w:id="133" w:name="fnref2:14"/>
      <w:bookmarkEnd w:id="133"/>
      <w:hyperlink w:anchor="fn2">
        <w:r>
          <w:rPr>
            <w:rFonts w:eastAsia="inter" w:cs="inter" w:ascii="inter" w:hAnsi="inter"/>
            <w:color w:val="#000"/>
            <w:sz w:val="21"/>
            <w:u w:val="single"/>
            <w:vertAlign w:val="superscript"/>
          </w:rPr>
          <w:t xml:space="preserve">[2]</w:t>
        </w:r>
      </w:hyperlink>
      <w:bookmarkStart w:id="134" w:name="fnref4:20"/>
      <w:bookmarkEnd w:id="134"/>
      <w:hyperlink w:anchor="fn4">
        <w:r>
          <w:rPr>
            <w:rFonts w:eastAsia="inter" w:cs="inter" w:ascii="inter" w:hAnsi="inter"/>
            <w:color w:val="#000"/>
            <w:sz w:val="21"/>
            <w:u w:val="single"/>
            <w:vertAlign w:val="superscript"/>
          </w:rPr>
          <w:t xml:space="preserve">[4]</w:t>
        </w:r>
      </w:hyperlink>
      <w:bookmarkStart w:id="135" w:name="fnref6:26"/>
      <w:bookmarkEnd w:id="135"/>
      <w:hyperlink w:anchor="fn6">
        <w:r>
          <w:rPr>
            <w:rFonts w:eastAsia="inter" w:cs="inter" w:ascii="inter" w:hAnsi="inter"/>
            <w:color w:val="#000"/>
            <w:sz w:val="21"/>
            <w:u w:val="single"/>
            <w:vertAlign w:val="superscript"/>
          </w:rPr>
          <w:t xml:space="preserve">[6]</w:t>
        </w:r>
      </w:hyperlink>
      <w:bookmarkStart w:id="136" w:name="fnref8:28"/>
      <w:bookmarkEnd w:id="136"/>
      <w:hyperlink w:anchor="fn8">
        <w:r>
          <w:rPr>
            <w:rFonts w:eastAsia="inter" w:cs="inter" w:ascii="inter" w:hAnsi="inter"/>
            <w:color w:val="#000"/>
            <w:sz w:val="21"/>
            <w:u w:val="single"/>
            <w:vertAlign w:val="superscript"/>
          </w:rPr>
          <w:t xml:space="preserve">[8]</w:t>
        </w:r>
      </w:hyperlink>
    </w:p>
    <w:p>
      <w:pPr>
        <w:numPr>
          <w:ilvl w:val="0"/>
          <w:numId w:val="13"/>
        </w:numPr>
        <w:spacing w:line="360" w:before="105" w:after="105" w:lineRule="auto"/>
      </w:pPr>
      <w:r>
        <w:rPr>
          <w:rFonts w:eastAsia="inter" w:cs="inter" w:ascii="inter" w:hAnsi="inter"/>
          <w:color w:val="000000"/>
          <w:sz w:val="21"/>
        </w:rPr>
        <w:t xml:space="preserve">Available texts/emails seeking access/animals and referring to keys/codes windows.</w:t>
      </w:r>
      <w:bookmarkStart w:id="137" w:name="fnref6:27"/>
      <w:bookmarkEnd w:id="137"/>
      <w:hyperlink w:anchor="fn6">
        <w:r>
          <w:rPr>
            <w:rFonts w:eastAsia="inter" w:cs="inter" w:ascii="inter" w:hAnsi="inter"/>
            <w:color w:val="#000"/>
            <w:sz w:val="21"/>
            <w:u w:val="single"/>
            <w:vertAlign w:val="superscript"/>
          </w:rPr>
          <w:t xml:space="preserve">[6]</w:t>
        </w:r>
      </w:hyperlink>
      <w:bookmarkStart w:id="138" w:name="fnref8:29"/>
      <w:bookmarkEnd w:id="138"/>
      <w:hyperlink w:anchor="fn8">
        <w:r>
          <w:rPr>
            <w:rFonts w:eastAsia="inter" w:cs="inter" w:ascii="inter" w:hAnsi="inter"/>
            <w:color w:val="#000"/>
            <w:sz w:val="21"/>
            <w:u w:val="single"/>
            <w:vertAlign w:val="superscript"/>
          </w:rPr>
          <w:t xml:space="preserve">[8]</w:t>
        </w:r>
      </w:hyperlink>
    </w:p>
    <w:p>
      <w:pPr>
        <w:numPr>
          <w:ilvl w:val="0"/>
          <w:numId w:val="13"/>
        </w:numPr>
        <w:spacing w:line="360" w:before="105" w:after="105" w:lineRule="auto"/>
      </w:pPr>
      <w:r>
        <w:rPr>
          <w:rFonts w:eastAsia="inter" w:cs="inter" w:ascii="inter" w:hAnsi="inter"/>
          <w:color w:val="000000"/>
          <w:sz w:val="21"/>
        </w:rPr>
        <w:t xml:space="preserve">EMS/hospital discharge records concerning April 13, 2025 (to the extent in possession; others to be subpoenaed).</w:t>
      </w:r>
      <w:bookmarkStart w:id="139" w:name="fnref3:14"/>
      <w:bookmarkEnd w:id="139"/>
      <w:hyperlink w:anchor="fn3">
        <w:r>
          <w:rPr>
            <w:rFonts w:eastAsia="inter" w:cs="inter" w:ascii="inter" w:hAnsi="inter"/>
            <w:color w:val="#000"/>
            <w:sz w:val="21"/>
            <w:u w:val="single"/>
            <w:vertAlign w:val="superscript"/>
          </w:rPr>
          <w:t xml:space="preserve">[3]</w:t>
        </w:r>
      </w:hyperlink>
      <w:bookmarkStart w:id="140" w:name="fnref4:21"/>
      <w:bookmarkEnd w:id="140"/>
      <w:hyperlink w:anchor="fn4">
        <w:r>
          <w:rPr>
            <w:rFonts w:eastAsia="inter" w:cs="inter" w:ascii="inter" w:hAnsi="inter"/>
            <w:color w:val="#000"/>
            <w:sz w:val="21"/>
            <w:u w:val="single"/>
            <w:vertAlign w:val="superscript"/>
          </w:rPr>
          <w:t xml:space="preserve">[4]</w:t>
        </w:r>
      </w:hyperlink>
      <w:bookmarkStart w:id="141" w:name="fnref2:15"/>
      <w:bookmarkEnd w:id="141"/>
      <w:hyperlink w:anchor="fn2">
        <w:r>
          <w:rPr>
            <w:rFonts w:eastAsia="inter" w:cs="inter" w:ascii="inter" w:hAnsi="inter"/>
            <w:color w:val="#000"/>
            <w:sz w:val="21"/>
            <w:u w:val="single"/>
            <w:vertAlign w:val="superscript"/>
          </w:rPr>
          <w:t xml:space="preserve">[2]</w:t>
        </w:r>
      </w:hyperlink>
    </w:p>
    <w:p>
      <w:pPr>
        <w:numPr>
          <w:ilvl w:val="0"/>
          <w:numId w:val="13"/>
        </w:numPr>
        <w:spacing w:line="360" w:before="105" w:after="105" w:lineRule="auto"/>
      </w:pPr>
      <w:r>
        <w:rPr>
          <w:rFonts w:eastAsia="inter" w:cs="inter" w:ascii="inter" w:hAnsi="inter"/>
          <w:color w:val="000000"/>
          <w:sz w:val="21"/>
        </w:rPr>
        <w:t xml:space="preserve">Aflac claim submission confirmations and communications referencing GRP-6320164 and policy date disputes.</w:t>
      </w:r>
      <w:bookmarkStart w:id="142" w:name="fnref7:12"/>
      <w:bookmarkEnd w:id="142"/>
      <w:hyperlink w:anchor="fn7">
        <w:r>
          <w:rPr>
            <w:rFonts w:eastAsia="inter" w:cs="inter" w:ascii="inter" w:hAnsi="inter"/>
            <w:color w:val="#000"/>
            <w:sz w:val="21"/>
            <w:u w:val="single"/>
            <w:vertAlign w:val="superscript"/>
          </w:rPr>
          <w:t xml:space="preserve">[7]</w:t>
        </w:r>
      </w:hyperlink>
      <w:bookmarkStart w:id="143" w:name="fnref4:22"/>
      <w:bookmarkEnd w:id="143"/>
      <w:hyperlink w:anchor="fn4">
        <w:r>
          <w:rPr>
            <w:rFonts w:eastAsia="inter" w:cs="inter" w:ascii="inter" w:hAnsi="inter"/>
            <w:color w:val="#000"/>
            <w:sz w:val="21"/>
            <w:u w:val="single"/>
            <w:vertAlign w:val="superscript"/>
          </w:rPr>
          <w:t xml:space="preserve">[4]</w:t>
        </w:r>
      </w:hyperlink>
    </w:p>
    <w:p>
      <w:pPr>
        <w:spacing w:line="360" w:before="315" w:after="105" w:lineRule="auto"/>
        <w:ind w:left="-30"/>
        <w:jc w:val="left"/>
      </w:pPr>
      <w:r>
        <w:rPr>
          <w:rFonts w:eastAsia="inter" w:cs="inter" w:ascii="inter" w:hAnsi="inter"/>
          <w:b/>
          <w:color w:val="000000"/>
          <w:sz w:val="24"/>
        </w:rPr>
        <w:t xml:space="preserve">Section 7 — Subpoena/Third-Party Discovery Plan</w:t>
      </w:r>
    </w:p>
    <w:p>
      <w:pPr>
        <w:numPr>
          <w:ilvl w:val="0"/>
          <w:numId w:val="14"/>
        </w:numPr>
        <w:spacing w:line="360" w:before="105" w:after="105" w:lineRule="auto"/>
      </w:pPr>
      <w:r>
        <w:rPr>
          <w:rFonts w:eastAsia="inter" w:cs="inter" w:ascii="inter" w:hAnsi="inter"/>
          <w:color w:val="000000"/>
          <w:sz w:val="21"/>
        </w:rPr>
        <w:t xml:space="preserve">Snohomish Regional Fire &amp; Rescue: run sheets, call audio, and records for April 13, 2025.</w:t>
      </w:r>
      <w:bookmarkStart w:id="144" w:name="fnref4:23"/>
      <w:bookmarkEnd w:id="144"/>
      <w:hyperlink w:anchor="fn4">
        <w:r>
          <w:rPr>
            <w:rFonts w:eastAsia="inter" w:cs="inter" w:ascii="inter" w:hAnsi="inter"/>
            <w:color w:val="#000"/>
            <w:sz w:val="21"/>
            <w:u w:val="single"/>
            <w:vertAlign w:val="superscript"/>
          </w:rPr>
          <w:t xml:space="preserve">[4]</w:t>
        </w:r>
      </w:hyperlink>
      <w:bookmarkStart w:id="145" w:name="fnref3:15"/>
      <w:bookmarkEnd w:id="145"/>
      <w:hyperlink w:anchor="fn3">
        <w:r>
          <w:rPr>
            <w:rFonts w:eastAsia="inter" w:cs="inter" w:ascii="inter" w:hAnsi="inter"/>
            <w:color w:val="#000"/>
            <w:sz w:val="21"/>
            <w:u w:val="single"/>
            <w:vertAlign w:val="superscript"/>
          </w:rPr>
          <w:t xml:space="preserve">[3]</w:t>
        </w:r>
      </w:hyperlink>
      <w:bookmarkStart w:id="146" w:name="fnref2:16"/>
      <w:bookmarkEnd w:id="146"/>
      <w:hyperlink w:anchor="fn2">
        <w:r>
          <w:rPr>
            <w:rFonts w:eastAsia="inter" w:cs="inter" w:ascii="inter" w:hAnsi="inter"/>
            <w:color w:val="#000"/>
            <w:sz w:val="21"/>
            <w:u w:val="single"/>
            <w:vertAlign w:val="superscript"/>
          </w:rPr>
          <w:t xml:space="preserve">[2]</w:t>
        </w:r>
      </w:hyperlink>
    </w:p>
    <w:p>
      <w:pPr>
        <w:numPr>
          <w:ilvl w:val="0"/>
          <w:numId w:val="14"/>
        </w:numPr>
        <w:spacing w:line="360" w:before="105" w:after="105" w:lineRule="auto"/>
      </w:pPr>
      <w:r>
        <w:rPr>
          <w:rFonts w:eastAsia="inter" w:cs="inter" w:ascii="inter" w:hAnsi="inter"/>
          <w:color w:val="000000"/>
          <w:sz w:val="21"/>
        </w:rPr>
        <w:t xml:space="preserve">Hospital(s) treating Petitioner in Sept 2024 and April 2025: admissions, ICU, imaging, surgery, discharge instructions.</w:t>
      </w:r>
      <w:bookmarkStart w:id="147" w:name="fnref3:16"/>
      <w:bookmarkEnd w:id="147"/>
      <w:hyperlink w:anchor="fn3">
        <w:r>
          <w:rPr>
            <w:rFonts w:eastAsia="inter" w:cs="inter" w:ascii="inter" w:hAnsi="inter"/>
            <w:color w:val="#000"/>
            <w:sz w:val="21"/>
            <w:u w:val="single"/>
            <w:vertAlign w:val="superscript"/>
          </w:rPr>
          <w:t xml:space="preserve">[3]</w:t>
        </w:r>
      </w:hyperlink>
      <w:bookmarkStart w:id="148" w:name="fnref2:17"/>
      <w:bookmarkEnd w:id="148"/>
      <w:hyperlink w:anchor="fn2">
        <w:r>
          <w:rPr>
            <w:rFonts w:eastAsia="inter" w:cs="inter" w:ascii="inter" w:hAnsi="inter"/>
            <w:color w:val="#000"/>
            <w:sz w:val="21"/>
            <w:u w:val="single"/>
            <w:vertAlign w:val="superscript"/>
          </w:rPr>
          <w:t xml:space="preserve">[2]</w:t>
        </w:r>
      </w:hyperlink>
      <w:bookmarkStart w:id="149" w:name="fnref4:24"/>
      <w:bookmarkEnd w:id="149"/>
      <w:hyperlink w:anchor="fn4">
        <w:r>
          <w:rPr>
            <w:rFonts w:eastAsia="inter" w:cs="inter" w:ascii="inter" w:hAnsi="inter"/>
            <w:color w:val="#000"/>
            <w:sz w:val="21"/>
            <w:u w:val="single"/>
            <w:vertAlign w:val="superscript"/>
          </w:rPr>
          <w:t xml:space="preserve">[4]</w:t>
        </w:r>
      </w:hyperlink>
    </w:p>
    <w:p>
      <w:pPr>
        <w:numPr>
          <w:ilvl w:val="0"/>
          <w:numId w:val="14"/>
        </w:numPr>
        <w:spacing w:line="360" w:before="105" w:after="105" w:lineRule="auto"/>
      </w:pPr>
      <w:r>
        <w:rPr>
          <w:rFonts w:eastAsia="inter" w:cs="inter" w:ascii="inter" w:hAnsi="inter"/>
          <w:color w:val="000000"/>
          <w:sz w:val="21"/>
        </w:rPr>
        <w:t xml:space="preserve">Aflac and employer plan admin: policy certificates, enrollment/termination logs, notices, claims file, and portal activity logs for Q1–Q2 2025.</w:t>
      </w:r>
      <w:bookmarkStart w:id="150" w:name="fnref7:13"/>
      <w:bookmarkEnd w:id="150"/>
      <w:hyperlink w:anchor="fn7">
        <w:r>
          <w:rPr>
            <w:rFonts w:eastAsia="inter" w:cs="inter" w:ascii="inter" w:hAnsi="inter"/>
            <w:color w:val="#000"/>
            <w:sz w:val="21"/>
            <w:u w:val="single"/>
            <w:vertAlign w:val="superscript"/>
          </w:rPr>
          <w:t xml:space="preserve">[7]</w:t>
        </w:r>
      </w:hyperlink>
      <w:bookmarkStart w:id="151" w:name="fnref4:25"/>
      <w:bookmarkEnd w:id="151"/>
      <w:hyperlink w:anchor="fn4">
        <w:r>
          <w:rPr>
            <w:rFonts w:eastAsia="inter" w:cs="inter" w:ascii="inter" w:hAnsi="inter"/>
            <w:color w:val="#000"/>
            <w:sz w:val="21"/>
            <w:u w:val="single"/>
            <w:vertAlign w:val="superscript"/>
          </w:rPr>
          <w:t xml:space="preserve">[4]</w:t>
        </w:r>
      </w:hyperlink>
    </w:p>
    <w:p>
      <w:pPr>
        <w:numPr>
          <w:ilvl w:val="0"/>
          <w:numId w:val="14"/>
        </w:numPr>
        <w:spacing w:line="360" w:before="105" w:after="105" w:lineRule="auto"/>
      </w:pPr>
      <w:r>
        <w:rPr>
          <w:rFonts w:eastAsia="inter" w:cs="inter" w:ascii="inter" w:hAnsi="inter"/>
          <w:color w:val="000000"/>
          <w:sz w:val="21"/>
        </w:rPr>
        <w:t xml:space="preserve">Snohomish County Sheriff: civil standby records and incident reports tied to property and animal retrieval dates.</w:t>
      </w:r>
      <w:bookmarkStart w:id="152" w:name="fnref6:28"/>
      <w:bookmarkEnd w:id="152"/>
      <w:hyperlink w:anchor="fn6">
        <w:r>
          <w:rPr>
            <w:rFonts w:eastAsia="inter" w:cs="inter" w:ascii="inter" w:hAnsi="inter"/>
            <w:color w:val="#000"/>
            <w:sz w:val="21"/>
            <w:u w:val="single"/>
            <w:vertAlign w:val="superscript"/>
          </w:rPr>
          <w:t xml:space="preserve">[6]</w:t>
        </w:r>
      </w:hyperlink>
      <w:bookmarkStart w:id="153" w:name="fnref8:30"/>
      <w:bookmarkEnd w:id="153"/>
      <w:hyperlink w:anchor="fn8">
        <w:r>
          <w:rPr>
            <w:rFonts w:eastAsia="inter" w:cs="inter" w:ascii="inter" w:hAnsi="inter"/>
            <w:color w:val="#000"/>
            <w:sz w:val="21"/>
            <w:u w:val="single"/>
            <w:vertAlign w:val="superscript"/>
          </w:rPr>
          <w:t xml:space="preserve">[8]</w:t>
        </w:r>
      </w:hyperlink>
    </w:p>
    <w:p>
      <w:pPr>
        <w:spacing w:line="360" w:before="315" w:after="105" w:lineRule="auto"/>
        <w:ind w:left="-30"/>
        <w:jc w:val="left"/>
      </w:pPr>
      <w:r>
        <w:rPr>
          <w:rFonts w:eastAsia="inter" w:cs="inter" w:ascii="inter" w:hAnsi="inter"/>
          <w:b/>
          <w:color w:val="000000"/>
          <w:sz w:val="24"/>
        </w:rPr>
        <w:t xml:space="preserve">Section 8 — Compliance Notes for Snohomish County SOP</w:t>
      </w:r>
    </w:p>
    <w:p>
      <w:pPr>
        <w:numPr>
          <w:ilvl w:val="0"/>
          <w:numId w:val="15"/>
        </w:numPr>
        <w:spacing w:line="360" w:before="105" w:after="105" w:lineRule="auto"/>
      </w:pPr>
      <w:r>
        <w:rPr>
          <w:rFonts w:eastAsia="inter" w:cs="inter" w:ascii="inter" w:hAnsi="inter"/>
          <w:color w:val="000000"/>
          <w:sz w:val="21"/>
        </w:rPr>
        <w:t xml:space="preserve">Use court-approved forms for protection orders and service; ensure WACIC/NCIC entries via clerk actions are acknowledged.</w:t>
      </w:r>
      <w:bookmarkStart w:id="154" w:name="fnref1:8"/>
      <w:bookmarkEnd w:id="154"/>
      <w:hyperlink w:anchor="fn1">
        <w:r>
          <w:rPr>
            <w:rFonts w:eastAsia="inter" w:cs="inter" w:ascii="inter" w:hAnsi="inter"/>
            <w:color w:val="#000"/>
            <w:sz w:val="21"/>
            <w:u w:val="single"/>
            <w:vertAlign w:val="superscript"/>
          </w:rPr>
          <w:t xml:space="preserve">[1]</w:t>
        </w:r>
      </w:hyperlink>
      <w:bookmarkStart w:id="155" w:name="fnref5:11"/>
      <w:bookmarkEnd w:id="155"/>
      <w:hyperlink w:anchor="fn5">
        <w:r>
          <w:rPr>
            <w:rFonts w:eastAsia="inter" w:cs="inter" w:ascii="inter" w:hAnsi="inter"/>
            <w:color w:val="#000"/>
            <w:sz w:val="21"/>
            <w:u w:val="single"/>
            <w:vertAlign w:val="superscript"/>
          </w:rPr>
          <w:t xml:space="preserve">[5]</w:t>
        </w:r>
      </w:hyperlink>
      <w:bookmarkStart w:id="156" w:name="fnref6:29"/>
      <w:bookmarkEnd w:id="156"/>
      <w:hyperlink w:anchor="fn6">
        <w:r>
          <w:rPr>
            <w:rFonts w:eastAsia="inter" w:cs="inter" w:ascii="inter" w:hAnsi="inter"/>
            <w:color w:val="#000"/>
            <w:sz w:val="21"/>
            <w:u w:val="single"/>
            <w:vertAlign w:val="superscript"/>
          </w:rPr>
          <w:t xml:space="preserve">[6]</w:t>
        </w:r>
      </w:hyperlink>
    </w:p>
    <w:p>
      <w:pPr>
        <w:numPr>
          <w:ilvl w:val="0"/>
          <w:numId w:val="15"/>
        </w:numPr>
        <w:spacing w:line="360" w:before="105" w:after="105" w:lineRule="auto"/>
      </w:pPr>
      <w:r>
        <w:rPr>
          <w:rFonts w:eastAsia="inter" w:cs="inter" w:ascii="inter" w:hAnsi="inter"/>
          <w:color w:val="000000"/>
          <w:sz w:val="21"/>
        </w:rPr>
        <w:t xml:space="preserve">Remote appearance and interpreter/ADA notices preserved; include the Zoom IDs/passwords only as contained in issued orders when attaching copies.</w:t>
      </w:r>
      <w:bookmarkStart w:id="157" w:name="fnref1:9"/>
      <w:bookmarkEnd w:id="157"/>
      <w:hyperlink w:anchor="fn1">
        <w:r>
          <w:rPr>
            <w:rFonts w:eastAsia="inter" w:cs="inter" w:ascii="inter" w:hAnsi="inter"/>
            <w:color w:val="#000"/>
            <w:sz w:val="21"/>
            <w:u w:val="single"/>
            <w:vertAlign w:val="superscript"/>
          </w:rPr>
          <w:t xml:space="preserve">[1]</w:t>
        </w:r>
      </w:hyperlink>
      <w:bookmarkStart w:id="158" w:name="fnref5:12"/>
      <w:bookmarkEnd w:id="158"/>
      <w:hyperlink w:anchor="fn5">
        <w:r>
          <w:rPr>
            <w:rFonts w:eastAsia="inter" w:cs="inter" w:ascii="inter" w:hAnsi="inter"/>
            <w:color w:val="#000"/>
            <w:sz w:val="21"/>
            <w:u w:val="single"/>
            <w:vertAlign w:val="superscript"/>
          </w:rPr>
          <w:t xml:space="preserve">[5]</w:t>
        </w:r>
      </w:hyperlink>
    </w:p>
    <w:p>
      <w:pPr>
        <w:numPr>
          <w:ilvl w:val="0"/>
          <w:numId w:val="15"/>
        </w:numPr>
        <w:spacing w:line="360" w:before="105" w:after="105" w:lineRule="auto"/>
      </w:pPr>
      <w:r>
        <w:rPr>
          <w:rFonts w:eastAsia="inter" w:cs="inter" w:ascii="inter" w:hAnsi="inter"/>
          <w:color w:val="000000"/>
          <w:sz w:val="21"/>
        </w:rPr>
        <w:t xml:space="preserve">File as one PDF with bookmarks: “Index,” “Pleadings,” “Orders,” “Declarations,” “Exhibits,” “Discovery Requests,” and “Initial Disclosures”; apply Bates labels in footer.</w:t>
      </w:r>
    </w:p>
    <w:p>
      <w:pPr>
        <w:spacing w:line="360" w:before="315" w:after="105" w:lineRule="auto"/>
        <w:ind w:left="-30"/>
        <w:jc w:val="left"/>
      </w:pPr>
      <w:r>
        <w:rPr>
          <w:rFonts w:eastAsia="inter" w:cs="inter" w:ascii="inter" w:hAnsi="inter"/>
          <w:b/>
          <w:color w:val="000000"/>
          <w:sz w:val="24"/>
        </w:rPr>
        <w:t xml:space="preserve">Section 9 — Exhibits List (to attach behind this packet)</w:t>
      </w:r>
    </w:p>
    <w:p>
      <w:pPr>
        <w:numPr>
          <w:ilvl w:val="0"/>
          <w:numId w:val="16"/>
        </w:numPr>
        <w:spacing w:line="360" w:before="105" w:after="105" w:lineRule="auto"/>
      </w:pPr>
      <w:r>
        <w:rPr>
          <w:rFonts w:eastAsia="inter" w:cs="inter" w:ascii="inter" w:hAnsi="inter"/>
          <w:color w:val="000000"/>
          <w:sz w:val="21"/>
        </w:rPr>
        <w:t xml:space="preserve">Exhibit 1: Case Information Cover Sheet, Motion for Temporary Orders, Declaration, and Proposed Order (filed June 16, 2025)</w:t>
      </w:r>
      <w:bookmarkStart w:id="159" w:name="fnref2:18"/>
      <w:bookmarkEnd w:id="159"/>
      <w:hyperlink w:anchor="fn2">
        <w:r>
          <w:rPr>
            <w:rFonts w:eastAsia="inter" w:cs="inter" w:ascii="inter" w:hAnsi="inter"/>
            <w:color w:val="#000"/>
            <w:sz w:val="21"/>
            <w:u w:val="single"/>
            <w:vertAlign w:val="superscript"/>
          </w:rPr>
          <w:t xml:space="preserve">[2]</w:t>
        </w:r>
      </w:hyperlink>
    </w:p>
    <w:p>
      <w:pPr>
        <w:numPr>
          <w:ilvl w:val="0"/>
          <w:numId w:val="16"/>
        </w:numPr>
        <w:spacing w:line="360" w:before="105" w:after="105" w:lineRule="auto"/>
      </w:pPr>
      <w:r>
        <w:rPr>
          <w:rFonts w:eastAsia="inter" w:cs="inter" w:ascii="inter" w:hAnsi="inter"/>
          <w:color w:val="000000"/>
          <w:sz w:val="21"/>
        </w:rPr>
        <w:t xml:space="preserve">Exhibit 2: PO 030 Temporary Protection Order and Hearing Notice (May 30, 2025, as issued content)</w:t>
      </w:r>
      <w:bookmarkStart w:id="160" w:name="fnref5:13"/>
      <w:bookmarkEnd w:id="160"/>
      <w:hyperlink w:anchor="fn5">
        <w:r>
          <w:rPr>
            <w:rFonts w:eastAsia="inter" w:cs="inter" w:ascii="inter" w:hAnsi="inter"/>
            <w:color w:val="#000"/>
            <w:sz w:val="21"/>
            <w:u w:val="single"/>
            <w:vertAlign w:val="superscript"/>
          </w:rPr>
          <w:t xml:space="preserve">[5]</w:t>
        </w:r>
      </w:hyperlink>
    </w:p>
    <w:p>
      <w:pPr>
        <w:numPr>
          <w:ilvl w:val="0"/>
          <w:numId w:val="16"/>
        </w:numPr>
        <w:spacing w:line="360" w:before="105" w:after="105" w:lineRule="auto"/>
      </w:pPr>
      <w:r>
        <w:rPr>
          <w:rFonts w:eastAsia="inter" w:cs="inter" w:ascii="inter" w:hAnsi="inter"/>
          <w:color w:val="000000"/>
          <w:sz w:val="21"/>
        </w:rPr>
        <w:t xml:space="preserve">Exhibit 3: Reissuance of Temporary Protection Order and Notice of Hearing (June 10–11, 2025)</w:t>
      </w:r>
      <w:bookmarkStart w:id="161" w:name="fnref6:30"/>
      <w:bookmarkEnd w:id="161"/>
      <w:hyperlink w:anchor="fn6">
        <w:r>
          <w:rPr>
            <w:rFonts w:eastAsia="inter" w:cs="inter" w:ascii="inter" w:hAnsi="inter"/>
            <w:color w:val="#000"/>
            <w:sz w:val="21"/>
            <w:u w:val="single"/>
            <w:vertAlign w:val="superscript"/>
          </w:rPr>
          <w:t xml:space="preserve">[6]</w:t>
        </w:r>
      </w:hyperlink>
    </w:p>
    <w:p>
      <w:pPr>
        <w:numPr>
          <w:ilvl w:val="0"/>
          <w:numId w:val="16"/>
        </w:numPr>
        <w:spacing w:line="360" w:before="105" w:after="105" w:lineRule="auto"/>
      </w:pPr>
      <w:r>
        <w:rPr>
          <w:rFonts w:eastAsia="inter" w:cs="inter" w:ascii="inter" w:hAnsi="inter"/>
          <w:color w:val="000000"/>
          <w:sz w:val="21"/>
        </w:rPr>
        <w:t xml:space="preserve">Exhibit 4: Denial Order(s) and Order Setting Hearing (25-2-03361-31)</w:t>
      </w:r>
      <w:bookmarkStart w:id="162" w:name="fnref1:10"/>
      <w:bookmarkEnd w:id="162"/>
      <w:hyperlink w:anchor="fn1">
        <w:r>
          <w:rPr>
            <w:rFonts w:eastAsia="inter" w:cs="inter" w:ascii="inter" w:hAnsi="inter"/>
            <w:color w:val="#000"/>
            <w:sz w:val="21"/>
            <w:u w:val="single"/>
            <w:vertAlign w:val="superscript"/>
          </w:rPr>
          <w:t xml:space="preserve">[1]</w:t>
        </w:r>
      </w:hyperlink>
    </w:p>
    <w:p>
      <w:pPr>
        <w:numPr>
          <w:ilvl w:val="0"/>
          <w:numId w:val="16"/>
        </w:numPr>
        <w:spacing w:line="360" w:before="105" w:after="105" w:lineRule="auto"/>
      </w:pPr>
      <w:r>
        <w:rPr>
          <w:rFonts w:eastAsia="inter" w:cs="inter" w:ascii="inter" w:hAnsi="inter"/>
          <w:color w:val="000000"/>
          <w:sz w:val="21"/>
        </w:rPr>
        <w:t xml:space="preserve">Exhibit 5: Ex Parte Motion for Temporary Orders; Motion for OSC Re: Contempt; filing coversheets (June 24–27, 2025)</w:t>
      </w:r>
      <w:bookmarkStart w:id="163" w:name="fnref4:26"/>
      <w:bookmarkEnd w:id="163"/>
      <w:hyperlink w:anchor="fn4">
        <w:r>
          <w:rPr>
            <w:rFonts w:eastAsia="inter" w:cs="inter" w:ascii="inter" w:hAnsi="inter"/>
            <w:color w:val="#000"/>
            <w:sz w:val="21"/>
            <w:u w:val="single"/>
            <w:vertAlign w:val="superscript"/>
          </w:rPr>
          <w:t xml:space="preserve">[4]</w:t>
        </w:r>
      </w:hyperlink>
    </w:p>
    <w:p>
      <w:pPr>
        <w:numPr>
          <w:ilvl w:val="0"/>
          <w:numId w:val="16"/>
        </w:numPr>
        <w:spacing w:line="360" w:before="105" w:after="105" w:lineRule="auto"/>
      </w:pPr>
      <w:r>
        <w:rPr>
          <w:rFonts w:eastAsia="inter" w:cs="inter" w:ascii="inter" w:hAnsi="inter"/>
          <w:color w:val="000000"/>
          <w:sz w:val="21"/>
        </w:rPr>
        <w:t xml:space="preserve">Exhibit 6: Declaration set and Aflac policy analysis narrative (policy dates, claim GRP-6320164)</w:t>
      </w:r>
      <w:bookmarkStart w:id="164" w:name="fnref7:14"/>
      <w:bookmarkEnd w:id="164"/>
      <w:hyperlink w:anchor="fn7">
        <w:r>
          <w:rPr>
            <w:rFonts w:eastAsia="inter" w:cs="inter" w:ascii="inter" w:hAnsi="inter"/>
            <w:color w:val="#000"/>
            <w:sz w:val="21"/>
            <w:u w:val="single"/>
            <w:vertAlign w:val="superscript"/>
          </w:rPr>
          <w:t xml:space="preserve">[7]</w:t>
        </w:r>
      </w:hyperlink>
      <w:bookmarkStart w:id="165" w:name="fnref4:27"/>
      <w:bookmarkEnd w:id="165"/>
      <w:hyperlink w:anchor="fn4">
        <w:r>
          <w:rPr>
            <w:rFonts w:eastAsia="inter" w:cs="inter" w:ascii="inter" w:hAnsi="inter"/>
            <w:color w:val="#000"/>
            <w:sz w:val="21"/>
            <w:u w:val="single"/>
            <w:vertAlign w:val="superscript"/>
          </w:rPr>
          <w:t xml:space="preserve">[4]</w:t>
        </w:r>
      </w:hyperlink>
    </w:p>
    <w:p>
      <w:pPr>
        <w:numPr>
          <w:ilvl w:val="0"/>
          <w:numId w:val="16"/>
        </w:numPr>
        <w:spacing w:line="360" w:before="105" w:after="105" w:lineRule="auto"/>
      </w:pPr>
      <w:r>
        <w:rPr>
          <w:rFonts w:eastAsia="inter" w:cs="inter" w:ascii="inter" w:hAnsi="inter"/>
          <w:color w:val="000000"/>
          <w:sz w:val="21"/>
        </w:rPr>
        <w:t xml:space="preserve">Exhibit 7: Exhibits A–E (texts/correspondence excerpts and narrative)</w:t>
      </w:r>
      <w:bookmarkStart w:id="166" w:name="fnref6:31"/>
      <w:bookmarkEnd w:id="166"/>
      <w:hyperlink w:anchor="fn6">
        <w:r>
          <w:rPr>
            <w:rFonts w:eastAsia="inter" w:cs="inter" w:ascii="inter" w:hAnsi="inter"/>
            <w:color w:val="#000"/>
            <w:sz w:val="21"/>
            <w:u w:val="single"/>
            <w:vertAlign w:val="superscript"/>
          </w:rPr>
          <w:t xml:space="preserve">[6]</w:t>
        </w:r>
      </w:hyperlink>
    </w:p>
    <w:p>
      <w:pPr>
        <w:numPr>
          <w:ilvl w:val="0"/>
          <w:numId w:val="16"/>
        </w:numPr>
        <w:spacing w:line="360" w:before="105" w:after="105" w:lineRule="auto"/>
      </w:pPr>
      <w:r>
        <w:rPr>
          <w:rFonts w:eastAsia="inter" w:cs="inter" w:ascii="inter" w:hAnsi="inter"/>
          <w:color w:val="000000"/>
          <w:sz w:val="21"/>
        </w:rPr>
        <w:t xml:space="preserve">Exhibit 8: Exhibits F–I (obstruction allegations, counsel email quotes, harm assertions)</w:t>
      </w:r>
      <w:bookmarkStart w:id="167" w:name="fnref8:31"/>
      <w:bookmarkEnd w:id="167"/>
      <w:hyperlink w:anchor="fn8">
        <w:r>
          <w:rPr>
            <w:rFonts w:eastAsia="inter" w:cs="inter" w:ascii="inter" w:hAnsi="inter"/>
            <w:color w:val="#000"/>
            <w:sz w:val="21"/>
            <w:u w:val="single"/>
            <w:vertAlign w:val="superscript"/>
          </w:rPr>
          <w:t xml:space="preserve">[8]</w:t>
        </w:r>
      </w:hyperlink>
    </w:p>
    <w:p>
      <w:pPr>
        <w:numPr>
          <w:ilvl w:val="0"/>
          <w:numId w:val="16"/>
        </w:numPr>
        <w:spacing w:line="360" w:before="105" w:after="105" w:lineRule="auto"/>
      </w:pPr>
      <w:r>
        <w:rPr>
          <w:rFonts w:eastAsia="inter" w:cs="inter" w:ascii="inter" w:hAnsi="inter"/>
          <w:color w:val="000000"/>
          <w:sz w:val="21"/>
        </w:rPr>
        <w:t xml:space="preserve">Exhibit 9: Respondent’s Response in 25-2-03361-31 (Google Docs export)</w:t>
      </w:r>
      <w:bookmarkStart w:id="168" w:name="fnref3:17"/>
      <w:bookmarkEnd w:id="168"/>
      <w:hyperlink w:anchor="fn3">
        <w:r>
          <w:rPr>
            <w:rFonts w:eastAsia="inter" w:cs="inter" w:ascii="inter" w:hAnsi="inter"/>
            <w:color w:val="#000"/>
            <w:sz w:val="21"/>
            <w:u w:val="single"/>
            <w:vertAlign w:val="superscript"/>
          </w:rPr>
          <w:t xml:space="preserve">[3]</w:t>
        </w:r>
      </w:hyperlink>
    </w:p>
    <w:p>
      <w:pPr>
        <w:spacing w:line="360" w:after="210" w:lineRule="auto"/>
      </w:pPr>
      <w:r>
        <w:rPr>
          <w:rFonts w:eastAsia="inter" w:cs="inter" w:ascii="inter" w:hAnsi="inter"/>
          <w:color w:val="000000"/>
        </w:rPr>
        <w:t xml:space="preserve">Each Exhibit is incorporated as produced; authenticity and completeness reserved pending third-party subpoena returns.</w:t>
      </w:r>
    </w:p>
    <w:p>
      <w:pPr>
        <w:spacing w:line="360" w:before="315" w:after="105" w:lineRule="auto"/>
        <w:ind w:left="-30"/>
        <w:jc w:val="left"/>
      </w:pPr>
      <w:r>
        <w:rPr>
          <w:rFonts w:eastAsia="inter" w:cs="inter" w:ascii="inter" w:hAnsi="inter"/>
          <w:b/>
          <w:color w:val="000000"/>
          <w:sz w:val="24"/>
        </w:rPr>
        <w:t xml:space="preserve">Signature</w:t>
      </w:r>
    </w:p>
    <w:p>
      <w:pPr>
        <w:spacing w:line="360" w:after="210" w:lineRule="auto"/>
      </w:pPr>
      <w:r>
        <w:rPr>
          <w:rFonts w:eastAsia="inter" w:cs="inter" w:ascii="inter" w:hAnsi="inter"/>
          <w:color w:val="000000"/>
        </w:rPr>
        <w:t xml:space="preserve">Dated: ____________, 2025</w:t>
      </w:r>
    </w:p>
    <w:p>
      <w:pPr>
        <w:spacing w:line="360" w:after="210" w:lineRule="auto"/>
      </w:pPr>
      <w:r>
        <w:rPr>
          <w:rFonts w:eastAsia="inter" w:cs="inter" w:ascii="inter" w:hAnsi="inter"/>
          <w:color w:val="000000"/>
        </w:rPr>
        <w:t xml:space="preserve">William Orley Miller Jr.</w:t>
      </w:r>
      <w:r>
        <w:rPr>
          <w:rFonts w:eastAsia="inter" w:cs="inter" w:ascii="inter" w:hAnsi="inter"/>
          <w:color w:val="000000"/>
        </w:rPr>
        <w:br w:type="textWrapping"/>
      </w:r>
      <w:r>
        <w:rPr>
          <w:rFonts w:eastAsia="inter" w:cs="inter" w:ascii="inter" w:hAnsi="inter"/>
          <w:color w:val="000000"/>
        </w:rPr>
        <w:t xml:space="preserve">Petitioner, Pro Se</w:t>
      </w:r>
    </w:p>
    <w:p>
      <w:pPr>
        <w:spacing w:line="360" w:after="210" w:lineRule="auto"/>
      </w:pPr>
      <w:r>
        <w:rPr>
          <w:rFonts w:eastAsia="inter" w:cs="inter" w:ascii="inter" w:hAnsi="inter"/>
          <w:color w:val="000000"/>
        </w:rPr>
        <w:t xml:space="preserve">Service: Via e-file and email per service agreement, and by mail if required under local rules.</w:t>
      </w:r>
    </w:p>
    <w:p>
      <w:pPr>
        <w:spacing w:line="360" w:after="210" w:lineRule="auto"/>
      </w:pPr>
      <w:r>
        <w:rPr>
          <w:rFonts w:eastAsia="inter" w:cs="inter" w:ascii="inter" w:hAnsi="inter"/>
          <w:color w:val="000000"/>
        </w:rPr>
        <w:t xml:space="preserve">—</w:t>
      </w:r>
    </w:p>
    <w:p>
      <w:pPr>
        <w:spacing w:line="360" w:after="210" w:lineRule="auto"/>
      </w:pPr>
      <w:r>
        <w:rPr>
          <w:rFonts w:eastAsia="inter" w:cs="inter" w:ascii="inter" w:hAnsi="inter"/>
          <w:color w:val="000000"/>
        </w:rPr>
        <w:t xml:space="preserve">Implementation notes for filing/serving:</w:t>
      </w:r>
    </w:p>
    <w:p>
      <w:pPr>
        <w:numPr>
          <w:ilvl w:val="0"/>
          <w:numId w:val="17"/>
        </w:numPr>
        <w:spacing w:line="360" w:before="105" w:after="105" w:lineRule="auto"/>
      </w:pPr>
      <w:r>
        <w:rPr>
          <w:rFonts w:eastAsia="inter" w:cs="inter" w:ascii="inter" w:hAnsi="inter"/>
          <w:color w:val="000000"/>
          <w:sz w:val="21"/>
        </w:rPr>
        <w:t xml:space="preserve">Combine the sections above into a single PDF, followed by the exhibits in the order listed, all Bates-stamped.</w:t>
      </w:r>
    </w:p>
    <w:p>
      <w:pPr>
        <w:numPr>
          <w:ilvl w:val="0"/>
          <w:numId w:val="17"/>
        </w:numPr>
        <w:spacing w:line="360" w:before="105" w:after="105" w:lineRule="auto"/>
      </w:pPr>
      <w:r>
        <w:rPr>
          <w:rFonts w:eastAsia="inter" w:cs="inter" w:ascii="inter" w:hAnsi="inter"/>
          <w:color w:val="000000"/>
          <w:sz w:val="21"/>
        </w:rPr>
        <w:t xml:space="preserve">Use the clerk’s “Submitted By” exhibit coversheet as the first page of the exhibits section if preferred by the assigned department.</w:t>
      </w:r>
      <w:bookmarkStart w:id="169" w:name="fnref4:28"/>
      <w:bookmarkEnd w:id="169"/>
      <w:hyperlink w:anchor="fn4">
        <w:r>
          <w:rPr>
            <w:rFonts w:eastAsia="inter" w:cs="inter" w:ascii="inter" w:hAnsi="inter"/>
            <w:color w:val="#000"/>
            <w:sz w:val="21"/>
            <w:u w:val="single"/>
            <w:vertAlign w:val="superscript"/>
          </w:rPr>
          <w:t xml:space="preserve">[4]</w:t>
        </w:r>
      </w:hyperlink>
    </w:p>
    <w:p>
      <w:pPr>
        <w:numPr>
          <w:ilvl w:val="0"/>
          <w:numId w:val="17"/>
        </w:numPr>
        <w:spacing w:line="360" w:before="105" w:after="105" w:lineRule="auto"/>
      </w:pPr>
      <w:r>
        <w:rPr>
          <w:rFonts w:eastAsia="inter" w:cs="inter" w:ascii="inter" w:hAnsi="inter"/>
          <w:color w:val="000000"/>
          <w:sz w:val="21"/>
        </w:rPr>
        <w:t xml:space="preserve">Where the PO 030 and reissuance orders include Zoom IDs and warnings, include the full issued pages without alteration.</w:t>
      </w:r>
      <w:bookmarkStart w:id="170" w:name="fnref5:14"/>
      <w:bookmarkEnd w:id="170"/>
      <w:hyperlink w:anchor="fn5">
        <w:r>
          <w:rPr>
            <w:rFonts w:eastAsia="inter" w:cs="inter" w:ascii="inter" w:hAnsi="inter"/>
            <w:color w:val="#000"/>
            <w:sz w:val="21"/>
            <w:u w:val="single"/>
            <w:vertAlign w:val="superscript"/>
          </w:rPr>
          <w:t xml:space="preserve">[5]</w:t>
        </w:r>
      </w:hyperlink>
      <w:bookmarkStart w:id="171" w:name="fnref6:32"/>
      <w:bookmarkEnd w:id="171"/>
      <w:hyperlink w:anchor="fn6">
        <w:r>
          <w:rPr>
            <w:rFonts w:eastAsia="inter" w:cs="inter" w:ascii="inter" w:hAnsi="inter"/>
            <w:color w:val="#000"/>
            <w:sz w:val="21"/>
            <w:u w:val="single"/>
            <w:vertAlign w:val="superscript"/>
          </w:rPr>
          <w:t xml:space="preserve">[6]</w:t>
        </w:r>
      </w:hyperlink>
    </w:p>
    <w:p>
      <w:pPr>
        <w:numPr>
          <w:ilvl w:val="0"/>
          <w:numId w:val="17"/>
        </w:numPr>
        <w:spacing w:line="360" w:before="105" w:after="105" w:lineRule="auto"/>
      </w:pPr>
      <w:r>
        <w:rPr>
          <w:rFonts w:eastAsia="inter" w:cs="inter" w:ascii="inter" w:hAnsi="inter"/>
          <w:color w:val="000000"/>
          <w:sz w:val="21"/>
        </w:rPr>
        <w:t xml:space="preserve">Keep the denial/hearing orders intact to preserve service and appearance instructions, which can be important for the record.</w:t>
      </w:r>
      <w:bookmarkStart w:id="172" w:name="fnref1:11"/>
      <w:bookmarkEnd w:id="172"/>
      <w:hyperlink w:anchor="fn1">
        <w:r>
          <w:rPr>
            <w:rFonts w:eastAsia="inter" w:cs="inter" w:ascii="inter" w:hAnsi="inter"/>
            <w:color w:val="#000"/>
            <w:sz w:val="21"/>
            <w:u w:val="single"/>
            <w:vertAlign w:val="superscript"/>
          </w:rPr>
          <w:t xml:space="preserve">[1]</w:t>
        </w:r>
      </w:hyperlink>
      <w:r>
        <w:rPr>
          <w:rFonts w:eastAsia="inter" w:cs="inter" w:ascii="inter" w:hAnsi="inter"/>
          <w:color w:val="000000"/>
          <w:sz w:val="21"/>
        </w:rPr>
        <w:br w:type="textWrapping"/>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173" w:name="fn1"/>
    <w:bookmarkEnd w:id="173"/>
    <w:p>
      <w:pPr>
        <w:numPr>
          <w:ilvl w:val="0"/>
          <w:numId w:val="19"/>
        </w:numPr>
        <w:spacing w:line="360" w:after="210" w:lineRule="auto"/>
      </w:pPr>
      <w:r>
        <w:rPr>
          <w:rFonts w:eastAsia="inter" w:cs="inter" w:ascii="inter" w:hAnsi="inter"/>
          <w:color w:val="000000"/>
          <w:sz w:val="18"/>
        </w:rPr>
        <w:t xml:space="preserve">candi-denied-order.pdf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4" w:name="fn2"/>
    <w:bookmarkEnd w:id="174"/>
    <w:p>
      <w:pPr>
        <w:numPr>
          <w:ilvl w:val="0"/>
          <w:numId w:val="19"/>
        </w:numPr>
        <w:spacing w:line="360" w:after="210" w:lineRule="auto"/>
      </w:pPr>
      <w:r>
        <w:rPr>
          <w:rFonts w:eastAsia="inter" w:cs="inter" w:ascii="inter" w:hAnsi="inter"/>
          <w:color w:val="000000"/>
          <w:sz w:val="18"/>
        </w:rPr>
        <w:t xml:space="preserve">67BDAA8C605C8A0C99A8F816A7451885_299292.pdf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5" w:name="fn3"/>
    <w:bookmarkEnd w:id="175"/>
    <w:p>
      <w:pPr>
        <w:numPr>
          <w:ilvl w:val="0"/>
          <w:numId w:val="19"/>
        </w:numPr>
        <w:spacing w:line="360" w:after="210" w:lineRule="auto"/>
      </w:pPr>
      <w:r>
        <w:rPr>
          <w:rFonts w:eastAsia="inter" w:cs="inter" w:ascii="inter" w:hAnsi="inter"/>
          <w:color w:val="000000"/>
          <w:sz w:val="18"/>
        </w:rPr>
        <w:t xml:space="preserve">respone-to-canis-prder-.-Google-Docs.pdf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6" w:name="fn4"/>
    <w:bookmarkEnd w:id="176"/>
    <w:p>
      <w:pPr>
        <w:numPr>
          <w:ilvl w:val="0"/>
          <w:numId w:val="19"/>
        </w:numPr>
        <w:spacing w:line="360" w:after="210" w:lineRule="auto"/>
      </w:pPr>
      <w:r>
        <w:rPr>
          <w:rFonts w:eastAsia="inter" w:cs="inter" w:ascii="inter" w:hAnsi="inter"/>
          <w:color w:val="000000"/>
          <w:sz w:val="18"/>
        </w:rPr>
        <w:t xml:space="preserve">june-27-temp-orders-attempt.pdf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7" w:name="fn5"/>
    <w:bookmarkEnd w:id="177"/>
    <w:p>
      <w:pPr>
        <w:numPr>
          <w:ilvl w:val="0"/>
          <w:numId w:val="19"/>
        </w:numPr>
        <w:spacing w:line="360" w:after="210" w:lineRule="auto"/>
      </w:pPr>
      <w:r>
        <w:rPr>
          <w:rFonts w:eastAsia="inter" w:cs="inter" w:ascii="inter" w:hAnsi="inter"/>
          <w:color w:val="000000"/>
          <w:sz w:val="18"/>
        </w:rPr>
        <w:t xml:space="preserve">PO_030_Temporary_Protection_Order_AH-DV-STK_1.24.pdf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8" w:name="fn6"/>
    <w:bookmarkEnd w:id="178"/>
    <w:p>
      <w:pPr>
        <w:numPr>
          <w:ilvl w:val="0"/>
          <w:numId w:val="19"/>
        </w:numPr>
        <w:spacing w:line="360" w:after="210" w:lineRule="auto"/>
      </w:pPr>
      <w:r>
        <w:rPr>
          <w:rFonts w:eastAsia="inter" w:cs="inter" w:ascii="inter" w:hAnsi="inter"/>
          <w:color w:val="000000"/>
          <w:sz w:val="18"/>
        </w:rPr>
        <w:t xml:space="preserve">exhibits-contempt-dvpo-A-E-cond.pdf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79" w:name="fn7"/>
    <w:bookmarkEnd w:id="179"/>
    <w:p>
      <w:pPr>
        <w:numPr>
          <w:ilvl w:val="0"/>
          <w:numId w:val="19"/>
        </w:numPr>
        <w:spacing w:line="360" w:after="210" w:lineRule="auto"/>
      </w:pPr>
      <w:r>
        <w:rPr>
          <w:rFonts w:eastAsia="inter" w:cs="inter" w:ascii="inter" w:hAnsi="inter"/>
          <w:color w:val="000000"/>
          <w:sz w:val="18"/>
        </w:rPr>
        <w:t xml:space="preserve">include-any-domestic-violence-rcw-that-coulkd-be.pdf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0" w:name="fn8"/>
    <w:bookmarkEnd w:id="180"/>
    <w:p>
      <w:pPr>
        <w:numPr>
          <w:ilvl w:val="0"/>
          <w:numId w:val="19"/>
        </w:numPr>
        <w:spacing w:line="360" w:after="210" w:lineRule="auto"/>
      </w:pPr>
      <w:r>
        <w:rPr>
          <w:rFonts w:eastAsia="inter" w:cs="inter" w:ascii="inter" w:hAnsi="inter"/>
          <w:color w:val="000000"/>
          <w:sz w:val="18"/>
        </w:rPr>
        <w:t xml:space="preserve">exhibits-contempt-dvpo-f-I-cond.pdf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81" w:name="fn9"/>
    <w:bookmarkEnd w:id="181"/>
    <w:p>
      <w:pPr>
        <w:numPr>
          <w:ilvl w:val="0"/>
          <w:numId w:val="19"/>
        </w:numPr>
        <w:spacing w:line="360" w:after="210" w:lineRule="auto"/>
      </w:pPr>
      <w:r>
        <w:rPr>
          <w:rFonts w:eastAsia="inter" w:cs="inter" w:ascii="inter" w:hAnsi="inter"/>
          <w:color w:val="000000"/>
          <w:sz w:val="18"/>
        </w:rPr>
        <w:t xml:space="preserve">exhibits-contempt-dvpo-J-O.pdf </w:t>
      </w:r>
    </w:p>
    <w:bookmarkStart w:id="182" w:name="fn10"/>
    <w:bookmarkEnd w:id="182"/>
    <w:p>
      <w:pPr>
        <w:numPr>
          <w:ilvl w:val="0"/>
          <w:numId w:val="19"/>
        </w:numPr>
        <w:spacing w:line="360" w:after="210" w:lineRule="auto"/>
      </w:pPr>
      <w:r>
        <w:rPr>
          <w:rFonts w:eastAsia="inter" w:cs="inter" w:ascii="inter" w:hAnsi="inter"/>
          <w:color w:val="000000"/>
          <w:sz w:val="18"/>
        </w:rPr>
        <w:t xml:space="preserve">exhibits-contempt-dvpo-J-O.pdf </w:t>
      </w:r>
    </w:p>
    <w:bookmarkStart w:id="183" w:name="fn11"/>
    <w:bookmarkEnd w:id="183"/>
    <w:p>
      <w:pPr>
        <w:numPr>
          <w:ilvl w:val="0"/>
          <w:numId w:val="19"/>
        </w:numPr>
        <w:spacing w:line="360" w:after="210" w:lineRule="auto"/>
      </w:pPr>
      <w:r>
        <w:rPr>
          <w:rFonts w:eastAsia="inter" w:cs="inter" w:ascii="inter" w:hAnsi="inter"/>
          <w:color w:val="000000"/>
          <w:sz w:val="18"/>
        </w:rPr>
        <w:t xml:space="preserve">exhibits-contempt-dvpo-J-O.pdf </w:t>
      </w:r>
    </w:p>
    <w:bookmarkStart w:id="184" w:name="fn12"/>
    <w:bookmarkEnd w:id="184"/>
    <w:p>
      <w:pPr>
        <w:numPr>
          <w:ilvl w:val="0"/>
          <w:numId w:val="19"/>
        </w:numPr>
        <w:spacing w:line="360" w:after="210" w:lineRule="auto"/>
      </w:pPr>
      <w:hyperlink r:id="rId6">
        <w:r>
          <w:rPr>
            <w:rFonts w:eastAsia="inter" w:cs="inter" w:ascii="inter" w:hAnsi="inter"/>
            <w:color w:val="#000"/>
            <w:sz w:val="18"/>
            <w:u w:val="single"/>
          </w:rPr>
          <w:t xml:space="preserve">https://keep.google.com/u/1/</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decimal"/>
      <w:lvlText w:val="%1."/>
      <w:lvlJc w:val="left"/>
      <w:pPr>
        <w:tabs>
          <w:tab w:val="num" w:pos="900"/>
        </w:tabs>
        <w:ind w:left="540" w:hanging="360"/>
      </w:pPr>
    </w:lvl>
  </w:abstractNum>
  <w:abstractNum w:abstractNumId="10">
    <w:multiLevelType w:val="hybridMultilevel"/>
    <w:lvl w:ilvl="0">
      <w:start w:val="1"/>
      <w:numFmt w:val="decimal"/>
      <w:lvlText w:val="%1."/>
      <w:lvlJc w:val="left"/>
      <w:pPr>
        <w:tabs>
          <w:tab w:val="num" w:pos="900"/>
        </w:tabs>
        <w:ind w:left="540" w:hanging="360"/>
      </w:pPr>
    </w:lvl>
  </w:abstractNum>
  <w:abstractNum w:abstractNumId="11">
    <w:multiLevelType w:val="hybridMultilevel"/>
    <w:lvl w:ilvl="0">
      <w:start w:val="1"/>
      <w:numFmt w:val="decimal"/>
      <w:lvlText w:val="%1."/>
      <w:lvlJc w:val="left"/>
      <w:pPr>
        <w:tabs>
          <w:tab w:val="num" w:pos="900"/>
        </w:tabs>
        <w:ind w:left="540" w:hanging="360"/>
      </w:p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8">
    <w:multiLevelType w:val="hybridMultilevel"/>
  </w:abstractNum>
  <w:abstractNum w:abstractNumId="19">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7b6b5d31988272e41994f374ca80cd0c5a0d0f01.png" TargetMode="Internal"/><Relationship Id="rId6" Type="http://schemas.openxmlformats.org/officeDocument/2006/relationships/hyperlink" Target="https://keep.google.com/u/1/"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2025-08-22T18:19:32.712Z</dcterms:created>
  <dcterms:modified xsi:type="dcterms:W3CDTF">2025-08-22T18:19:32.712Z</dcterms:modified>
</cp:coreProperties>
</file>