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svg" ContentType="image/svg+xml"/>
  <Default Extension="xml" ContentType="application/xml"/>
  <Default Extension="jpg" ContentType="application/octet-stream"/>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m="http://schemas.openxmlformats.org/officeDocument/2006/math"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xmlns:a14="http://schemas.microsoft.com/office/drawing/2010/main" xmlns:asvg="http://schemas.microsoft.com/office/drawing/2016/SVG/main">
  <w:body>
    <w:p>
      <w:pPr>
        <w:spacing w:line="360" w:after="0" w:lineRule="auto"/>
      </w:pPr>
      <w:r>
        <w:rPr>
          <w:rFonts w:eastAsia="inter" w:cs="inter" w:ascii="inter" w:hAnsi="inter"/>
          <w:color w:val="000000"/>
        </w:rPr>
        <w:drawing>
          <wp:inline distB="0" distL="0" distR="0" distT="0">
            <wp:extent cx="1143000" cy="287909"/>
            <wp:effectExtent b="0" l="0" r="0" t="0"/>
            <wp:docPr id="1" name="image-e4150ccce3763d827c5a091a7682c77c8c087b97.png"/>
            <a:graphic>
              <a:graphicData uri="http://schemas.openxmlformats.org/drawingml/2006/picture">
                <pic:pic>
                  <pic:nvPicPr>
                    <pic:cNvPr id="1" name="image-e4150ccce3763d827c5a091a7682c77c8c087b97.png" descr=""/>
                    <pic:cNvPicPr/>
                  </pic:nvPicPr>
                  <pic:blipFill>
                    <a:blip r:embed="rId5" cstate="print"/>
                    <a:srcRect b="0" l="0" r="0" t="0"/>
                    <a:stretch>
                      <a:fillRect/>
                    </a:stretch>
                  </pic:blipFill>
                  <pic:spPr>
                    <a:xfrm>
                      <a:off x="0" y="0"/>
                      <a:ext cx="1143000" cy="287909"/>
                    </a:xfrm>
                    <a:prstGeom prst="rect"/>
                  </pic:spPr>
                </pic:pic>
              </a:graphicData>
            </a:graphic>
          </wp:inline>
        </w:drawing>
      </w:r>
    </w:p>
    <w:p>
      <w:pPr>
        <w:spacing w:line="270" w:before="157.5" w:after="157.5" w:lineRule="auto"/>
        <w:jc w:val="left"/>
      </w:pPr>
      <w:r>
        <w:rPr>
          <w:rFonts w:eastAsia="inter" w:cs="inter" w:ascii="inter" w:hAnsi="inter"/>
          <w:b/>
          <w:color w:val="000000"/>
          <w:sz w:val="39"/>
        </w:rPr>
        <w:t xml:space="preserve">Mudd Monkies Inc. Financial Loss Analysis: Comprehensive Damage Assessment</w:t>
      </w:r>
    </w:p>
    <w:p>
      <w:pPr>
        <w:spacing w:line="360" w:before="315" w:after="105" w:lineRule="auto"/>
        <w:ind w:left="-30"/>
        <w:jc w:val="left"/>
      </w:pPr>
      <w:r>
        <w:rPr>
          <w:rFonts w:eastAsia="inter" w:cs="inter" w:ascii="inter" w:hAnsi="inter"/>
          <w:b/>
          <w:color w:val="000000"/>
          <w:sz w:val="24"/>
        </w:rPr>
        <w:t xml:space="preserve">Executive Summary</w:t>
      </w:r>
    </w:p>
    <w:p>
      <w:pPr>
        <w:spacing w:line="360" w:after="210" w:lineRule="auto"/>
      </w:pPr>
      <w:r>
        <w:rPr>
          <w:rFonts w:eastAsia="inter" w:cs="inter" w:ascii="inter" w:hAnsi="inter"/>
          <w:color w:val="000000"/>
        </w:rPr>
        <w:t xml:space="preserve">This comprehensive financial analysis documents the substantial losses incurred by Mudd Monkies Inc. from September 2024 through July 2025 due to systematic interference with business operations. The total estimated damages range from </w:t>
      </w:r>
      <w:r>
        <w:rPr>
          <w:rFonts w:eastAsia="inter" w:cs="inter" w:ascii="inter" w:hAnsi="inter"/>
          <w:b/>
          <w:color w:val="000000"/>
        </w:rPr>
        <w:t xml:space="preserve">$977,389</w:t>
      </w:r>
      <w:r>
        <w:rPr>
          <w:rFonts w:eastAsia="inter" w:cs="inter" w:ascii="inter" w:hAnsi="inter"/>
          <w:color w:val="000000"/>
        </w:rPr>
        <w:t xml:space="preserve"> to </w:t>
      </w:r>
      <w:r>
        <w:rPr>
          <w:rFonts w:eastAsia="inter" w:cs="inter" w:ascii="inter" w:hAnsi="inter"/>
          <w:b/>
          <w:color w:val="000000"/>
        </w:rPr>
        <w:t xml:space="preserve">$3,242,764</w:t>
      </w:r>
      <w:r>
        <w:rPr>
          <w:rFonts w:eastAsia="inter" w:cs="inter" w:ascii="inter" w:hAnsi="inter"/>
          <w:color w:val="000000"/>
        </w:rPr>
        <w:t xml:space="preserve">, with projected future losses potentially reaching </w:t>
      </w:r>
      <w:r>
        <w:rPr>
          <w:rFonts w:eastAsia="inter" w:cs="inter" w:ascii="inter" w:hAnsi="inter"/>
          <w:b/>
          <w:color w:val="000000"/>
        </w:rPr>
        <w:t xml:space="preserve">$1.79 million</w:t>
      </w:r>
      <w:r>
        <w:rPr>
          <w:rFonts w:eastAsia="inter" w:cs="inter" w:ascii="inter" w:hAnsi="inter"/>
          <w:color w:val="000000"/>
        </w:rPr>
        <w:t xml:space="preserve"> if business dissolution occurs.</w:t>
      </w:r>
    </w:p>
    <w:p>
      <w:pPr>
        <w:spacing w:line="360" w:after="0" w:lineRule="auto"/>
        <w:jc w:val="center"/>
      </w:pPr>
      <w:r>
        <w:rPr>
          <w:rFonts w:eastAsia="inter" w:cs="inter" w:ascii="inter" w:hAnsi="inter"/>
          <w:color w:val="000000"/>
        </w:rPr>
        <w:drawing>
          <wp:inline distB="0" distL="0" distR="0" distT="0">
            <wp:extent cx="6038850" cy="4025900"/>
            <wp:effectExtent b="0" l="0" r="0" t="0"/>
            <wp:docPr id="2" name="image-433ebedca393855b542fa86f9d3f5e397e6fc89f.jpg"/>
            <a:graphic>
              <a:graphicData uri="http://schemas.openxmlformats.org/drawingml/2006/picture">
                <pic:pic>
                  <pic:nvPicPr>
                    <pic:cNvPr id="2" name="image-433ebedca393855b542fa86f9d3f5e397e6fc89f.jpg" descr=""/>
                    <pic:cNvPicPr/>
                  </pic:nvPicPr>
                  <pic:blipFill>
                    <a:blip r:embed="rId6" cstate="print"/>
                    <a:srcRect b="0" l="0" r="0" t="0"/>
                    <a:stretch>
                      <a:fillRect/>
                    </a:stretch>
                  </pic:blipFill>
                  <pic:spPr>
                    <a:xfrm>
                      <a:off x="0" y="0"/>
                      <a:ext cx="6038850" cy="4025900"/>
                    </a:xfrm>
                    <a:prstGeom prst="rect"/>
                  </pic:spPr>
                </pic:pic>
              </a:graphicData>
            </a:graphic>
          </wp:inline>
        </w:drawing>
      </w:r>
    </w:p>
    <w:p>
      <w:pPr>
        <w:spacing w:line="360" w:after="210" w:lineRule="auto"/>
      </w:pPr>
      <w:r>
        <w:rPr>
          <w:rFonts w:eastAsia="inter" w:cs="inter" w:ascii="inter" w:hAnsi="inter"/>
          <w:color w:val="000000"/>
        </w:rPr>
        <w:t xml:space="preserve">Financial losses and damages incurred by Mudd Monkies Inc. from September 2024 to July 2025.</w:t>
      </w:r>
    </w:p>
    <w:p>
      <w:pPr>
        <w:spacing w:line="360" w:before="315" w:after="105" w:lineRule="auto"/>
        <w:ind w:left="-30"/>
        <w:jc w:val="left"/>
      </w:pPr>
      <w:r>
        <w:rPr>
          <w:rFonts w:eastAsia="inter" w:cs="inter" w:ascii="inter" w:hAnsi="inter"/>
          <w:b/>
          <w:color w:val="000000"/>
          <w:sz w:val="24"/>
        </w:rPr>
        <w:t xml:space="preserve">Detailed Loss Categories</w:t>
      </w:r>
    </w:p>
    <w:p>
      <w:pPr>
        <w:spacing w:line="360" w:before="315" w:after="105" w:lineRule="auto"/>
        <w:ind w:left="-30"/>
        <w:jc w:val="left"/>
      </w:pPr>
      <w:r>
        <w:rPr>
          <w:rFonts w:eastAsia="inter" w:cs="inter" w:ascii="inter" w:hAnsi="inter"/>
          <w:b/>
          <w:color w:val="000000"/>
          <w:sz w:val="24"/>
        </w:rPr>
        <w:t xml:space="preserve">Core Business Revenue Losses</w:t>
      </w:r>
    </w:p>
    <w:p>
      <w:pPr>
        <w:spacing w:line="360" w:after="210" w:lineRule="auto"/>
      </w:pPr>
      <w:r>
        <w:rPr>
          <w:rFonts w:eastAsia="inter" w:cs="inter" w:ascii="inter" w:hAnsi="inter"/>
          <w:b/>
          <w:color w:val="000000"/>
        </w:rPr>
        <w:t xml:space="preserve">Lost Revenue (Best 3 Months Projection): $323,998</w:t>
      </w:r>
    </w:p>
    <w:p>
      <w:pPr>
        <w:numPr>
          <w:ilvl w:val="0"/>
          <w:numId w:val="1"/>
        </w:numPr>
        <w:spacing w:line="360" w:before="105" w:after="105" w:lineRule="auto"/>
      </w:pPr>
      <w:r>
        <w:rPr>
          <w:rFonts w:eastAsia="inter" w:cs="inter" w:ascii="inter" w:hAnsi="inter"/>
          <w:color w:val="000000"/>
          <w:sz w:val="21"/>
        </w:rPr>
        <w:t xml:space="preserve">Based on average monthly revenue from peak performance periods (July 2022, June 2023, August 2022)</w:t>
      </w:r>
    </w:p>
    <w:p>
      <w:pPr>
        <w:numPr>
          <w:ilvl w:val="0"/>
          <w:numId w:val="1"/>
        </w:numPr>
        <w:spacing w:line="360" w:before="105" w:after="105" w:lineRule="auto"/>
      </w:pPr>
      <w:r>
        <w:rPr>
          <w:rFonts w:eastAsia="inter" w:cs="inter" w:ascii="inter" w:hAnsi="inter"/>
          <w:color w:val="000000"/>
          <w:sz w:val="21"/>
        </w:rPr>
        <w:t xml:space="preserve">Extrapolated with conservative monthly growth rate</w:t>
      </w:r>
    </w:p>
    <w:p>
      <w:pPr>
        <w:numPr>
          <w:ilvl w:val="0"/>
          <w:numId w:val="1"/>
        </w:numPr>
        <w:spacing w:line="360" w:before="105" w:after="105" w:lineRule="auto"/>
      </w:pPr>
      <w:r>
        <w:rPr>
          <w:rFonts w:eastAsia="inter" w:cs="inter" w:ascii="inter" w:hAnsi="inter"/>
          <w:color w:val="000000"/>
          <w:sz w:val="21"/>
        </w:rPr>
        <w:t xml:space="preserve">Assumes commercial jobs would have filled off-season gaps</w:t>
      </w:r>
    </w:p>
    <w:p>
      <w:pPr>
        <w:spacing w:line="360" w:after="210" w:lineRule="auto"/>
      </w:pPr>
      <w:r>
        <w:rPr>
          <w:rFonts w:eastAsia="inter" w:cs="inter" w:ascii="inter" w:hAnsi="inter"/>
          <w:b/>
          <w:color w:val="000000"/>
        </w:rPr>
        <w:t xml:space="preserve">Lost Revenue (Off-Peak Season): $107,091.17</w:t>
      </w:r>
    </w:p>
    <w:p>
      <w:pPr>
        <w:numPr>
          <w:ilvl w:val="0"/>
          <w:numId w:val="2"/>
        </w:numPr>
        <w:spacing w:line="360" w:before="105" w:after="105" w:lineRule="auto"/>
      </w:pPr>
      <w:r>
        <w:rPr>
          <w:rFonts w:eastAsia="inter" w:cs="inter" w:ascii="inter" w:hAnsi="inter"/>
          <w:color w:val="000000"/>
          <w:sz w:val="21"/>
        </w:rPr>
        <w:t xml:space="preserve">Calculated from previous off-peak losses following interference</w:t>
      </w:r>
    </w:p>
    <w:p>
      <w:pPr>
        <w:numPr>
          <w:ilvl w:val="0"/>
          <w:numId w:val="2"/>
        </w:numPr>
        <w:spacing w:line="360" w:before="105" w:after="105" w:lineRule="auto"/>
      </w:pPr>
      <w:r>
        <w:rPr>
          <w:rFonts w:eastAsia="inter" w:cs="inter" w:ascii="inter" w:hAnsi="inter"/>
          <w:color w:val="000000"/>
          <w:sz w:val="21"/>
        </w:rPr>
        <w:t xml:space="preserve">Represents baseline revenue disruption during slower business periods</w:t>
      </w:r>
    </w:p>
    <w:p>
      <w:pPr>
        <w:spacing w:line="360" w:before="315" w:after="105" w:lineRule="auto"/>
        <w:ind w:left="-30"/>
        <w:jc w:val="left"/>
      </w:pPr>
      <w:r>
        <w:rPr>
          <w:rFonts w:eastAsia="inter" w:cs="inter" w:ascii="inter" w:hAnsi="inter"/>
          <w:b/>
          <w:color w:val="000000"/>
          <w:sz w:val="24"/>
        </w:rPr>
        <w:t xml:space="preserve">Court-Ordered Restitution</w:t>
      </w:r>
    </w:p>
    <w:p>
      <w:pPr>
        <w:spacing w:line="360" w:after="210" w:lineRule="auto"/>
      </w:pPr>
      <w:r>
        <w:rPr>
          <w:rFonts w:eastAsia="inter" w:cs="inter" w:ascii="inter" w:hAnsi="inter"/>
          <w:b/>
          <w:color w:val="000000"/>
        </w:rPr>
        <w:t xml:space="preserve">Restitution for Lockout: $247,500</w:t>
      </w:r>
    </w:p>
    <w:p>
      <w:pPr>
        <w:numPr>
          <w:ilvl w:val="0"/>
          <w:numId w:val="3"/>
        </w:numPr>
        <w:spacing w:line="360" w:before="105" w:after="105" w:lineRule="auto"/>
      </w:pPr>
      <w:r>
        <w:rPr>
          <w:rFonts w:eastAsia="inter" w:cs="inter" w:ascii="inter" w:hAnsi="inter"/>
          <w:b/>
          <w:color w:val="000000"/>
          <w:sz w:val="21"/>
        </w:rPr>
        <w:t xml:space="preserve">$750 per day</w:t>
      </w:r>
      <w:r>
        <w:rPr>
          <w:rFonts w:eastAsia="inter" w:cs="inter" w:ascii="inter" w:hAnsi="inter"/>
          <w:color w:val="000000"/>
          <w:sz w:val="21"/>
        </w:rPr>
        <w:t xml:space="preserve"> starting September 13, 2024</w:t>
      </w:r>
    </w:p>
    <w:p>
      <w:pPr>
        <w:numPr>
          <w:ilvl w:val="0"/>
          <w:numId w:val="3"/>
        </w:numPr>
        <w:spacing w:line="360" w:before="105" w:after="105" w:lineRule="auto"/>
      </w:pPr>
      <w:r>
        <w:rPr>
          <w:rFonts w:eastAsia="inter" w:cs="inter" w:ascii="inter" w:hAnsi="inter"/>
          <w:color w:val="000000"/>
          <w:sz w:val="21"/>
        </w:rPr>
        <w:t xml:space="preserve">Reflects court-requested restitution for denied access to business equipment and tools</w:t>
      </w:r>
    </w:p>
    <w:p>
      <w:pPr>
        <w:numPr>
          <w:ilvl w:val="0"/>
          <w:numId w:val="3"/>
        </w:numPr>
        <w:spacing w:line="360" w:before="105" w:after="105" w:lineRule="auto"/>
      </w:pPr>
      <w:r>
        <w:rPr>
          <w:rFonts w:eastAsia="inter" w:cs="inter" w:ascii="inter" w:hAnsi="inter"/>
          <w:color w:val="000000"/>
          <w:sz w:val="21"/>
        </w:rPr>
        <w:t xml:space="preserve">Aligns with established daily business loss rate in legal proceedings</w:t>
      </w:r>
    </w:p>
    <w:p>
      <w:pPr>
        <w:spacing w:line="360" w:before="315" w:after="105" w:lineRule="auto"/>
        <w:ind w:left="-30"/>
        <w:jc w:val="left"/>
      </w:pPr>
      <w:r>
        <w:rPr>
          <w:rFonts w:eastAsia="inter" w:cs="inter" w:ascii="inter" w:hAnsi="inter"/>
          <w:b/>
          <w:color w:val="000000"/>
          <w:sz w:val="24"/>
        </w:rPr>
        <w:t xml:space="preserve">Direct Displacement Costs</w:t>
      </w:r>
    </w:p>
    <w:p>
      <w:pPr>
        <w:spacing w:line="360" w:after="210" w:lineRule="auto"/>
      </w:pPr>
      <w:r>
        <w:rPr>
          <w:rFonts w:eastAsia="inter" w:cs="inter" w:ascii="inter" w:hAnsi="inter"/>
          <w:b/>
          <w:color w:val="000000"/>
        </w:rPr>
        <w:t xml:space="preserve">Hotel Expenses: $8,700</w:t>
      </w:r>
    </w:p>
    <w:p>
      <w:pPr>
        <w:numPr>
          <w:ilvl w:val="0"/>
          <w:numId w:val="4"/>
        </w:numPr>
        <w:spacing w:line="360" w:before="105" w:after="105" w:lineRule="auto"/>
      </w:pPr>
      <w:r>
        <w:rPr>
          <w:rFonts w:eastAsia="inter" w:cs="inter" w:ascii="inter" w:hAnsi="inter"/>
          <w:color w:val="000000"/>
          <w:sz w:val="21"/>
        </w:rPr>
        <w:t xml:space="preserve">Total documented accommodation costs due to displacement from primary residence</w:t>
      </w:r>
    </w:p>
    <w:p>
      <w:pPr>
        <w:numPr>
          <w:ilvl w:val="0"/>
          <w:numId w:val="4"/>
        </w:numPr>
        <w:spacing w:line="360" w:before="105" w:after="105" w:lineRule="auto"/>
      </w:pPr>
      <w:r>
        <w:rPr>
          <w:rFonts w:eastAsia="inter" w:cs="inter" w:ascii="inter" w:hAnsi="inter"/>
          <w:color w:val="000000"/>
          <w:sz w:val="21"/>
        </w:rPr>
        <w:t xml:space="preserve">Direct result of property access denial</w:t>
      </w:r>
    </w:p>
    <w:p>
      <w:pPr>
        <w:spacing w:line="360" w:after="210" w:lineRule="auto"/>
      </w:pPr>
      <w:r>
        <w:rPr>
          <w:rFonts w:eastAsia="inter" w:cs="inter" w:ascii="inter" w:hAnsi="inter"/>
          <w:b/>
          <w:color w:val="000000"/>
        </w:rPr>
        <w:t xml:space="preserve">Storage Unit Expenses: $2,100</w:t>
      </w:r>
    </w:p>
    <w:p>
      <w:pPr>
        <w:numPr>
          <w:ilvl w:val="0"/>
          <w:numId w:val="5"/>
        </w:numPr>
        <w:spacing w:line="360" w:before="105" w:after="105" w:lineRule="auto"/>
      </w:pPr>
      <w:r>
        <w:rPr>
          <w:rFonts w:eastAsia="inter" w:cs="inter" w:ascii="inter" w:hAnsi="inter"/>
          <w:color w:val="000000"/>
          <w:sz w:val="21"/>
        </w:rPr>
        <w:t xml:space="preserve">Three months of storage unit rental costs</w:t>
      </w:r>
    </w:p>
    <w:p>
      <w:pPr>
        <w:numPr>
          <w:ilvl w:val="0"/>
          <w:numId w:val="5"/>
        </w:numPr>
        <w:spacing w:line="360" w:before="105" w:after="105" w:lineRule="auto"/>
      </w:pPr>
      <w:r>
        <w:rPr>
          <w:rFonts w:eastAsia="inter" w:cs="inter" w:ascii="inter" w:hAnsi="inter"/>
          <w:color w:val="000000"/>
          <w:sz w:val="21"/>
        </w:rPr>
        <w:t xml:space="preserve">Necessary due to inability to access property and business equipment</w:t>
      </w:r>
    </w:p>
    <w:p>
      <w:pPr>
        <w:spacing w:line="360" w:before="315" w:after="105" w:lineRule="auto"/>
        <w:ind w:left="-30"/>
        <w:jc w:val="left"/>
      </w:pPr>
      <w:r>
        <w:rPr>
          <w:rFonts w:eastAsia="inter" w:cs="inter" w:ascii="inter" w:hAnsi="inter"/>
          <w:b/>
          <w:color w:val="000000"/>
          <w:sz w:val="24"/>
        </w:rPr>
        <w:t xml:space="preserve">Insurance-Related Losses</w:t>
      </w:r>
    </w:p>
    <w:p>
      <w:pPr>
        <w:spacing w:line="360" w:after="210" w:lineRule="auto"/>
      </w:pPr>
      <w:r>
        <w:rPr>
          <w:rFonts w:eastAsia="inter" w:cs="inter" w:ascii="inter" w:hAnsi="inter"/>
          <w:b/>
          <w:color w:val="000000"/>
        </w:rPr>
        <w:t xml:space="preserve">Aflac Potential Losses (Range): $90,000 - $270,000</w:t>
      </w:r>
    </w:p>
    <w:p>
      <w:pPr>
        <w:numPr>
          <w:ilvl w:val="0"/>
          <w:numId w:val="6"/>
        </w:numPr>
        <w:spacing w:line="360" w:before="105" w:after="105" w:lineRule="auto"/>
      </w:pPr>
      <w:r>
        <w:rPr>
          <w:rFonts w:eastAsia="inter" w:cs="inter" w:ascii="inter" w:hAnsi="inter"/>
          <w:b/>
          <w:color w:val="000000"/>
          <w:sz w:val="21"/>
        </w:rPr>
        <w:t xml:space="preserve">Low estimate</w:t>
      </w:r>
      <w:r>
        <w:rPr>
          <w:rFonts w:eastAsia="inter" w:cs="inter" w:ascii="inter" w:hAnsi="inter"/>
          <w:color w:val="000000"/>
          <w:sz w:val="21"/>
        </w:rPr>
        <w:t xml:space="preserve">: $90,000 for basic coverage scenarios</w:t>
      </w:r>
    </w:p>
    <w:p>
      <w:pPr>
        <w:numPr>
          <w:ilvl w:val="0"/>
          <w:numId w:val="6"/>
        </w:numPr>
        <w:spacing w:line="360" w:before="105" w:after="105" w:lineRule="auto"/>
      </w:pPr>
      <w:r>
        <w:rPr>
          <w:rFonts w:eastAsia="inter" w:cs="inter" w:ascii="inter" w:hAnsi="inter"/>
          <w:b/>
          <w:color w:val="000000"/>
          <w:sz w:val="21"/>
        </w:rPr>
        <w:t xml:space="preserve">High estimate</w:t>
      </w:r>
      <w:r>
        <w:rPr>
          <w:rFonts w:eastAsia="inter" w:cs="inter" w:ascii="inter" w:hAnsi="inter"/>
          <w:color w:val="000000"/>
          <w:sz w:val="21"/>
        </w:rPr>
        <w:t xml:space="preserve">: $270,000 for comprehensive coverage scenarios</w:t>
      </w:r>
    </w:p>
    <w:p>
      <w:pPr>
        <w:numPr>
          <w:ilvl w:val="0"/>
          <w:numId w:val="6"/>
        </w:numPr>
        <w:spacing w:line="360" w:before="105" w:after="105" w:lineRule="auto"/>
      </w:pPr>
      <w:r>
        <w:rPr>
          <w:rFonts w:eastAsia="inter" w:cs="inter" w:ascii="inter" w:hAnsi="inter"/>
          <w:color w:val="000000"/>
          <w:sz w:val="21"/>
        </w:rPr>
        <w:t xml:space="preserve">Based on inability to file claims due to interference with documentation and access</w:t>
      </w:r>
    </w:p>
    <w:p>
      <w:pPr>
        <w:spacing w:line="360" w:before="315" w:after="105" w:lineRule="auto"/>
        <w:ind w:left="-30"/>
        <w:jc w:val="left"/>
      </w:pPr>
      <w:r>
        <w:rPr>
          <w:rFonts w:eastAsia="inter" w:cs="inter" w:ascii="inter" w:hAnsi="inter"/>
          <w:b/>
          <w:color w:val="000000"/>
          <w:sz w:val="24"/>
        </w:rPr>
        <w:t xml:space="preserve">Emotional and Psychological Damages</w:t>
      </w:r>
    </w:p>
    <w:p>
      <w:pPr>
        <w:spacing w:line="360" w:after="210" w:lineRule="auto"/>
      </w:pPr>
      <w:r>
        <w:rPr>
          <w:rFonts w:eastAsia="inter" w:cs="inter" w:ascii="inter" w:hAnsi="inter"/>
          <w:b/>
          <w:color w:val="000000"/>
        </w:rPr>
        <w:t xml:space="preserve">Trauma and Emotional Distress (Range): $100,000 - $300,000</w:t>
      </w:r>
    </w:p>
    <w:p>
      <w:pPr>
        <w:numPr>
          <w:ilvl w:val="0"/>
          <w:numId w:val="7"/>
        </w:numPr>
        <w:spacing w:line="360" w:before="105" w:after="105" w:lineRule="auto"/>
      </w:pPr>
      <w:r>
        <w:rPr>
          <w:rFonts w:eastAsia="inter" w:cs="inter" w:ascii="inter" w:hAnsi="inter"/>
          <w:b/>
          <w:color w:val="000000"/>
          <w:sz w:val="21"/>
        </w:rPr>
        <w:t xml:space="preserve">Low estimate</w:t>
      </w:r>
      <w:r>
        <w:rPr>
          <w:rFonts w:eastAsia="inter" w:cs="inter" w:ascii="inter" w:hAnsi="inter"/>
          <w:color w:val="000000"/>
          <w:sz w:val="21"/>
        </w:rPr>
        <w:t xml:space="preserve">: $100,000 for documented emotional distress</w:t>
      </w:r>
    </w:p>
    <w:p>
      <w:pPr>
        <w:numPr>
          <w:ilvl w:val="0"/>
          <w:numId w:val="7"/>
        </w:numPr>
        <w:spacing w:line="360" w:before="105" w:after="105" w:lineRule="auto"/>
      </w:pPr>
      <w:r>
        <w:rPr>
          <w:rFonts w:eastAsia="inter" w:cs="inter" w:ascii="inter" w:hAnsi="inter"/>
          <w:b/>
          <w:color w:val="000000"/>
          <w:sz w:val="21"/>
        </w:rPr>
        <w:t xml:space="preserve">High estimate</w:t>
      </w:r>
      <w:r>
        <w:rPr>
          <w:rFonts w:eastAsia="inter" w:cs="inter" w:ascii="inter" w:hAnsi="inter"/>
          <w:color w:val="000000"/>
          <w:sz w:val="21"/>
        </w:rPr>
        <w:t xml:space="preserve">: $300,000 considering severity and duration of trauma</w:t>
      </w:r>
    </w:p>
    <w:p>
      <w:pPr>
        <w:numPr>
          <w:ilvl w:val="0"/>
          <w:numId w:val="7"/>
        </w:numPr>
        <w:spacing w:line="360" w:before="105" w:after="105" w:lineRule="auto"/>
      </w:pPr>
      <w:r>
        <w:rPr>
          <w:rFonts w:eastAsia="inter" w:cs="inter" w:ascii="inter" w:hAnsi="inter"/>
          <w:color w:val="000000"/>
          <w:sz w:val="21"/>
        </w:rPr>
        <w:t xml:space="preserve">Includes impact from business interference, homelessness, and unreported sexual assault</w:t>
      </w:r>
    </w:p>
    <w:p>
      <w:pPr>
        <w:numPr>
          <w:ilvl w:val="0"/>
          <w:numId w:val="7"/>
        </w:numPr>
        <w:spacing w:line="360" w:before="105" w:after="105" w:lineRule="auto"/>
      </w:pPr>
      <w:r>
        <w:rPr>
          <w:rFonts w:eastAsia="inter" w:cs="inter" w:ascii="inter" w:hAnsi="inter"/>
          <w:color w:val="000000"/>
          <w:sz w:val="21"/>
        </w:rPr>
        <w:t xml:space="preserve">Reflects ongoing psychological impact on vulnerable adult status</w:t>
      </w:r>
    </w:p>
    <w:p>
      <w:pPr>
        <w:spacing w:line="360" w:before="315" w:after="105" w:lineRule="auto"/>
        <w:ind w:left="-30"/>
        <w:jc w:val="left"/>
      </w:pPr>
      <w:r>
        <w:rPr>
          <w:rFonts w:eastAsia="inter" w:cs="inter" w:ascii="inter" w:hAnsi="inter"/>
          <w:b/>
          <w:color w:val="000000"/>
          <w:sz w:val="24"/>
        </w:rPr>
        <w:t xml:space="preserve">Future Business Impact</w:t>
      </w:r>
    </w:p>
    <w:p>
      <w:pPr>
        <w:spacing w:line="360" w:after="210" w:lineRule="auto"/>
      </w:pPr>
      <w:r>
        <w:rPr>
          <w:rFonts w:eastAsia="inter" w:cs="inter" w:ascii="inter" w:hAnsi="inter"/>
          <w:b/>
          <w:color w:val="000000"/>
        </w:rPr>
        <w:t xml:space="preserve">Projected Future Losses (Dissolution): $1,793,375</w:t>
      </w:r>
    </w:p>
    <w:p>
      <w:pPr>
        <w:numPr>
          <w:ilvl w:val="0"/>
          <w:numId w:val="8"/>
        </w:numPr>
        <w:spacing w:line="360" w:before="105" w:after="105" w:lineRule="auto"/>
      </w:pPr>
      <w:r>
        <w:rPr>
          <w:rFonts w:eastAsia="inter" w:cs="inter" w:ascii="inter" w:hAnsi="inter"/>
          <w:color w:val="000000"/>
          <w:sz w:val="21"/>
        </w:rPr>
        <w:t xml:space="preserve">Five-year revenue projection if business operations had continued uninterrupted</w:t>
      </w:r>
    </w:p>
    <w:p>
      <w:pPr>
        <w:numPr>
          <w:ilvl w:val="0"/>
          <w:numId w:val="8"/>
        </w:numPr>
        <w:spacing w:line="360" w:before="105" w:after="105" w:lineRule="auto"/>
      </w:pPr>
      <w:r>
        <w:rPr>
          <w:rFonts w:eastAsia="inter" w:cs="inter" w:ascii="inter" w:hAnsi="inter"/>
          <w:color w:val="000000"/>
          <w:sz w:val="21"/>
        </w:rPr>
        <w:t xml:space="preserve">Based on historical performance trends and growth potential</w:t>
      </w:r>
    </w:p>
    <w:p>
      <w:pPr>
        <w:numPr>
          <w:ilvl w:val="0"/>
          <w:numId w:val="8"/>
        </w:numPr>
        <w:spacing w:line="360" w:before="105" w:after="105" w:lineRule="auto"/>
      </w:pPr>
      <w:r>
        <w:rPr>
          <w:rFonts w:eastAsia="inter" w:cs="inter" w:ascii="inter" w:hAnsi="inter"/>
          <w:color w:val="000000"/>
          <w:sz w:val="21"/>
        </w:rPr>
        <w:t xml:space="preserve">Assumes continuation of past performance without interference</w:t>
      </w:r>
    </w:p>
    <w:p>
      <w:pPr>
        <w:spacing w:line="360" w:before="315" w:after="105" w:lineRule="auto"/>
        <w:ind w:left="-30"/>
        <w:jc w:val="left"/>
      </w:pPr>
      <w:r>
        <w:rPr>
          <w:rFonts w:eastAsia="inter" w:cs="inter" w:ascii="inter" w:hAnsi="inter"/>
          <w:b/>
          <w:color w:val="000000"/>
          <w:sz w:val="24"/>
        </w:rPr>
        <w:t xml:space="preserve">Financial Impact Analysis</w:t>
      </w:r>
    </w:p>
    <w:p>
      <w:pPr>
        <w:spacing w:line="360" w:before="315" w:after="105" w:lineRule="auto"/>
        <w:ind w:left="-30"/>
        <w:jc w:val="left"/>
      </w:pPr>
      <w:r>
        <w:rPr>
          <w:rFonts w:eastAsia="inter" w:cs="inter" w:ascii="inter" w:hAnsi="inter"/>
          <w:b/>
          <w:color w:val="000000"/>
          <w:sz w:val="24"/>
        </w:rPr>
        <w:t xml:space="preserve">Conservative Damage Estimate</w:t>
      </w:r>
    </w:p>
    <w:p>
      <w:pPr>
        <w:spacing w:line="360" w:after="210" w:lineRule="auto"/>
      </w:pPr>
      <w:r>
        <w:rPr>
          <w:rFonts w:eastAsia="inter" w:cs="inter" w:ascii="inter" w:hAnsi="inter"/>
          <w:b/>
          <w:color w:val="000000"/>
        </w:rPr>
        <w:t xml:space="preserve">Minimum Total Losses: $977,389</w:t>
      </w:r>
    </w:p>
    <w:p>
      <w:pPr>
        <w:numPr>
          <w:ilvl w:val="0"/>
          <w:numId w:val="9"/>
        </w:numPr>
        <w:spacing w:line="360" w:before="105" w:after="105" w:lineRule="auto"/>
      </w:pPr>
      <w:r>
        <w:rPr>
          <w:rFonts w:eastAsia="inter" w:cs="inter" w:ascii="inter" w:hAnsi="inter"/>
          <w:color w:val="000000"/>
          <w:sz w:val="21"/>
        </w:rPr>
        <w:t xml:space="preserve">Lost Revenue (Best 3 Months): $323,998</w:t>
      </w:r>
    </w:p>
    <w:p>
      <w:pPr>
        <w:numPr>
          <w:ilvl w:val="0"/>
          <w:numId w:val="9"/>
        </w:numPr>
        <w:spacing w:line="360" w:before="105" w:after="105" w:lineRule="auto"/>
      </w:pPr>
      <w:r>
        <w:rPr>
          <w:rFonts w:eastAsia="inter" w:cs="inter" w:ascii="inter" w:hAnsi="inter"/>
          <w:color w:val="000000"/>
          <w:sz w:val="21"/>
        </w:rPr>
        <w:t xml:space="preserve">Lost Revenue (Off-Peak): $107,091</w:t>
      </w:r>
    </w:p>
    <w:p>
      <w:pPr>
        <w:numPr>
          <w:ilvl w:val="0"/>
          <w:numId w:val="9"/>
        </w:numPr>
        <w:spacing w:line="360" w:before="105" w:after="105" w:lineRule="auto"/>
      </w:pPr>
      <w:r>
        <w:rPr>
          <w:rFonts w:eastAsia="inter" w:cs="inter" w:ascii="inter" w:hAnsi="inter"/>
          <w:color w:val="000000"/>
          <w:sz w:val="21"/>
        </w:rPr>
        <w:t xml:space="preserve">Restitution for Lockout: $247,500</w:t>
      </w:r>
    </w:p>
    <w:p>
      <w:pPr>
        <w:numPr>
          <w:ilvl w:val="0"/>
          <w:numId w:val="9"/>
        </w:numPr>
        <w:spacing w:line="360" w:before="105" w:after="105" w:lineRule="auto"/>
      </w:pPr>
      <w:r>
        <w:rPr>
          <w:rFonts w:eastAsia="inter" w:cs="inter" w:ascii="inter" w:hAnsi="inter"/>
          <w:color w:val="000000"/>
          <w:sz w:val="21"/>
        </w:rPr>
        <w:t xml:space="preserve">Hotel Expenses: $8,700</w:t>
      </w:r>
    </w:p>
    <w:p>
      <w:pPr>
        <w:numPr>
          <w:ilvl w:val="0"/>
          <w:numId w:val="9"/>
        </w:numPr>
        <w:spacing w:line="360" w:before="105" w:after="105" w:lineRule="auto"/>
      </w:pPr>
      <w:r>
        <w:rPr>
          <w:rFonts w:eastAsia="inter" w:cs="inter" w:ascii="inter" w:hAnsi="inter"/>
          <w:color w:val="000000"/>
          <w:sz w:val="21"/>
        </w:rPr>
        <w:t xml:space="preserve">Storage Expenses: $2,100</w:t>
      </w:r>
    </w:p>
    <w:p>
      <w:pPr>
        <w:numPr>
          <w:ilvl w:val="0"/>
          <w:numId w:val="9"/>
        </w:numPr>
        <w:spacing w:line="360" w:before="105" w:after="105" w:lineRule="auto"/>
      </w:pPr>
      <w:r>
        <w:rPr>
          <w:rFonts w:eastAsia="inter" w:cs="inter" w:ascii="inter" w:hAnsi="inter"/>
          <w:color w:val="000000"/>
          <w:sz w:val="21"/>
        </w:rPr>
        <w:t xml:space="preserve">Aflac Losses (Low): $90,000</w:t>
      </w:r>
    </w:p>
    <w:p>
      <w:pPr>
        <w:numPr>
          <w:ilvl w:val="0"/>
          <w:numId w:val="9"/>
        </w:numPr>
        <w:spacing w:line="360" w:before="105" w:after="105" w:lineRule="auto"/>
      </w:pPr>
      <w:r>
        <w:rPr>
          <w:rFonts w:eastAsia="inter" w:cs="inter" w:ascii="inter" w:hAnsi="inter"/>
          <w:color w:val="000000"/>
          <w:sz w:val="21"/>
        </w:rPr>
        <w:t xml:space="preserve">Emotional Distress (Low): $100,000</w:t>
      </w:r>
    </w:p>
    <w:p>
      <w:pPr>
        <w:numPr>
          <w:ilvl w:val="0"/>
          <w:numId w:val="9"/>
        </w:numPr>
        <w:spacing w:line="360" w:before="105" w:after="105" w:lineRule="auto"/>
      </w:pPr>
      <w:r>
        <w:rPr>
          <w:rFonts w:eastAsia="inter" w:cs="inter" w:ascii="inter" w:hAnsi="inter"/>
          <w:b/>
          <w:color w:val="000000"/>
          <w:sz w:val="21"/>
        </w:rPr>
        <w:t xml:space="preserve">Subtotal</w:t>
      </w:r>
      <w:r>
        <w:rPr>
          <w:rFonts w:eastAsia="inter" w:cs="inter" w:ascii="inter" w:hAnsi="inter"/>
          <w:color w:val="000000"/>
          <w:sz w:val="21"/>
        </w:rPr>
        <w:t xml:space="preserve">: $879,389</w:t>
      </w:r>
    </w:p>
    <w:p>
      <w:pPr>
        <w:numPr>
          <w:ilvl w:val="0"/>
          <w:numId w:val="9"/>
        </w:numPr>
        <w:spacing w:line="360" w:before="105" w:after="105" w:lineRule="auto"/>
      </w:pPr>
      <w:r>
        <w:rPr>
          <w:rFonts w:eastAsia="inter" w:cs="inter" w:ascii="inter" w:hAnsi="inter"/>
          <w:b/>
          <w:color w:val="000000"/>
          <w:sz w:val="21"/>
        </w:rPr>
        <w:t xml:space="preserve">Plus Projected Future Losses</w:t>
      </w:r>
      <w:r>
        <w:rPr>
          <w:rFonts w:eastAsia="inter" w:cs="inter" w:ascii="inter" w:hAnsi="inter"/>
          <w:color w:val="000000"/>
          <w:sz w:val="21"/>
        </w:rPr>
        <w:t xml:space="preserve">: $1,793,375</w:t>
      </w:r>
    </w:p>
    <w:p>
      <w:pPr>
        <w:numPr>
          <w:ilvl w:val="0"/>
          <w:numId w:val="9"/>
        </w:numPr>
        <w:spacing w:line="360" w:before="105" w:after="105" w:lineRule="auto"/>
      </w:pPr>
      <w:r>
        <w:rPr>
          <w:rFonts w:eastAsia="inter" w:cs="inter" w:ascii="inter" w:hAnsi="inter"/>
          <w:b/>
          <w:color w:val="000000"/>
          <w:sz w:val="21"/>
        </w:rPr>
        <w:t xml:space="preserve">Conservative Total</w:t>
      </w:r>
      <w:r>
        <w:rPr>
          <w:rFonts w:eastAsia="inter" w:cs="inter" w:ascii="inter" w:hAnsi="inter"/>
          <w:color w:val="000000"/>
          <w:sz w:val="21"/>
        </w:rPr>
        <w:t xml:space="preserve">: $2,672,764</w:t>
      </w:r>
    </w:p>
    <w:p>
      <w:pPr>
        <w:spacing w:line="360" w:before="315" w:after="105" w:lineRule="auto"/>
        <w:ind w:left="-30"/>
        <w:jc w:val="left"/>
      </w:pPr>
      <w:r>
        <w:rPr>
          <w:rFonts w:eastAsia="inter" w:cs="inter" w:ascii="inter" w:hAnsi="inter"/>
          <w:b/>
          <w:color w:val="000000"/>
          <w:sz w:val="24"/>
        </w:rPr>
        <w:t xml:space="preserve">Maximum Damage Estimate</w:t>
      </w:r>
    </w:p>
    <w:p>
      <w:pPr>
        <w:spacing w:line="360" w:after="210" w:lineRule="auto"/>
      </w:pPr>
      <w:r>
        <w:rPr>
          <w:rFonts w:eastAsia="inter" w:cs="inter" w:ascii="inter" w:hAnsi="inter"/>
          <w:b/>
          <w:color w:val="000000"/>
        </w:rPr>
        <w:t xml:space="preserve">Maximum Total Losses: $3,242,764</w:t>
      </w:r>
    </w:p>
    <w:p>
      <w:pPr>
        <w:numPr>
          <w:ilvl w:val="0"/>
          <w:numId w:val="10"/>
        </w:numPr>
        <w:spacing w:line="360" w:before="105" w:after="105" w:lineRule="auto"/>
      </w:pPr>
      <w:r>
        <w:rPr>
          <w:rFonts w:eastAsia="inter" w:cs="inter" w:ascii="inter" w:hAnsi="inter"/>
          <w:color w:val="000000"/>
          <w:sz w:val="21"/>
        </w:rPr>
        <w:t xml:space="preserve">All categories at highest estimates</w:t>
      </w:r>
    </w:p>
    <w:p>
      <w:pPr>
        <w:numPr>
          <w:ilvl w:val="0"/>
          <w:numId w:val="10"/>
        </w:numPr>
        <w:spacing w:line="360" w:before="105" w:after="105" w:lineRule="auto"/>
      </w:pPr>
      <w:r>
        <w:rPr>
          <w:rFonts w:eastAsia="inter" w:cs="inter" w:ascii="inter" w:hAnsi="inter"/>
          <w:color w:val="000000"/>
          <w:sz w:val="21"/>
        </w:rPr>
        <w:t xml:space="preserve">Includes maximum Aflac losses ($270,000)</w:t>
      </w:r>
    </w:p>
    <w:p>
      <w:pPr>
        <w:numPr>
          <w:ilvl w:val="0"/>
          <w:numId w:val="10"/>
        </w:numPr>
        <w:spacing w:line="360" w:before="105" w:after="105" w:lineRule="auto"/>
      </w:pPr>
      <w:r>
        <w:rPr>
          <w:rFonts w:eastAsia="inter" w:cs="inter" w:ascii="inter" w:hAnsi="inter"/>
          <w:color w:val="000000"/>
          <w:sz w:val="21"/>
        </w:rPr>
        <w:t xml:space="preserve">Includes maximum emotional distress damages ($300,000)</w:t>
      </w:r>
    </w:p>
    <w:p>
      <w:pPr>
        <w:numPr>
          <w:ilvl w:val="0"/>
          <w:numId w:val="10"/>
        </w:numPr>
        <w:spacing w:line="360" w:before="105" w:after="105" w:lineRule="auto"/>
      </w:pPr>
      <w:r>
        <w:rPr>
          <w:rFonts w:eastAsia="inter" w:cs="inter" w:ascii="inter" w:hAnsi="inter"/>
          <w:color w:val="000000"/>
          <w:sz w:val="21"/>
        </w:rPr>
        <w:t xml:space="preserve">Includes full projected future losses ($1,793,375)</w:t>
      </w:r>
    </w:p>
    <w:p>
      <w:pPr>
        <w:spacing w:line="360" w:before="315" w:after="105" w:lineRule="auto"/>
        <w:ind w:left="-30"/>
        <w:jc w:val="left"/>
      </w:pPr>
      <w:r>
        <w:rPr>
          <w:rFonts w:eastAsia="inter" w:cs="inter" w:ascii="inter" w:hAnsi="inter"/>
          <w:b/>
          <w:color w:val="000000"/>
          <w:sz w:val="24"/>
        </w:rPr>
        <w:t xml:space="preserve">Legal Significance for Court Proceedings</w:t>
      </w:r>
    </w:p>
    <w:p>
      <w:pPr>
        <w:spacing w:line="360" w:before="315" w:after="105" w:lineRule="auto"/>
        <w:ind w:left="-30"/>
        <w:jc w:val="left"/>
      </w:pPr>
      <w:r>
        <w:rPr>
          <w:rFonts w:eastAsia="inter" w:cs="inter" w:ascii="inter" w:hAnsi="inter"/>
          <w:b/>
          <w:color w:val="000000"/>
          <w:sz w:val="24"/>
        </w:rPr>
        <w:t xml:space="preserve">Established Daily Loss Rate</w:t>
      </w:r>
    </w:p>
    <w:p>
      <w:pPr>
        <w:spacing w:line="360" w:after="210" w:lineRule="auto"/>
      </w:pPr>
      <w:r>
        <w:rPr>
          <w:rFonts w:eastAsia="inter" w:cs="inter" w:ascii="inter" w:hAnsi="inter"/>
          <w:color w:val="000000"/>
        </w:rPr>
        <w:t xml:space="preserve">The </w:t>
      </w:r>
      <w:r>
        <w:rPr>
          <w:rFonts w:eastAsia="inter" w:cs="inter" w:ascii="inter" w:hAnsi="inter"/>
          <w:b/>
          <w:color w:val="000000"/>
        </w:rPr>
        <w:t xml:space="preserve">$750 per day</w:t>
      </w:r>
      <w:r>
        <w:rPr>
          <w:rFonts w:eastAsia="inter" w:cs="inter" w:ascii="inter" w:hAnsi="inter"/>
          <w:color w:val="000000"/>
        </w:rPr>
        <w:t xml:space="preserve"> restitution rate has been consistently documented across court filings and represents:</w:t>
      </w:r>
    </w:p>
    <w:p>
      <w:pPr>
        <w:numPr>
          <w:ilvl w:val="0"/>
          <w:numId w:val="11"/>
        </w:numPr>
        <w:spacing w:line="360" w:before="105" w:after="105" w:lineRule="auto"/>
      </w:pPr>
      <w:r>
        <w:rPr>
          <w:rFonts w:eastAsia="inter" w:cs="inter" w:ascii="inter" w:hAnsi="inter"/>
          <w:color w:val="000000"/>
          <w:sz w:val="21"/>
        </w:rPr>
        <w:t xml:space="preserve">Quantifiable daily business revenue loss</w:t>
      </w:r>
    </w:p>
    <w:p>
      <w:pPr>
        <w:numPr>
          <w:ilvl w:val="0"/>
          <w:numId w:val="11"/>
        </w:numPr>
        <w:spacing w:line="360" w:before="105" w:after="105" w:lineRule="auto"/>
      </w:pPr>
      <w:r>
        <w:rPr>
          <w:rFonts w:eastAsia="inter" w:cs="inter" w:ascii="inter" w:hAnsi="inter"/>
          <w:color w:val="000000"/>
          <w:sz w:val="21"/>
        </w:rPr>
        <w:t xml:space="preserve">Court-recognized standard for ongoing damages</w:t>
      </w:r>
    </w:p>
    <w:p>
      <w:pPr>
        <w:numPr>
          <w:ilvl w:val="0"/>
          <w:numId w:val="11"/>
        </w:numPr>
        <w:spacing w:line="360" w:before="105" w:after="105" w:lineRule="auto"/>
      </w:pPr>
      <w:r>
        <w:rPr>
          <w:rFonts w:eastAsia="inter" w:cs="inter" w:ascii="inter" w:hAnsi="inter"/>
          <w:color w:val="000000"/>
          <w:sz w:val="21"/>
        </w:rPr>
        <w:t xml:space="preserve">Basis for contempt sanctions and restitution orders</w:t>
      </w:r>
    </w:p>
    <w:p>
      <w:pPr>
        <w:spacing w:line="360" w:before="315" w:after="105" w:lineRule="auto"/>
        <w:ind w:left="-30"/>
        <w:jc w:val="left"/>
      </w:pPr>
      <w:r>
        <w:rPr>
          <w:rFonts w:eastAsia="inter" w:cs="inter" w:ascii="inter" w:hAnsi="inter"/>
          <w:b/>
          <w:color w:val="000000"/>
          <w:sz w:val="24"/>
        </w:rPr>
        <w:t xml:space="preserve">Vulnerable Adult Protection Enhancement</w:t>
      </w:r>
    </w:p>
    <w:p>
      <w:pPr>
        <w:spacing w:line="360" w:after="210" w:lineRule="auto"/>
      </w:pPr>
      <w:r>
        <w:rPr>
          <w:rFonts w:eastAsia="inter" w:cs="inter" w:ascii="inter" w:hAnsi="inter"/>
          <w:color w:val="000000"/>
        </w:rPr>
        <w:t xml:space="preserve">As a formally recognized vulnerable adult, these financial losses carry enhanced legal significance:</w:t>
      </w:r>
    </w:p>
    <w:p>
      <w:pPr>
        <w:numPr>
          <w:ilvl w:val="0"/>
          <w:numId w:val="12"/>
        </w:numPr>
        <w:spacing w:line="360" w:before="105" w:after="105" w:lineRule="auto"/>
      </w:pPr>
      <w:r>
        <w:rPr>
          <w:rFonts w:eastAsia="inter" w:cs="inter" w:ascii="inter" w:hAnsi="inter"/>
          <w:b/>
          <w:color w:val="000000"/>
          <w:sz w:val="21"/>
        </w:rPr>
        <w:t xml:space="preserve">Enhanced penalties</w:t>
      </w:r>
      <w:r>
        <w:rPr>
          <w:rFonts w:eastAsia="inter" w:cs="inter" w:ascii="inter" w:hAnsi="inter"/>
          <w:color w:val="000000"/>
          <w:sz w:val="21"/>
        </w:rPr>
        <w:t xml:space="preserve"> under RCW 74.34.200 for exploitation</w:t>
      </w:r>
    </w:p>
    <w:p>
      <w:pPr>
        <w:numPr>
          <w:ilvl w:val="0"/>
          <w:numId w:val="12"/>
        </w:numPr>
        <w:spacing w:line="360" w:before="105" w:after="105" w:lineRule="auto"/>
      </w:pPr>
      <w:r>
        <w:rPr>
          <w:rFonts w:eastAsia="inter" w:cs="inter" w:ascii="inter" w:hAnsi="inter"/>
          <w:b/>
          <w:color w:val="000000"/>
          <w:sz w:val="21"/>
        </w:rPr>
        <w:t xml:space="preserve">Treble damages</w:t>
      </w:r>
      <w:r>
        <w:rPr>
          <w:rFonts w:eastAsia="inter" w:cs="inter" w:ascii="inter" w:hAnsi="inter"/>
          <w:color w:val="000000"/>
          <w:sz w:val="21"/>
        </w:rPr>
        <w:t xml:space="preserve"> potential for vulnerable adult targeting</w:t>
      </w:r>
    </w:p>
    <w:p>
      <w:pPr>
        <w:numPr>
          <w:ilvl w:val="0"/>
          <w:numId w:val="12"/>
        </w:numPr>
        <w:spacing w:line="360" w:before="105" w:after="105" w:lineRule="auto"/>
      </w:pPr>
      <w:r>
        <w:rPr>
          <w:rFonts w:eastAsia="inter" w:cs="inter" w:ascii="inter" w:hAnsi="inter"/>
          <w:b/>
          <w:color w:val="000000"/>
          <w:sz w:val="21"/>
        </w:rPr>
        <w:t xml:space="preserve">Expedited relief</w:t>
      </w:r>
      <w:r>
        <w:rPr>
          <w:rFonts w:eastAsia="inter" w:cs="inter" w:ascii="inter" w:hAnsi="inter"/>
          <w:color w:val="000000"/>
          <w:sz w:val="21"/>
        </w:rPr>
        <w:t xml:space="preserve"> requirements due to ongoing financial harm</w:t>
      </w:r>
    </w:p>
    <w:p>
      <w:pPr>
        <w:spacing w:line="360" w:before="315" w:after="105" w:lineRule="auto"/>
        <w:ind w:left="-30"/>
        <w:jc w:val="left"/>
      </w:pPr>
      <w:r>
        <w:rPr>
          <w:rFonts w:eastAsia="inter" w:cs="inter" w:ascii="inter" w:hAnsi="inter"/>
          <w:b/>
          <w:color w:val="000000"/>
          <w:sz w:val="24"/>
        </w:rPr>
        <w:t xml:space="preserve">Professional Misconduct Impact</w:t>
      </w:r>
    </w:p>
    <w:p>
      <w:pPr>
        <w:spacing w:line="360" w:after="210" w:lineRule="auto"/>
      </w:pPr>
      <w:r>
        <w:rPr>
          <w:rFonts w:eastAsia="inter" w:cs="inter" w:ascii="inter" w:hAnsi="inter"/>
          <w:color w:val="000000"/>
        </w:rPr>
        <w:t xml:space="preserve">The systematic nature of business interference supports:</w:t>
      </w:r>
    </w:p>
    <w:p>
      <w:pPr>
        <w:numPr>
          <w:ilvl w:val="0"/>
          <w:numId w:val="13"/>
        </w:numPr>
        <w:spacing w:line="360" w:before="105" w:after="105" w:lineRule="auto"/>
      </w:pPr>
      <w:r>
        <w:rPr>
          <w:rFonts w:eastAsia="inter" w:cs="inter" w:ascii="inter" w:hAnsi="inter"/>
          <w:b/>
          <w:color w:val="000000"/>
          <w:sz w:val="21"/>
        </w:rPr>
        <w:t xml:space="preserve">Attorney sanctions</w:t>
      </w:r>
      <w:r>
        <w:rPr>
          <w:rFonts w:eastAsia="inter" w:cs="inter" w:ascii="inter" w:hAnsi="inter"/>
          <w:color w:val="000000"/>
          <w:sz w:val="21"/>
        </w:rPr>
        <w:t xml:space="preserve"> for professional misconduct</w:t>
      </w:r>
    </w:p>
    <w:p>
      <w:pPr>
        <w:numPr>
          <w:ilvl w:val="0"/>
          <w:numId w:val="13"/>
        </w:numPr>
        <w:spacing w:line="360" w:before="105" w:after="105" w:lineRule="auto"/>
      </w:pPr>
      <w:r>
        <w:rPr>
          <w:rFonts w:eastAsia="inter" w:cs="inter" w:ascii="inter" w:hAnsi="inter"/>
          <w:b/>
          <w:color w:val="000000"/>
          <w:sz w:val="21"/>
        </w:rPr>
        <w:t xml:space="preserve">Enhanced damages</w:t>
      </w:r>
      <w:r>
        <w:rPr>
          <w:rFonts w:eastAsia="inter" w:cs="inter" w:ascii="inter" w:hAnsi="inter"/>
          <w:color w:val="000000"/>
          <w:sz w:val="21"/>
        </w:rPr>
        <w:t xml:space="preserve"> for exploitation of vulnerable adult</w:t>
      </w:r>
    </w:p>
    <w:p>
      <w:pPr>
        <w:numPr>
          <w:ilvl w:val="0"/>
          <w:numId w:val="13"/>
        </w:numPr>
        <w:spacing w:line="360" w:before="105" w:after="105" w:lineRule="auto"/>
      </w:pPr>
      <w:r>
        <w:rPr>
          <w:rFonts w:eastAsia="inter" w:cs="inter" w:ascii="inter" w:hAnsi="inter"/>
          <w:b/>
          <w:color w:val="000000"/>
          <w:sz w:val="21"/>
        </w:rPr>
        <w:t xml:space="preserve">Deterrent effect</w:t>
      </w:r>
      <w:r>
        <w:rPr>
          <w:rFonts w:eastAsia="inter" w:cs="inter" w:ascii="inter" w:hAnsi="inter"/>
          <w:color w:val="000000"/>
          <w:sz w:val="21"/>
        </w:rPr>
        <w:t xml:space="preserve"> through substantial financial consequences</w:t>
      </w:r>
    </w:p>
    <w:p>
      <w:pPr>
        <w:spacing w:line="360" w:before="315" w:after="105" w:lineRule="auto"/>
        <w:ind w:left="-30"/>
        <w:jc w:val="left"/>
      </w:pPr>
      <w:r>
        <w:rPr>
          <w:rFonts w:eastAsia="inter" w:cs="inter" w:ascii="inter" w:hAnsi="inter"/>
          <w:b/>
          <w:color w:val="000000"/>
          <w:sz w:val="24"/>
        </w:rPr>
        <w:t xml:space="preserve">Recommendations for Legal Proceedings</w:t>
      </w:r>
    </w:p>
    <w:p>
      <w:pPr>
        <w:spacing w:line="360" w:before="315" w:after="105" w:lineRule="auto"/>
        <w:ind w:left="-30"/>
        <w:jc w:val="left"/>
      </w:pPr>
      <w:r>
        <w:rPr>
          <w:rFonts w:eastAsia="inter" w:cs="inter" w:ascii="inter" w:hAnsi="inter"/>
          <w:b/>
          <w:color w:val="000000"/>
          <w:sz w:val="24"/>
        </w:rPr>
        <w:t xml:space="preserve">Immediate Relief Requests</w:t>
      </w:r>
    </w:p>
    <w:p>
      <w:pPr>
        <w:numPr>
          <w:ilvl w:val="0"/>
          <w:numId w:val="14"/>
        </w:numPr>
        <w:spacing w:line="360" w:before="105" w:after="105" w:lineRule="auto"/>
      </w:pPr>
      <w:r>
        <w:rPr>
          <w:rFonts w:eastAsia="inter" w:cs="inter" w:ascii="inter" w:hAnsi="inter"/>
          <w:b/>
          <w:color w:val="000000"/>
          <w:sz w:val="21"/>
        </w:rPr>
        <w:t xml:space="preserve">Daily restitution</w:t>
      </w:r>
      <w:r>
        <w:rPr>
          <w:rFonts w:eastAsia="inter" w:cs="inter" w:ascii="inter" w:hAnsi="inter"/>
          <w:color w:val="000000"/>
          <w:sz w:val="21"/>
        </w:rPr>
        <w:t xml:space="preserve"> at established $750 rate from September 13, 2024</w:t>
      </w:r>
    </w:p>
    <w:p>
      <w:pPr>
        <w:numPr>
          <w:ilvl w:val="0"/>
          <w:numId w:val="14"/>
        </w:numPr>
        <w:spacing w:line="360" w:before="105" w:after="105" w:lineRule="auto"/>
      </w:pPr>
      <w:r>
        <w:rPr>
          <w:rFonts w:eastAsia="inter" w:cs="inter" w:ascii="inter" w:hAnsi="inter"/>
          <w:b/>
          <w:color w:val="000000"/>
          <w:sz w:val="21"/>
        </w:rPr>
        <w:t xml:space="preserve">Immediate property access</w:t>
      </w:r>
      <w:r>
        <w:rPr>
          <w:rFonts w:eastAsia="inter" w:cs="inter" w:ascii="inter" w:hAnsi="inter"/>
          <w:color w:val="000000"/>
          <w:sz w:val="21"/>
        </w:rPr>
        <w:t xml:space="preserve"> to prevent further business losses</w:t>
      </w:r>
    </w:p>
    <w:p>
      <w:pPr>
        <w:numPr>
          <w:ilvl w:val="0"/>
          <w:numId w:val="14"/>
        </w:numPr>
        <w:spacing w:line="360" w:before="105" w:after="105" w:lineRule="auto"/>
      </w:pPr>
      <w:r>
        <w:rPr>
          <w:rFonts w:eastAsia="inter" w:cs="inter" w:ascii="inter" w:hAnsi="inter"/>
          <w:b/>
          <w:color w:val="000000"/>
          <w:sz w:val="21"/>
        </w:rPr>
        <w:t xml:space="preserve">Emergency injunctive relief</w:t>
      </w:r>
      <w:r>
        <w:rPr>
          <w:rFonts w:eastAsia="inter" w:cs="inter" w:ascii="inter" w:hAnsi="inter"/>
          <w:color w:val="000000"/>
          <w:sz w:val="21"/>
        </w:rPr>
        <w:t xml:space="preserve"> to stop ongoing interference</w:t>
      </w:r>
    </w:p>
    <w:p>
      <w:pPr>
        <w:spacing w:line="360" w:before="315" w:after="105" w:lineRule="auto"/>
        <w:ind w:left="-30"/>
        <w:jc w:val="left"/>
      </w:pPr>
      <w:r>
        <w:rPr>
          <w:rFonts w:eastAsia="inter" w:cs="inter" w:ascii="inter" w:hAnsi="inter"/>
          <w:b/>
          <w:color w:val="000000"/>
          <w:sz w:val="24"/>
        </w:rPr>
        <w:t xml:space="preserve">Comprehensive Damage Recovery</w:t>
      </w:r>
    </w:p>
    <w:p>
      <w:pPr>
        <w:numPr>
          <w:ilvl w:val="0"/>
          <w:numId w:val="15"/>
        </w:numPr>
        <w:spacing w:line="360" w:before="105" w:after="105" w:lineRule="auto"/>
      </w:pPr>
      <w:r>
        <w:rPr>
          <w:rFonts w:eastAsia="inter" w:cs="inter" w:ascii="inter" w:hAnsi="inter"/>
          <w:b/>
          <w:color w:val="000000"/>
          <w:sz w:val="21"/>
        </w:rPr>
        <w:t xml:space="preserve">Full restitution</w:t>
      </w:r>
      <w:r>
        <w:rPr>
          <w:rFonts w:eastAsia="inter" w:cs="inter" w:ascii="inter" w:hAnsi="inter"/>
          <w:color w:val="000000"/>
          <w:sz w:val="21"/>
        </w:rPr>
        <w:t xml:space="preserve"> for documented losses ($977,389 minimum)</w:t>
      </w:r>
    </w:p>
    <w:p>
      <w:pPr>
        <w:numPr>
          <w:ilvl w:val="0"/>
          <w:numId w:val="15"/>
        </w:numPr>
        <w:spacing w:line="360" w:before="105" w:after="105" w:lineRule="auto"/>
      </w:pPr>
      <w:r>
        <w:rPr>
          <w:rFonts w:eastAsia="inter" w:cs="inter" w:ascii="inter" w:hAnsi="inter"/>
          <w:b/>
          <w:color w:val="000000"/>
          <w:sz w:val="21"/>
        </w:rPr>
        <w:t xml:space="preserve">Future loss mitigation</w:t>
      </w:r>
      <w:r>
        <w:rPr>
          <w:rFonts w:eastAsia="inter" w:cs="inter" w:ascii="inter" w:hAnsi="inter"/>
          <w:color w:val="000000"/>
          <w:sz w:val="21"/>
        </w:rPr>
        <w:t xml:space="preserve"> through immediate business access restoration</w:t>
      </w:r>
    </w:p>
    <w:p>
      <w:pPr>
        <w:numPr>
          <w:ilvl w:val="0"/>
          <w:numId w:val="15"/>
        </w:numPr>
        <w:spacing w:line="360" w:before="105" w:after="105" w:lineRule="auto"/>
      </w:pPr>
      <w:r>
        <w:rPr>
          <w:rFonts w:eastAsia="inter" w:cs="inter" w:ascii="inter" w:hAnsi="inter"/>
          <w:b/>
          <w:color w:val="000000"/>
          <w:sz w:val="21"/>
        </w:rPr>
        <w:t xml:space="preserve">Enhanced sanctions</w:t>
      </w:r>
      <w:r>
        <w:rPr>
          <w:rFonts w:eastAsia="inter" w:cs="inter" w:ascii="inter" w:hAnsi="inter"/>
          <w:color w:val="000000"/>
          <w:sz w:val="21"/>
        </w:rPr>
        <w:t xml:space="preserve"> reflecting vulnerable adult exploitation</w:t>
      </w:r>
    </w:p>
    <w:p>
      <w:pPr>
        <w:spacing w:line="360" w:before="315" w:after="105" w:lineRule="auto"/>
        <w:ind w:left="-30"/>
        <w:jc w:val="left"/>
      </w:pPr>
      <w:r>
        <w:rPr>
          <w:rFonts w:eastAsia="inter" w:cs="inter" w:ascii="inter" w:hAnsi="inter"/>
          <w:b/>
          <w:color w:val="000000"/>
          <w:sz w:val="24"/>
        </w:rPr>
        <w:t xml:space="preserve">Professional Accountability</w:t>
      </w:r>
    </w:p>
    <w:p>
      <w:pPr>
        <w:numPr>
          <w:ilvl w:val="0"/>
          <w:numId w:val="16"/>
        </w:numPr>
        <w:spacing w:line="360" w:before="105" w:after="105" w:lineRule="auto"/>
      </w:pPr>
      <w:r>
        <w:rPr>
          <w:rFonts w:eastAsia="inter" w:cs="inter" w:ascii="inter" w:hAnsi="inter"/>
          <w:b/>
          <w:color w:val="000000"/>
          <w:sz w:val="21"/>
        </w:rPr>
        <w:t xml:space="preserve">Attorney sanctions</w:t>
      </w:r>
      <w:r>
        <w:rPr>
          <w:rFonts w:eastAsia="inter" w:cs="inter" w:ascii="inter" w:hAnsi="inter"/>
          <w:color w:val="000000"/>
          <w:sz w:val="21"/>
        </w:rPr>
        <w:t xml:space="preserve"> proportionate to financial harm caused</w:t>
      </w:r>
    </w:p>
    <w:p>
      <w:pPr>
        <w:numPr>
          <w:ilvl w:val="0"/>
          <w:numId w:val="16"/>
        </w:numPr>
        <w:spacing w:line="360" w:before="105" w:after="105" w:lineRule="auto"/>
      </w:pPr>
      <w:r>
        <w:rPr>
          <w:rFonts w:eastAsia="inter" w:cs="inter" w:ascii="inter" w:hAnsi="inter"/>
          <w:b/>
          <w:color w:val="000000"/>
          <w:sz w:val="21"/>
        </w:rPr>
        <w:t xml:space="preserve">Professional responsibility</w:t>
      </w:r>
      <w:r>
        <w:rPr>
          <w:rFonts w:eastAsia="inter" w:cs="inter" w:ascii="inter" w:hAnsi="inter"/>
          <w:color w:val="000000"/>
          <w:sz w:val="21"/>
        </w:rPr>
        <w:t xml:space="preserve"> enforcement for systematic misconduct</w:t>
      </w:r>
    </w:p>
    <w:p>
      <w:pPr>
        <w:numPr>
          <w:ilvl w:val="0"/>
          <w:numId w:val="16"/>
        </w:numPr>
        <w:spacing w:line="360" w:before="105" w:after="105" w:lineRule="auto"/>
      </w:pPr>
      <w:r>
        <w:rPr>
          <w:rFonts w:eastAsia="inter" w:cs="inter" w:ascii="inter" w:hAnsi="inter"/>
          <w:b/>
          <w:color w:val="000000"/>
          <w:sz w:val="21"/>
        </w:rPr>
        <w:t xml:space="preserve">Deterrent measures</w:t>
      </w:r>
      <w:r>
        <w:rPr>
          <w:rFonts w:eastAsia="inter" w:cs="inter" w:ascii="inter" w:hAnsi="inter"/>
          <w:color w:val="000000"/>
          <w:sz w:val="21"/>
        </w:rPr>
        <w:t xml:space="preserve"> to prevent future vulnerable adult exploitation</w:t>
      </w:r>
    </w:p>
    <w:p>
      <w:pPr>
        <w:spacing w:line="360" w:before="315" w:after="105" w:lineRule="auto"/>
        <w:ind w:left="-30"/>
        <w:jc w:val="left"/>
      </w:pPr>
      <w:r>
        <w:rPr>
          <w:rFonts w:eastAsia="inter" w:cs="inter" w:ascii="inter" w:hAnsi="inter"/>
          <w:b/>
          <w:color w:val="000000"/>
          <w:sz w:val="24"/>
        </w:rPr>
        <w:t xml:space="preserve">Conclusion</w:t>
      </w:r>
    </w:p>
    <w:p>
      <w:pPr>
        <w:spacing w:line="360" w:after="210" w:lineRule="auto"/>
      </w:pPr>
      <w:r>
        <w:rPr>
          <w:rFonts w:eastAsia="inter" w:cs="inter" w:ascii="inter" w:hAnsi="inter"/>
          <w:color w:val="000000"/>
        </w:rPr>
        <w:t xml:space="preserve">The financial analysis demonstrates </w:t>
      </w:r>
      <w:r>
        <w:rPr>
          <w:rFonts w:eastAsia="inter" w:cs="inter" w:ascii="inter" w:hAnsi="inter"/>
          <w:b/>
          <w:color w:val="000000"/>
        </w:rPr>
        <w:t xml:space="preserve">catastrophic business losses</w:t>
      </w:r>
      <w:r>
        <w:rPr>
          <w:rFonts w:eastAsia="inter" w:cs="inter" w:ascii="inter" w:hAnsi="inter"/>
          <w:color w:val="000000"/>
        </w:rPr>
        <w:t xml:space="preserve"> resulting from systematic interference with Mudd Monkies Inc. operations. The documented damages of nearly </w:t>
      </w:r>
      <w:r>
        <w:rPr>
          <w:rFonts w:eastAsia="inter" w:cs="inter" w:ascii="inter" w:hAnsi="inter"/>
          <w:b/>
          <w:color w:val="000000"/>
        </w:rPr>
        <w:t xml:space="preserve">$1 million in conservative estimates</w:t>
      </w:r>
      <w:r>
        <w:rPr>
          <w:rFonts w:eastAsia="inter" w:cs="inter" w:ascii="inter" w:hAnsi="inter"/>
          <w:color w:val="000000"/>
        </w:rPr>
        <w:t xml:space="preserve">, with potential losses exceeding </w:t>
      </w:r>
      <w:r>
        <w:rPr>
          <w:rFonts w:eastAsia="inter" w:cs="inter" w:ascii="inter" w:hAnsi="inter"/>
          <w:b/>
          <w:color w:val="000000"/>
        </w:rPr>
        <w:t xml:space="preserve">$3.2 million</w:t>
      </w:r>
      <w:r>
        <w:rPr>
          <w:rFonts w:eastAsia="inter" w:cs="inter" w:ascii="inter" w:hAnsi="inter"/>
          <w:color w:val="000000"/>
        </w:rPr>
        <w:t xml:space="preserve">, underscore the urgent need for immediate court intervention and comprehensive restitution.</w:t>
      </w:r>
    </w:p>
    <w:p>
      <w:pPr>
        <w:spacing w:line="360" w:after="210" w:lineRule="auto"/>
      </w:pPr>
      <w:r>
        <w:rPr>
          <w:rFonts w:eastAsia="inter" w:cs="inter" w:ascii="inter" w:hAnsi="inter"/>
          <w:color w:val="000000"/>
        </w:rPr>
        <w:t xml:space="preserve">The established </w:t>
      </w:r>
      <w:r>
        <w:rPr>
          <w:rFonts w:eastAsia="inter" w:cs="inter" w:ascii="inter" w:hAnsi="inter"/>
          <w:b/>
          <w:color w:val="000000"/>
        </w:rPr>
        <w:t xml:space="preserve">$750 daily loss rate</w:t>
      </w:r>
      <w:r>
        <w:rPr>
          <w:rFonts w:eastAsia="inter" w:cs="inter" w:ascii="inter" w:hAnsi="inter"/>
          <w:color w:val="000000"/>
        </w:rPr>
        <w:t xml:space="preserve"> provides a clear foundation for ongoing sanctions and restitution orders, while the vulnerable adult status of the business owner warrants enhanced penalties and expedited relief under Washington State law.</w:t>
      </w:r>
    </w:p>
    <w:p>
      <w:pPr>
        <w:spacing w:line="360" w:after="210" w:lineRule="auto"/>
      </w:pPr>
      <w:r>
        <w:rPr>
          <w:rFonts w:eastAsia="inter" w:cs="inter" w:ascii="inter" w:hAnsi="inter"/>
          <w:b/>
          <w:color w:val="000000"/>
        </w:rPr>
        <w:t xml:space="preserve">Disclaimer</w:t>
      </w:r>
      <w:r>
        <w:rPr>
          <w:rFonts w:eastAsia="inter" w:cs="inter" w:ascii="inter" w:hAnsi="inter"/>
          <w:color w:val="000000"/>
        </w:rPr>
        <w:t xml:space="preserve">: This analysis is based on provided information and estimates. A forensic accountant should review these figures for accuracy and completeness. This information is for illustrative purposes only and does not constitute financial or legal advice.</w:t>
      </w:r>
    </w:p>
    <w:p>
      <w:pPr>
        <w:spacing w:line="360" w:lineRule="auto"/>
        <w:jc w:val="center"/>
      </w:pPr>
      <w:r>
        <w:rPr>
          <w:rFonts w:eastAsia="inter" w:cs="inter" w:ascii="inter" w:hAnsi="inter"/>
          <w:color w:val="000000"/>
        </w:rPr>
        <w:t xml:space="preserve">⁂</w:t>
      </w:r>
    </w:p>
    <w:sectPr>
      <w:pgSz w:w="12240" w:h="15840" w:orient="portrait"/>
      <w:pgMar w:top="1365" w:right="1365" w:bottom="1365" w:left="1365" w:header="720" w:footer="720" w:gutter="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inter">
    <w:family w:val="auto"/>
    <w:pitch w:val="variable"/>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4">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5">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6">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7">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8">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9">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0">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2">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3">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14">
    <w:multiLevelType w:val="hybridMultilevel"/>
    <w:lvl w:ilvl="0">
      <w:start w:val="1"/>
      <w:numFmt w:val="decimal"/>
      <w:lvlText w:val="%1."/>
      <w:lvlJc w:val="left"/>
      <w:pPr>
        <w:tabs>
          <w:tab w:val="num" w:pos="900"/>
        </w:tabs>
        <w:ind w:left="540" w:hanging="360"/>
      </w:pPr>
    </w:lvl>
  </w:abstractNum>
  <w:abstractNum w:abstractNumId="15">
    <w:multiLevelType w:val="hybridMultilevel"/>
    <w:lvl w:ilvl="0">
      <w:start w:val="1"/>
      <w:numFmt w:val="decimal"/>
      <w:lvlText w:val="%1."/>
      <w:lvlJc w:val="left"/>
      <w:pPr>
        <w:tabs>
          <w:tab w:val="num" w:pos="900"/>
        </w:tabs>
        <w:ind w:left="540" w:hanging="360"/>
      </w:pPr>
    </w:lvl>
  </w:abstractNum>
  <w:abstractNum w:abstractNumId="16">
    <w:multiLevelType w:val="hybridMultilevel"/>
    <w:lvl w:ilvl="0">
      <w:start w:val="1"/>
      <w:numFmt w:val="decimal"/>
      <w:lvlText w:val="%1."/>
      <w:lvlJc w:val="left"/>
      <w:pPr>
        <w:tabs>
          <w:tab w:val="num" w:pos="900"/>
        </w:tabs>
        <w:ind w:left="54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style w:type="paragraph" w:default="1" w:styleId="Normal">
    <w:name w:val="Normal"/>
    <w:next w:val="Normal"/>
    <w:pPr/>
    <w:rPr>
      <w:rFonts w:ascii="Georgia" w:eastAsiaTheme="minorHAnsi" w:hAnsiTheme="minorHAnsi" w:cstheme="minorBidi"/>
      <w:sz w:val="21"/>
      <w:szCs w:val="22"/>
      <w:lang w:val="en-US" w:eastAsia="en-US" w:bidi="ar-SA"/>
    </w:rPr>
  </w:style>
  <w:style w:type="character" w:customStyle="1" w:styleId="VerbatimChar">
    <w:name w:val="Verbatim Char"/>
    <w:basedOn w:val="BodyTextChar"/>
    <w:rPr>
      <w:rFonts w:ascii="Consolas" w:hAnsi="Consolas"/>
      <w:sz w:val="22"/>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e4150ccce3763d827c5a091a7682c77c8c087b97.png" TargetMode="Internal"/><Relationship Id="rId6" Type="http://schemas.openxmlformats.org/officeDocument/2006/relationships/image" Target="media/image-433ebedca393855b542fa86f9d3f5e397e6fc89f.jpg" TargetMode="Internal"/></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2025-07-05T20:48:37.657Z</dcterms:created>
  <dcterms:modified xsi:type="dcterms:W3CDTF">2025-07-05T20:48:37.657Z</dcterms:modified>
</cp:coreProperties>
</file>