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Satellite Data Use Cases for</w:t>
      </w:r>
    </w:p>
    <w:p>
      <w:pPr>
        <w:spacing w:after="200"/>
        <w:jc w:val="center"/>
      </w:pPr>
      <w:r>
        <w:rPr>
          <w:rFonts w:ascii="Arial" w:cs="Arial" w:eastAsia="Arial" w:hAnsi="Arial"/>
          <w:b/>
          <w:bCs/>
          <w:color w:val="1B3A5C"/>
          <w:sz w:val="52"/>
          <w:szCs w:val="52"/>
        </w:rPr>
        <w:t xml:space="preserve">Sundsvall Municipality</w:t>
      </w:r>
    </w:p>
    <w:p>
      <w:pPr>
        <w:spacing w:after="600"/>
        <w:jc w:val="center"/>
      </w:pPr>
      <w:r>
        <w:rPr>
          <w:rFonts w:ascii="Arial" w:cs="Arial" w:eastAsia="Arial" w:hAnsi="Arial"/>
          <w:color w:val="2E5E8E"/>
          <w:sz w:val="28"/>
          <w:szCs w:val="28"/>
        </w:rPr>
        <w:t xml:space="preserve">A Detailed Assessment of Value-Creating Applications</w:t>
      </w:r>
    </w:p>
    <w:p>
      <w:pPr>
        <w:spacing w:after="100"/>
        <w:jc w:val="center"/>
      </w:pPr>
      <w:r>
        <w:rPr>
          <w:rFonts w:ascii="Arial" w:cs="Arial" w:eastAsia="Arial" w:hAnsi="Arial"/>
          <w:color w:val="666666"/>
          <w:sz w:val="22"/>
          <w:szCs w:val="22"/>
        </w:rPr>
        <w:t xml:space="preserve">Prepared for further study and stakeholder workshops</w:t>
      </w:r>
    </w:p>
    <w:p>
      <w:pPr>
        <w:spacing w:after="100"/>
        <w:jc w:val="center"/>
      </w:pPr>
      <w:r>
        <w:rPr>
          <w:rFonts w:ascii="Arial" w:cs="Arial" w:eastAsia="Arial" w:hAnsi="Arial"/>
          <w:color w:val="666666"/>
          <w:sz w:val="22"/>
          <w:szCs w:val="22"/>
        </w:rPr>
        <w:t xml:space="preserve">February 2026 — Version 2.0</w:t>
      </w:r>
    </w:p>
    <w:p>
      <w:pPr>
        <w:spacing w:after="100"/>
        <w:jc w:val="center"/>
      </w:pPr>
      <w:r>
        <w:rPr>
          <w:rFonts w:ascii="Arial" w:cs="Arial" w:eastAsia="Arial" w:hAnsi="Arial"/>
          <w:i/>
          <w:iCs/>
          <w:color w:val="999999"/>
          <w:sz w:val="22"/>
          <w:szCs w:val="22"/>
        </w:rPr>
        <w:t xml:space="preserve">DRAFT — For Internal Discussion</w:t>
      </w:r>
    </w:p>
    <w:p>
      <w:r>
        <w:br w:type="page"/>
      </w:r>
    </w:p>
    <w:p>
      <w:pPr>
        <w:pStyle w:val="Heading1"/>
      </w:pPr>
      <w:r>
        <w:t xml:space="preserve">Table of Contents</w:t>
      </w:r>
    </w:p>
    <w:p>
      <w:pPr>
        <w:spacing w:after="160" w:line="276"/>
      </w:pPr>
      <w:r>
        <w:rPr>
          <w:sz w:val="22"/>
          <w:szCs w:val="22"/>
        </w:rPr>
        <w:t xml:space="preserve">1. Introduction and Context</w:t>
      </w:r>
    </w:p>
    <w:p>
      <w:pPr>
        <w:spacing w:after="160" w:line="276"/>
      </w:pPr>
      <w:r>
        <w:rPr>
          <w:sz w:val="22"/>
          <w:szCs w:val="22"/>
        </w:rPr>
        <w:t xml:space="preserve">2. Data Sources and Technical Foundation</w:t>
      </w:r>
    </w:p>
    <w:p>
      <w:pPr>
        <w:spacing w:after="160" w:line="276"/>
      </w:pPr>
      <w:r>
        <w:rPr>
          <w:sz w:val="22"/>
          <w:szCs w:val="22"/>
        </w:rPr>
        <w:t xml:space="preserve">3. Use Case 1: Ground Deformation and Infrastructure Monitoring (InSAR)</w:t>
      </w:r>
    </w:p>
    <w:p>
      <w:pPr>
        <w:spacing w:after="160" w:line="276"/>
      </w:pPr>
      <w:r>
        <w:rPr>
          <w:sz w:val="22"/>
          <w:szCs w:val="22"/>
        </w:rPr>
        <w:t xml:space="preserve">4. Use Case 2: Urban Heat Island Mapping and Climate Adaptation</w:t>
      </w:r>
    </w:p>
    <w:p>
      <w:pPr>
        <w:spacing w:after="160" w:line="276"/>
      </w:pPr>
      <w:r>
        <w:rPr>
          <w:sz w:val="22"/>
          <w:szCs w:val="22"/>
        </w:rPr>
        <w:t xml:space="preserve">5. Use Case 3: Coastal and Water Quality Monitoring</w:t>
      </w:r>
    </w:p>
    <w:p>
      <w:pPr>
        <w:spacing w:after="160" w:line="276"/>
      </w:pPr>
      <w:r>
        <w:rPr>
          <w:sz w:val="22"/>
          <w:szCs w:val="22"/>
        </w:rPr>
        <w:t xml:space="preserve">6. Use Case 4: Air Quality Monitoring and Emission Tracking</w:t>
      </w:r>
    </w:p>
    <w:p>
      <w:pPr>
        <w:spacing w:after="160" w:line="276"/>
      </w:pPr>
      <w:r>
        <w:rPr>
          <w:sz w:val="22"/>
          <w:szCs w:val="22"/>
        </w:rPr>
        <w:t xml:space="preserve">7. Use Case 5: Flood Risk Assessment and Impervious Surface Tracking</w:t>
      </w:r>
    </w:p>
    <w:p>
      <w:pPr>
        <w:spacing w:after="160" w:line="276"/>
      </w:pPr>
      <w:r>
        <w:rPr>
          <w:sz w:val="22"/>
          <w:szCs w:val="22"/>
        </w:rPr>
        <w:t xml:space="preserve">8. Use Case 6: Urban Sprawl and Land Use Change Detection</w:t>
      </w:r>
    </w:p>
    <w:p>
      <w:pPr>
        <w:spacing w:after="160" w:line="276"/>
      </w:pPr>
      <w:r>
        <w:rPr>
          <w:sz w:val="22"/>
          <w:szCs w:val="22"/>
        </w:rPr>
        <w:t xml:space="preserve">9. Use Case 7: Forest Health, Fire Risk, and Vegetation Monitoring</w:t>
      </w:r>
    </w:p>
    <w:p>
      <w:pPr>
        <w:spacing w:after="160" w:line="276"/>
      </w:pPr>
      <w:r>
        <w:rPr>
          <w:sz w:val="22"/>
          <w:szCs w:val="22"/>
        </w:rPr>
        <w:t xml:space="preserve">10. Use Case 8: Solar Energy Potential Mapping</w:t>
      </w:r>
    </w:p>
    <w:p>
      <w:pPr>
        <w:spacing w:after="160" w:line="276"/>
      </w:pPr>
      <w:r>
        <w:rPr>
          <w:sz w:val="22"/>
          <w:szCs w:val="22"/>
        </w:rPr>
        <w:t xml:space="preserve">11. Use Case 9: Snow and Winter Road Management</w:t>
      </w:r>
    </w:p>
    <w:p>
      <w:pPr>
        <w:spacing w:after="160" w:line="276"/>
      </w:pPr>
      <w:r>
        <w:rPr>
          <w:sz w:val="22"/>
          <w:szCs w:val="22"/>
        </w:rPr>
        <w:t xml:space="preserve">12. Compound Use Cases: Cross-Referencing for New Value</w:t>
      </w:r>
    </w:p>
    <w:p>
      <w:pPr>
        <w:spacing w:after="160" w:line="276"/>
      </w:pPr>
      <w:r>
        <w:rPr>
          <w:sz w:val="22"/>
          <w:szCs w:val="22"/>
        </w:rPr>
        <w:t xml:space="preserve">13. Prioritization Matrix</w:t>
      </w:r>
    </w:p>
    <w:p>
      <w:pPr>
        <w:spacing w:after="160" w:line="276"/>
      </w:pPr>
      <w:r>
        <w:rPr>
          <w:sz w:val="22"/>
          <w:szCs w:val="22"/>
        </w:rPr>
        <w:t xml:space="preserve">14. Recommended Next Steps</w:t>
      </w:r>
    </w:p>
    <w:p>
      <w:pPr>
        <w:spacing w:after="160" w:line="276"/>
      </w:pPr>
      <w:r>
        <w:rPr>
          <w:sz w:val="22"/>
          <w:szCs w:val="22"/>
        </w:rPr>
        <w:t xml:space="preserve">15. References</w:t>
      </w:r>
    </w:p>
    <w:p>
      <w:r>
        <w:br w:type="page"/>
      </w:r>
    </w:p>
    <w:p>
      <w:pPr>
        <w:pStyle w:val="Heading1"/>
      </w:pPr>
      <w:r>
        <w:t xml:space="preserve">1. Introduction and Context</w:t>
      </w:r>
    </w:p>
    <w:p>
      <w:pPr>
        <w:spacing w:after="160" w:line="276"/>
      </w:pPr>
      <w:r>
        <w:rPr>
          <w:sz w:val="22"/>
          <w:szCs w:val="22"/>
        </w:rPr>
        <w:t xml:space="preserve">This report examines satellite data applications that could create tangible value for Sundsvall municipality and its citizens. It is produced as part of a grant-funded project to document the process of identifying use cases where satellite-derived Earth observation (EO) data can support municipal decision-making, improve public services, and address environmental challenges.</w:t>
      </w:r>
    </w:p>
    <w:p>
      <w:pPr>
        <w:spacing w:after="160" w:line="276"/>
      </w:pPr>
      <w:r>
        <w:rPr>
          <w:sz w:val="22"/>
          <w:szCs w:val="22"/>
        </w:rPr>
        <w:t xml:space="preserve">Sundsvall presents a particularly compelling context for satellite data applications due to several geographic and environmental characteristics that distinguish it from other Swedish municipalities:</w:t>
      </w:r>
    </w:p>
    <w:p>
      <w:pPr>
        <w:pStyle w:val="ListParagraph"/>
        <w:numPr>
          <w:ilvl w:val="0"/>
          <w:numId w:val="2"/>
        </w:numPr>
        <w:spacing w:after="80" w:line="276"/>
      </w:pPr>
      <w:r>
        <w:rPr>
          <w:b/>
          <w:bCs/>
          <w:sz w:val="22"/>
          <w:szCs w:val="22"/>
        </w:rPr>
        <w:t xml:space="preserve">Coastal location on the Gulf of Bothnia: </w:t>
      </w:r>
      <w:r>
        <w:rPr>
          <w:sz w:val="22"/>
          <w:szCs w:val="22"/>
        </w:rPr>
        <w:t xml:space="preserve">Sundsvallsfjärden and the broader Sundsvallsbukten carry a legacy of industrial pollution from the city’s pulp, paper, and aluminum industries. Monitoring water quality in this environment has direct citizen health implications.</w:t>
      </w:r>
    </w:p>
    <w:p>
      <w:pPr>
        <w:pStyle w:val="ListParagraph"/>
        <w:numPr>
          <w:ilvl w:val="0"/>
          <w:numId w:val="2"/>
        </w:numPr>
        <w:spacing w:after="80" w:line="276"/>
      </w:pPr>
      <w:r>
        <w:rPr>
          <w:b/>
          <w:bCs/>
          <w:sz w:val="22"/>
          <w:szCs w:val="22"/>
        </w:rPr>
        <w:t xml:space="preserve">Topographic variation: </w:t>
      </w:r>
      <w:r>
        <w:rPr>
          <w:sz w:val="22"/>
          <w:szCs w:val="22"/>
        </w:rPr>
        <w:t xml:space="preserve">The city is framed by Norra Berget and Södra Berget, with significant elevation changes that affect microclimate, stormwater drainage, and landslide risk.</w:t>
      </w:r>
    </w:p>
    <w:p>
      <w:pPr>
        <w:pStyle w:val="ListParagraph"/>
        <w:numPr>
          <w:ilvl w:val="0"/>
          <w:numId w:val="2"/>
        </w:numPr>
        <w:spacing w:after="80" w:line="276"/>
      </w:pPr>
      <w:r>
        <w:rPr>
          <w:b/>
          <w:bCs/>
          <w:sz w:val="22"/>
          <w:szCs w:val="22"/>
        </w:rPr>
        <w:t xml:space="preserve">Marine clay deposits: </w:t>
      </w:r>
      <w:r>
        <w:rPr>
          <w:sz w:val="22"/>
          <w:szCs w:val="22"/>
        </w:rPr>
        <w:t xml:space="preserve">The Norrland coast, including areas around Sundsvall, contains marine clay deposits susceptible to landslide activity. Climate change is expected to increase this risk through altered precipitation patterns and groundwater levels.</w:t>
      </w:r>
    </w:p>
    <w:p>
      <w:pPr>
        <w:pStyle w:val="ListParagraph"/>
        <w:numPr>
          <w:ilvl w:val="0"/>
          <w:numId w:val="2"/>
        </w:numPr>
        <w:spacing w:after="80" w:line="276"/>
      </w:pPr>
      <w:r>
        <w:rPr>
          <w:b/>
          <w:bCs/>
          <w:sz w:val="22"/>
          <w:szCs w:val="22"/>
        </w:rPr>
        <w:t xml:space="preserve">Industrial heritage: </w:t>
      </w:r>
      <w:r>
        <w:rPr>
          <w:sz w:val="22"/>
          <w:szCs w:val="22"/>
        </w:rPr>
        <w:t xml:space="preserve">Active and legacy industrial sites, including the Kubal aluminum smelter, contribute to air quality challenges. The municipality has documented exceedances of environmental quality norms (miljökvalitetsnormer) for particulate matter (PM10), particularly along Köpmangatan. While NO₂ levels have been brought under norms in recent years, PM10 from studded tires remains a persistent problem.</w:t>
      </w:r>
    </w:p>
    <w:p>
      <w:pPr>
        <w:pStyle w:val="ListParagraph"/>
        <w:numPr>
          <w:ilvl w:val="0"/>
          <w:numId w:val="2"/>
        </w:numPr>
        <w:spacing w:after="80" w:line="276"/>
      </w:pPr>
      <w:r>
        <w:rPr>
          <w:b/>
          <w:bCs/>
          <w:sz w:val="22"/>
          <w:szCs w:val="22"/>
        </w:rPr>
        <w:t xml:space="preserve">Boreal forest proximity: </w:t>
      </w:r>
      <w:r>
        <w:rPr>
          <w:sz w:val="22"/>
          <w:szCs w:val="22"/>
        </w:rPr>
        <w:t xml:space="preserve">The municipality is tightly surrounded by boreal forest, making forest health monitoring, fire risk assessment, and the urban–wildland interface relevant considerations.</w:t>
      </w:r>
    </w:p>
    <w:p>
      <w:pPr>
        <w:pStyle w:val="ListParagraph"/>
        <w:numPr>
          <w:ilvl w:val="0"/>
          <w:numId w:val="2"/>
        </w:numPr>
        <w:spacing w:after="80" w:line="276"/>
      </w:pPr>
      <w:r>
        <w:rPr>
          <w:b/>
          <w:bCs/>
          <w:sz w:val="22"/>
          <w:szCs w:val="22"/>
        </w:rPr>
        <w:t xml:space="preserve">Northern climate: </w:t>
      </w:r>
      <w:r>
        <w:rPr>
          <w:sz w:val="22"/>
          <w:szCs w:val="22"/>
        </w:rPr>
        <w:t xml:space="preserve">Extended winters with heavy snowfall make winter road management a significant operational cost, and the long snow season creates both challenges and opportunities for satellite monitoring.</w:t>
      </w:r>
    </w:p>
    <w:p>
      <w:pPr>
        <w:spacing w:after="160" w:line="276"/>
      </w:pPr>
      <w:r>
        <w:rPr>
          <w:sz w:val="22"/>
          <w:szCs w:val="22"/>
        </w:rPr>
        <w:t xml:space="preserve">Each use case in this report is structured to include a description of the problem or opportunity, the specific satellite data sources applicable, the technical approach for building a prototype, the expected value to the municipality, existing tools and platforms that can accelerate development, and references for further study.</w:t>
      </w:r>
    </w:p>
    <w:p>
      <w:pPr>
        <w:spacing w:after="160" w:line="276"/>
      </w:pPr>
      <w:r>
        <w:rPr>
          <w:sz w:val="22"/>
          <w:szCs w:val="22"/>
        </w:rPr>
        <w:t xml:space="preserve">Beyond individual use cases, this report dedicates a section to compound use cases — applications where cross-referencing multiple satellite data sources with municipal data creates insights that no single dataset can provide alone. These compound applications represent the highest potential for genuine innovation and are where this project can most clearly demonstrate value beyond simply repackaging existing Copernicus products.</w:t>
      </w:r>
    </w:p>
    <w:p>
      <w:r>
        <w:br w:type="page"/>
      </w:r>
    </w:p>
    <w:p>
      <w:pPr>
        <w:pStyle w:val="Heading1"/>
      </w:pPr>
      <w:r>
        <w:t xml:space="preserve">2. Data Sources and Technical Foundation</w:t>
      </w:r>
    </w:p>
    <w:p>
      <w:pPr>
        <w:spacing w:after="160" w:line="276"/>
      </w:pPr>
      <w:r>
        <w:rPr>
          <w:sz w:val="22"/>
          <w:szCs w:val="22"/>
        </w:rPr>
        <w:t xml:space="preserve">Before examining individual use cases, it is important to understand the primary satellite data sources available. The European Union’s Copernicus programme provides the backbone of freely available Earth observation data, complemented by NASA/USGS missions. All data referenced in this report is freely available and openly licensed.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80"/>
        <w:gridCol w:w="1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Satellite/Sensor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Revisit</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Applications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(Radar)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5–20 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 days*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deformation, flood mapping, snow/ice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Multispectral optical (13 bands)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10–60 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 use, vegetation, water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Optical + thermal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300–1000 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 surface temperature, ocean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Sentinel-5P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Atmospheric composition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3.5×5.5 km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NO₂, SO₂, O₃, aerosols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Landsat 8/9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Multispectral + thermal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 m (thermal: 100 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days (combined)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 mapping, land use, vegetation</w:t>
            </w:r>
          </w:p>
        </w:tc>
      </w:tr>
    </w:tbl>
    <w:p>
      <w:pPr>
        <w:spacing w:after="80"/>
      </w:pPr>
    </w:p>
    <w:p>
      <w:pPr>
        <w:spacing w:after="160" w:line="276"/>
      </w:pPr>
      <w:r>
        <w:rPr>
          <w:b/>
          <w:bCs/>
          <w:sz w:val="22"/>
          <w:szCs w:val="22"/>
        </w:rPr>
        <w:t xml:space="preserve">*Important note on Sentinel-1 availability: </w:t>
      </w:r>
      <w:r>
        <w:rPr>
          <w:sz w:val="22"/>
          <w:szCs w:val="22"/>
        </w:rPr>
        <w:t xml:space="preserve">Sentinel-1B experienced an anomaly in December 2021 and was decommissioned in 2024. From late 2021 until the launch of Sentinel-1C in December 2024, only Sentinel-1A was operational, reducing the revisit time from 6 days to 12 days and creating data gaps in some regions. Sentinel-1C became operational in early 2025, restoring the full constellation capability. This period of reduced coverage affects the continuity and density of InSAR time series data for the 2022–2024 period, which should be accounted for in any analysis spanning those years.</w:t>
      </w:r>
    </w:p>
    <w:p>
      <w:pPr>
        <w:spacing w:after="160" w:line="276"/>
      </w:pPr>
      <w:r>
        <w:rPr>
          <w:b/>
          <w:bCs/>
          <w:sz w:val="22"/>
          <w:szCs w:val="22"/>
        </w:rPr>
        <w:t xml:space="preserve">Key platform for data access: </w:t>
      </w:r>
      <w:r>
        <w:rPr>
          <w:sz w:val="22"/>
          <w:szCs w:val="22"/>
        </w:rPr>
        <w:t xml:space="preserve">Copernicus Data Space Ecosystem (dataspace.copernicus.eu) is the primary portal for accessing all Copernicus satellite data. Note: the former Copernicus Open Access Hub (scihub.copernicus.eu) was decommissioned in November 2023 and all services migrated to the new Data Space platform. Other key platforms include USGS EarthExplorer (earthexplorer.usgs.gov), Google Earth Engine (earthengine.google.com), and the European Ground Motion Service (egms.land.copernicus.eu).</w:t>
      </w:r>
    </w:p>
    <w:p>
      <w:pPr>
        <w:spacing w:after="160" w:line="276"/>
      </w:pPr>
      <w:r>
        <w:rPr>
          <w:b/>
          <w:bCs/>
          <w:sz w:val="22"/>
          <w:szCs w:val="22"/>
        </w:rPr>
        <w:t xml:space="preserve">Processing tools: </w:t>
      </w:r>
      <w:r>
        <w:rPr>
          <w:sz w:val="22"/>
          <w:szCs w:val="22"/>
        </w:rPr>
        <w:t xml:space="preserve">ESA’s SNAP toolbox for SAR processing, QGIS for GIS analysis and visualization, Python libraries including rasterio, geopandas, sentinelsat, and eo-learn, as well as Google Earth Engine for cloud-based processing of large time series.</w:t>
      </w:r>
    </w:p>
    <w:p>
      <w:r>
        <w:br w:type="page"/>
      </w:r>
    </w:p>
    <w:p>
      <w:pPr>
        <w:pStyle w:val="Heading1"/>
      </w:pPr>
      <w:r>
        <w:t xml:space="preserve">3. Use Case 1: Ground Deformation and Infrastructure Monitoring (InSAR)</w:t>
      </w:r>
    </w:p>
    <w:p>
      <w:pPr>
        <w:pStyle w:val="Heading2"/>
      </w:pPr>
      <w:r>
        <w:t xml:space="preserve">3.1 Problem Description</w:t>
      </w:r>
    </w:p>
    <w:p>
      <w:pPr>
        <w:spacing w:after="160" w:line="276"/>
      </w:pPr>
      <w:r>
        <w:rPr>
          <w:sz w:val="22"/>
          <w:szCs w:val="22"/>
        </w:rPr>
        <w:t xml:space="preserve">The Norrland coast, including the Sundsvall area, contains marine clay deposits formed when post-glacial land was below sea level. These clays can become “quick” (kvicklera) as salts leach out over time, potentially leading to catastrophic landslides where solid ground suddenly liquefies. Sweden has experienced several devastating quick clay landslides, most recently the 2023 Stenungsund event that destroyed a section of the E6 motorway. The Swedish Geotechnical Institute (SGI) estimates that around 220,000 properties nationwide may be situated in landslide-prone areas by the end of the century.</w:t>
      </w:r>
    </w:p>
    <w:p>
      <w:pPr>
        <w:spacing w:after="160" w:line="276"/>
      </w:pPr>
      <w:r>
        <w:rPr>
          <w:sz w:val="22"/>
          <w:szCs w:val="22"/>
        </w:rPr>
        <w:t xml:space="preserve">Beyond landslide risk, urban infrastructure such as roads, bridges, railways, and buildings naturally undergo settlement and deformation over time. Early detection of such movement — before it becomes visible damage — can save significant repair costs and prevent safety hazards.</w:t>
      </w:r>
    </w:p>
    <w:p>
      <w:pPr>
        <w:pStyle w:val="Heading2"/>
      </w:pPr>
      <w:r>
        <w:t xml:space="preserve">3.2 Satellite Data and Technical Approach</w:t>
      </w:r>
    </w:p>
    <w:p>
      <w:pPr>
        <w:spacing w:after="160" w:line="276"/>
      </w:pPr>
      <w:r>
        <w:rPr>
          <w:sz w:val="22"/>
          <w:szCs w:val="22"/>
        </w:rPr>
        <w:t xml:space="preserve">Interferometric Synthetic Aperture Radar (InSAR) uses Sentinel-1 radar data to detect millimeter-scale ground surface movement by comparing the phase difference of radar signals acquired over the same area at different times. Sweden already has a national InSAR service: InSAR Sweden (insar.rymdstyrelsen.se), operated by the Swedish Space Agency in collaboration with the Norwegian Space Agency, NVE, NGU, NORCE, and PPO.labs. This portal provides over 10 billion measurements covering nearly the entire country.</w:t>
      </w:r>
    </w:p>
    <w:p>
      <w:pPr>
        <w:spacing w:after="160" w:line="276"/>
      </w:pPr>
      <w:r>
        <w:rPr>
          <w:sz w:val="22"/>
          <w:szCs w:val="22"/>
        </w:rPr>
        <w:t xml:space="preserve">It should be noted that the Sentinel-1B failure in late 2021 reduced InSAR data acquisition frequency from 6-day to 12-day revisit until Sentinel-1C became operational in early 2025. This affects the density and temporal resolution of InSAR time series for the 2022–2024 period, though the existing InSAR Sweden dataset still provides valuable baseline measurements.</w:t>
      </w:r>
    </w:p>
    <w:p>
      <w:pPr>
        <w:spacing w:after="160" w:line="276"/>
      </w:pPr>
      <w:r>
        <w:rPr>
          <w:sz w:val="22"/>
          <w:szCs w:val="22"/>
        </w:rPr>
        <w:t xml:space="preserve">Additionally, the European Ground Motion Service (EGMS) provides continent-wide InSAR deformation data derived from Sentinel-1. SGI has been using InSAR as part of a national framework for monitoring ground stability, and Lantmäteriet has installed corner reflectors across Sweden to improve measurement accuracy. A complementary commercial resource is Sättningskartan (sättningskartan.se), a collaboration between SkyGeo and WSP Sweden.</w:t>
      </w:r>
    </w:p>
    <w:p>
      <w:pPr>
        <w:pStyle w:val="Heading2"/>
      </w:pPr>
      <w:r>
        <w:t xml:space="preserve">3.3 Prototype Concept</w:t>
      </w:r>
    </w:p>
    <w:p>
      <w:pPr>
        <w:spacing w:after="160" w:line="276"/>
      </w:pPr>
      <w:r>
        <w:rPr>
          <w:sz w:val="22"/>
          <w:szCs w:val="22"/>
        </w:rPr>
        <w:t xml:space="preserve">A prototype for Sundsvall could integrate existing InSAR Sweden data with municipal GIS layers (building footprints, infrastructure networks, geological maps from SGU) to create an interactive dashboard that highlights areas where ground deformation coincides with critical infrastructure or known clay deposits. This would allow the municipality to prioritize geotechnical investigations and maintenance budgets based on satellite-observed movement trends.</w:t>
      </w:r>
    </w:p>
    <w:p>
      <w:pPr>
        <w:pStyle w:val="Heading2"/>
      </w:pPr>
      <w:r>
        <w:t xml:space="preserve">3.4 Value to Sundsvall</w:t>
      </w:r>
    </w:p>
    <w:p>
      <w:pPr>
        <w:pStyle w:val="ListParagraph"/>
        <w:numPr>
          <w:ilvl w:val="0"/>
          <w:numId w:val="3"/>
        </w:numPr>
        <w:spacing w:after="80" w:line="276"/>
      </w:pPr>
      <w:r>
        <w:rPr>
          <w:sz w:val="22"/>
          <w:szCs w:val="22"/>
        </w:rPr>
        <w:t xml:space="preserve">Early warning of ground instability near residential areas and critical infrastructure</w:t>
      </w:r>
    </w:p>
    <w:p>
      <w:pPr>
        <w:pStyle w:val="ListParagraph"/>
        <w:numPr>
          <w:ilvl w:val="0"/>
          <w:numId w:val="3"/>
        </w:numPr>
        <w:spacing w:after="80" w:line="276"/>
      </w:pPr>
      <w:r>
        <w:rPr>
          <w:sz w:val="22"/>
          <w:szCs w:val="22"/>
        </w:rPr>
        <w:t xml:space="preserve">Prioritization of costly geotechnical field investigations based on satellite-detected movement</w:t>
      </w:r>
    </w:p>
    <w:p>
      <w:pPr>
        <w:pStyle w:val="ListParagraph"/>
        <w:numPr>
          <w:ilvl w:val="0"/>
          <w:numId w:val="3"/>
        </w:numPr>
        <w:spacing w:after="80" w:line="276"/>
      </w:pPr>
      <w:r>
        <w:rPr>
          <w:sz w:val="22"/>
          <w:szCs w:val="22"/>
        </w:rPr>
        <w:t xml:space="preserve">Monitoring of infrastructure settlement (bridges, roads, railway) without field visits</w:t>
      </w:r>
    </w:p>
    <w:p>
      <w:pPr>
        <w:pStyle w:val="ListParagraph"/>
        <w:numPr>
          <w:ilvl w:val="0"/>
          <w:numId w:val="3"/>
        </w:numPr>
        <w:spacing w:after="80" w:line="276"/>
      </w:pPr>
      <w:r>
        <w:rPr>
          <w:sz w:val="22"/>
          <w:szCs w:val="22"/>
        </w:rPr>
        <w:t xml:space="preserve">Complement to existing SGI landslide risk mapping with continuous temporal monitoring</w:t>
      </w:r>
    </w:p>
    <w:p>
      <w:pPr>
        <w:pStyle w:val="Heading2"/>
      </w:pPr>
      <w:r>
        <w:t xml:space="preserve">3.5 References</w:t>
      </w:r>
    </w:p>
    <w:p>
      <w:pPr>
        <w:pStyle w:val="ListParagraph"/>
        <w:numPr>
          <w:ilvl w:val="0"/>
          <w:numId w:val="4"/>
        </w:numPr>
        <w:spacing w:after="80" w:line="276"/>
      </w:pPr>
      <w:r>
        <w:rPr>
          <w:sz w:val="22"/>
          <w:szCs w:val="22"/>
        </w:rPr>
        <w:t xml:space="preserve">InSAR Sweden portal: </w:t>
      </w:r>
      <w:hyperlink w:history="1" r:id="rIdcefi1klqt8q1rulqcbury">
        <w:r>
          <w:rPr>
            <w:rStyle w:val="Hyperlink"/>
            <w:sz w:val="22"/>
            <w:szCs w:val="22"/>
          </w:rPr>
          <w:t xml:space="preserve">insar.rymdstyrelsen.se</w:t>
        </w:r>
      </w:hyperlink>
    </w:p>
    <w:p>
      <w:pPr>
        <w:pStyle w:val="ListParagraph"/>
        <w:numPr>
          <w:ilvl w:val="0"/>
          <w:numId w:val="4"/>
        </w:numPr>
        <w:spacing w:after="80" w:line="276"/>
      </w:pPr>
      <w:r>
        <w:rPr>
          <w:sz w:val="22"/>
          <w:szCs w:val="22"/>
        </w:rPr>
        <w:t xml:space="preserve">European Ground Motion Service: </w:t>
      </w:r>
      <w:hyperlink w:history="1" r:id="rIdlmh9_f76xrta_muvbrlho">
        <w:r>
          <w:rPr>
            <w:rStyle w:val="Hyperlink"/>
            <w:sz w:val="22"/>
            <w:szCs w:val="22"/>
          </w:rPr>
          <w:t xml:space="preserve">egms.land.copernicus.eu</w:t>
        </w:r>
      </w:hyperlink>
    </w:p>
    <w:p>
      <w:pPr>
        <w:pStyle w:val="ListParagraph"/>
        <w:numPr>
          <w:ilvl w:val="0"/>
          <w:numId w:val="4"/>
        </w:numPr>
        <w:spacing w:after="80" w:line="276"/>
      </w:pPr>
      <w:r>
        <w:rPr>
          <w:sz w:val="22"/>
          <w:szCs w:val="22"/>
        </w:rPr>
        <w:t xml:space="preserve">Sättningskartan (SkyGeo/WSP): </w:t>
      </w:r>
      <w:hyperlink w:history="1" r:id="rIdxcs0pvuqhmlqz68s5icut">
        <w:r>
          <w:rPr>
            <w:rStyle w:val="Hyperlink"/>
            <w:sz w:val="22"/>
            <w:szCs w:val="22"/>
          </w:rPr>
          <w:t xml:space="preserve">sättningskartan.se</w:t>
        </w:r>
      </w:hyperlink>
    </w:p>
    <w:p>
      <w:pPr>
        <w:pStyle w:val="ListParagraph"/>
        <w:numPr>
          <w:ilvl w:val="0"/>
          <w:numId w:val="4"/>
        </w:numPr>
        <w:spacing w:after="80" w:line="276"/>
      </w:pPr>
      <w:r>
        <w:rPr>
          <w:sz w:val="22"/>
          <w:szCs w:val="22"/>
        </w:rPr>
        <w:t xml:space="preserve">Lantmäteriet contributions to InSAR Sweden: </w:t>
      </w:r>
      <w:hyperlink w:history="1" r:id="rIdqyzeope13puziyucpqito">
        <w:r>
          <w:rPr>
            <w:rStyle w:val="Hyperlink"/>
            <w:sz w:val="22"/>
            <w:szCs w:val="22"/>
          </w:rPr>
          <w:t xml:space="preserve">Lantmäterirapport 2023-1 (PDF)</w:t>
        </w:r>
      </w:hyperlink>
    </w:p>
    <w:p>
      <w:pPr>
        <w:pStyle w:val="ListParagraph"/>
        <w:numPr>
          <w:ilvl w:val="0"/>
          <w:numId w:val="4"/>
        </w:numPr>
        <w:spacing w:after="80" w:line="276"/>
      </w:pPr>
      <w:r>
        <w:rPr>
          <w:sz w:val="22"/>
          <w:szCs w:val="22"/>
        </w:rPr>
        <w:t xml:space="preserve">With, C. et al. (2022), “A methodology for mapping of quick clay in Sweden,” Natural Hazards. </w:t>
      </w:r>
      <w:hyperlink w:history="1" r:id="rIdpcin6tyoiosfwhtn4andd">
        <w:r>
          <w:rPr>
            <w:rStyle w:val="Hyperlink"/>
            <w:sz w:val="22"/>
            <w:szCs w:val="22"/>
          </w:rPr>
          <w:t xml:space="preserve">doi.org/10.1007/s11069-022-05278-y</w:t>
        </w:r>
      </w:hyperlink>
    </w:p>
    <w:p>
      <w:pPr>
        <w:pStyle w:val="ListParagraph"/>
        <w:numPr>
          <w:ilvl w:val="0"/>
          <w:numId w:val="4"/>
        </w:numPr>
        <w:spacing w:after="80" w:line="276"/>
      </w:pPr>
      <w:r>
        <w:rPr>
          <w:sz w:val="22"/>
          <w:szCs w:val="22"/>
        </w:rPr>
        <w:t xml:space="preserve">SGI quick clay web mapping service: </w:t>
      </w:r>
      <w:hyperlink w:history="1" r:id="rIdaphph2i2unypx2axcfazb">
        <w:r>
          <w:rPr>
            <w:rStyle w:val="Hyperlink"/>
            <w:sz w:val="22"/>
            <w:szCs w:val="22"/>
          </w:rPr>
          <w:t xml:space="preserve">gis.sgi.se/metodik_kvicklera</w:t>
        </w:r>
      </w:hyperlink>
    </w:p>
    <w:p>
      <w:pPr>
        <w:pStyle w:val="ListParagraph"/>
        <w:numPr>
          <w:ilvl w:val="0"/>
          <w:numId w:val="4"/>
        </w:numPr>
        <w:spacing w:after="80" w:line="276"/>
      </w:pPr>
      <w:r>
        <w:rPr>
          <w:sz w:val="22"/>
          <w:szCs w:val="22"/>
        </w:rPr>
        <w:t xml:space="preserve">Kvarken Space Center InSAR tutorial: </w:t>
      </w:r>
      <w:hyperlink w:history="1" r:id="rIdqnztjy33jrsiqrm8gfqay">
        <w:r>
          <w:rPr>
            <w:rStyle w:val="Hyperlink"/>
            <w:sz w:val="22"/>
            <w:szCs w:val="22"/>
          </w:rPr>
          <w:t xml:space="preserve">kvarkenspacecenter.org/insar-and-its-applications</w:t>
        </w:r>
      </w:hyperlink>
    </w:p>
    <w:p>
      <w:r>
        <w:br w:type="page"/>
      </w:r>
    </w:p>
    <w:p>
      <w:pPr>
        <w:pStyle w:val="Heading1"/>
      </w:pPr>
      <w:r>
        <w:t xml:space="preserve">4. Use Case 2: Urban Heat Island Mapping and Climate Adaptation</w:t>
      </w:r>
    </w:p>
    <w:p>
      <w:pPr>
        <w:pStyle w:val="Heading2"/>
      </w:pPr>
      <w:r>
        <w:t xml:space="preserve">4.1 Problem Description</w:t>
      </w:r>
    </w:p>
    <w:p>
      <w:pPr>
        <w:spacing w:after="160" w:line="276"/>
      </w:pPr>
      <w:r>
        <w:rPr>
          <w:sz w:val="22"/>
          <w:szCs w:val="22"/>
        </w:rPr>
        <w:t xml:space="preserve">While heat waves have traditionally been seen as a southern European concern, Swedish cities are increasingly experiencing extreme summer temperatures. Urban areas amplify this through the heat island effect, where built surfaces absorb and re-radiate solar energy, creating significantly higher temperatures in city centers compared to surrounding areas. Sundsvall’s topography — a city center nestled between Norra and Södra Berget — can trap warm air and reduce ventilation, potentially intensifying this effect.</w:t>
      </w:r>
    </w:p>
    <w:p>
      <w:pPr>
        <w:pStyle w:val="Heading2"/>
      </w:pPr>
      <w:r>
        <w:t xml:space="preserve">4.2 Satellite Data and Technical Approach</w:t>
      </w:r>
    </w:p>
    <w:p>
      <w:pPr>
        <w:spacing w:after="160" w:line="276"/>
      </w:pPr>
      <w:r>
        <w:rPr>
          <w:sz w:val="22"/>
          <w:szCs w:val="22"/>
        </w:rPr>
        <w:t xml:space="preserve">Landsat 8/9 provides thermal infrared bands at 100m resolution (resampled to 30m) that can measure land surface temperature. Sentinel-2 complements this with vegetation indices (NDVI) at 10m resolution. The Copernicus Land Monitoring Service (CLMS) offers the Urban Atlas with detailed land use maps and the High Resolution Layer (HRL) Imperviousness product. Researchers have shown that combining these datasets with Local Climate Zone (LCZ) classification significantly improves identification of heat-vulnerable areas.</w:t>
      </w:r>
    </w:p>
    <w:p>
      <w:pPr>
        <w:pStyle w:val="Heading2"/>
      </w:pPr>
      <w:r>
        <w:t xml:space="preserve">4.3 Prototype Concept</w:t>
      </w:r>
    </w:p>
    <w:p>
      <w:pPr>
        <w:spacing w:after="160" w:line="276"/>
      </w:pPr>
      <w:r>
        <w:rPr>
          <w:sz w:val="22"/>
          <w:szCs w:val="22"/>
        </w:rPr>
        <w:t xml:space="preserve">A summer surface temperature map of Sundsvall derived from Landsat thermal data, overlaid with NDVI from Sentinel-2, imperviousness from Copernicus CLMS, and demographic data from the municipality. The output: a climate vulnerability index map identifying neighborhoods most at risk during heat events.</w:t>
      </w:r>
    </w:p>
    <w:p>
      <w:pPr>
        <w:pStyle w:val="Heading2"/>
      </w:pPr>
      <w:r>
        <w:t xml:space="preserve">4.4 Value to Sundsvall</w:t>
      </w:r>
    </w:p>
    <w:p>
      <w:pPr>
        <w:pStyle w:val="ListParagraph"/>
        <w:numPr>
          <w:ilvl w:val="0"/>
          <w:numId w:val="5"/>
        </w:numPr>
        <w:spacing w:after="80" w:line="276"/>
      </w:pPr>
      <w:r>
        <w:rPr>
          <w:sz w:val="22"/>
          <w:szCs w:val="22"/>
        </w:rPr>
        <w:t xml:space="preserve">Evidence-based identification of heat-vulnerable neighborhoods and populations</w:t>
      </w:r>
    </w:p>
    <w:p>
      <w:pPr>
        <w:pStyle w:val="ListParagraph"/>
        <w:numPr>
          <w:ilvl w:val="0"/>
          <w:numId w:val="5"/>
        </w:numPr>
        <w:spacing w:after="80" w:line="276"/>
      </w:pPr>
      <w:r>
        <w:rPr>
          <w:sz w:val="22"/>
          <w:szCs w:val="22"/>
        </w:rPr>
        <w:t xml:space="preserve">Quantified impact measurement for urban greening initiatives</w:t>
      </w:r>
    </w:p>
    <w:p>
      <w:pPr>
        <w:pStyle w:val="ListParagraph"/>
        <w:numPr>
          <w:ilvl w:val="0"/>
          <w:numId w:val="5"/>
        </w:numPr>
        <w:spacing w:after="80" w:line="276"/>
      </w:pPr>
      <w:r>
        <w:rPr>
          <w:sz w:val="22"/>
          <w:szCs w:val="22"/>
        </w:rPr>
        <w:t xml:space="preserve">Support for comprehensive plan (ÖP) revisions with climate adaptation data</w:t>
      </w:r>
    </w:p>
    <w:p>
      <w:pPr>
        <w:pStyle w:val="ListParagraph"/>
        <w:numPr>
          <w:ilvl w:val="0"/>
          <w:numId w:val="5"/>
        </w:numPr>
        <w:spacing w:after="80" w:line="276"/>
      </w:pPr>
      <w:r>
        <w:rPr>
          <w:sz w:val="22"/>
          <w:szCs w:val="22"/>
        </w:rPr>
        <w:t xml:space="preserve">Input for emergency preparedness during heat events</w:t>
      </w:r>
    </w:p>
    <w:p>
      <w:pPr>
        <w:pStyle w:val="Heading2"/>
      </w:pPr>
      <w:r>
        <w:t xml:space="preserve">4.5 References</w:t>
      </w:r>
    </w:p>
    <w:p>
      <w:pPr>
        <w:pStyle w:val="ListParagraph"/>
        <w:numPr>
          <w:ilvl w:val="0"/>
          <w:numId w:val="6"/>
        </w:numPr>
        <w:spacing w:after="80" w:line="276"/>
      </w:pPr>
      <w:r>
        <w:rPr>
          <w:sz w:val="22"/>
          <w:szCs w:val="22"/>
        </w:rPr>
        <w:t xml:space="preserve">Copernicus CLMS — Urban Heat Islands: </w:t>
      </w:r>
      <w:hyperlink w:history="1" r:id="rIdc8lz2erwvezvb_oh5t9vo">
        <w:r>
          <w:rPr>
            <w:rStyle w:val="Hyperlink"/>
            <w:sz w:val="22"/>
            <w:szCs w:val="22"/>
          </w:rPr>
          <w:t xml:space="preserve">land.copernicus.eu</w:t>
        </w:r>
      </w:hyperlink>
    </w:p>
    <w:p>
      <w:pPr>
        <w:pStyle w:val="ListParagraph"/>
        <w:numPr>
          <w:ilvl w:val="0"/>
          <w:numId w:val="6"/>
        </w:numPr>
        <w:spacing w:after="80" w:line="276"/>
      </w:pPr>
      <w:r>
        <w:rPr>
          <w:sz w:val="22"/>
          <w:szCs w:val="22"/>
        </w:rPr>
        <w:t xml:space="preserve">Copernicus CLMS — LCZ method for UHI: </w:t>
      </w:r>
      <w:hyperlink w:history="1" r:id="rIdezelgbqsvkyg1ykm5imdu">
        <w:r>
          <w:rPr>
            <w:rStyle w:val="Hyperlink"/>
            <w:sz w:val="22"/>
            <w:szCs w:val="22"/>
          </w:rPr>
          <w:t xml:space="preserve">land.copernicus.eu</w:t>
        </w:r>
      </w:hyperlink>
    </w:p>
    <w:p>
      <w:pPr>
        <w:pStyle w:val="ListParagraph"/>
        <w:numPr>
          <w:ilvl w:val="0"/>
          <w:numId w:val="6"/>
        </w:numPr>
        <w:spacing w:after="80" w:line="276"/>
      </w:pPr>
      <w:r>
        <w:rPr>
          <w:sz w:val="22"/>
          <w:szCs w:val="22"/>
        </w:rPr>
        <w:t xml:space="preserve">ESA — City heat extremes and LSTM mission: </w:t>
      </w:r>
      <w:hyperlink w:history="1" r:id="rIdlkbsdiflu_dco0n3qxbzw">
        <w:r>
          <w:rPr>
            <w:rStyle w:val="Hyperlink"/>
            <w:sz w:val="22"/>
            <w:szCs w:val="22"/>
          </w:rPr>
          <w:t xml:space="preserve">esa.int</w:t>
        </w:r>
      </w:hyperlink>
    </w:p>
    <w:p>
      <w:pPr>
        <w:pStyle w:val="ListParagraph"/>
        <w:numPr>
          <w:ilvl w:val="0"/>
          <w:numId w:val="6"/>
        </w:numPr>
        <w:spacing w:after="80" w:line="276"/>
      </w:pPr>
      <w:r>
        <w:rPr>
          <w:sz w:val="22"/>
          <w:szCs w:val="22"/>
        </w:rPr>
        <w:t xml:space="preserve">Prototypes for enhanced urban heat monitoring (Discover Cities, 2025): </w:t>
      </w:r>
      <w:hyperlink w:history="1" r:id="rIdv955j1lxnjwi3rkwnpdks">
        <w:r>
          <w:rPr>
            <w:rStyle w:val="Hyperlink"/>
            <w:sz w:val="22"/>
            <w:szCs w:val="22"/>
          </w:rPr>
          <w:t xml:space="preserve">doi.org/10.1007/s44327-025-00059-1</w:t>
        </w:r>
      </w:hyperlink>
    </w:p>
    <w:p>
      <w:r>
        <w:br w:type="page"/>
      </w:r>
    </w:p>
    <w:p>
      <w:pPr>
        <w:pStyle w:val="Heading1"/>
      </w:pPr>
      <w:r>
        <w:t xml:space="preserve">5. Use Case 3: Coastal and Water Quality Monitoring</w:t>
      </w:r>
    </w:p>
    <w:p>
      <w:pPr>
        <w:pStyle w:val="Heading2"/>
      </w:pPr>
      <w:r>
        <w:t xml:space="preserve">5.1 Problem Description</w:t>
      </w:r>
    </w:p>
    <w:p>
      <w:pPr>
        <w:spacing w:after="160" w:line="276"/>
      </w:pPr>
      <w:r>
        <w:rPr>
          <w:sz w:val="22"/>
          <w:szCs w:val="22"/>
        </w:rPr>
        <w:t xml:space="preserve">Sundsvallsfjärden and Sundsvallsbukten have a documented legacy of environmental pollution from decades of industrial activity. Large quantities of hazardous waste have been dumped in the bay, and ongoing industrial operations continue to affect water quality. MSVA (MittSverige Vatten &amp; Avfall), serving Sundsvall, Timrå, and Nordanstig, is responsible for water services for over 120,000 residents.</w:t>
      </w:r>
    </w:p>
    <w:p>
      <w:pPr>
        <w:pStyle w:val="Heading2"/>
      </w:pPr>
      <w:r>
        <w:t xml:space="preserve">5.2 Satellite Data and Technical Approach</w:t>
      </w:r>
    </w:p>
    <w:p>
      <w:pPr>
        <w:spacing w:after="160" w:line="276"/>
      </w:pPr>
      <w:r>
        <w:rPr>
          <w:sz w:val="22"/>
          <w:szCs w:val="22"/>
        </w:rPr>
        <w:t xml:space="preserve">Sentinel-2’s multispectral bands can derive water quality indicators: chlorophyll-a (algal blooms), total suspended matter (turbidity), and colored dissolved organic matter (CDOM). Processing involves atmospheric correction (using ACOLITE or Sen2Cor), followed by bio-optical algorithms. Time series analysis reveals seasonal patterns and trends.</w:t>
      </w:r>
    </w:p>
    <w:p>
      <w:pPr>
        <w:pStyle w:val="Heading2"/>
      </w:pPr>
      <w:r>
        <w:t xml:space="preserve">5.3 Prototype Concept</w:t>
      </w:r>
    </w:p>
    <w:p>
      <w:pPr>
        <w:spacing w:after="160" w:line="276"/>
      </w:pPr>
      <w:r>
        <w:rPr>
          <w:sz w:val="22"/>
          <w:szCs w:val="22"/>
        </w:rPr>
        <w:t xml:space="preserve">A web-based monitoring dashboard that automatically processes new Sentinel-2 acquisitions over Sundsvallsfjärden, calculates water quality indices, and alerts when thresholds are crossed. Historical time series would allow tracking long-term trends.</w:t>
      </w:r>
    </w:p>
    <w:p>
      <w:pPr>
        <w:pStyle w:val="Heading2"/>
      </w:pPr>
      <w:r>
        <w:t xml:space="preserve">5.4 Value to Sundsvall</w:t>
      </w:r>
    </w:p>
    <w:p>
      <w:pPr>
        <w:pStyle w:val="ListParagraph"/>
        <w:numPr>
          <w:ilvl w:val="0"/>
          <w:numId w:val="7"/>
        </w:numPr>
        <w:spacing w:after="80" w:line="276"/>
      </w:pPr>
      <w:r>
        <w:rPr>
          <w:sz w:val="22"/>
          <w:szCs w:val="22"/>
        </w:rPr>
        <w:t xml:space="preserve">Near-real-time algal bloom monitoring in Sundsvallsfjärden</w:t>
      </w:r>
    </w:p>
    <w:p>
      <w:pPr>
        <w:pStyle w:val="ListParagraph"/>
        <w:numPr>
          <w:ilvl w:val="0"/>
          <w:numId w:val="7"/>
        </w:numPr>
        <w:spacing w:after="80" w:line="276"/>
      </w:pPr>
      <w:r>
        <w:rPr>
          <w:sz w:val="22"/>
          <w:szCs w:val="22"/>
        </w:rPr>
        <w:t xml:space="preserve">Tracking effectiveness of environmental remediation efforts</w:t>
      </w:r>
    </w:p>
    <w:p>
      <w:pPr>
        <w:pStyle w:val="ListParagraph"/>
        <w:numPr>
          <w:ilvl w:val="0"/>
          <w:numId w:val="7"/>
        </w:numPr>
        <w:spacing w:after="80" w:line="276"/>
      </w:pPr>
      <w:r>
        <w:rPr>
          <w:sz w:val="22"/>
          <w:szCs w:val="22"/>
        </w:rPr>
        <w:t xml:space="preserve">Complement to in-situ water sampling with broader spatial coverage</w:t>
      </w:r>
    </w:p>
    <w:p>
      <w:pPr>
        <w:pStyle w:val="ListParagraph"/>
        <w:numPr>
          <w:ilvl w:val="0"/>
          <w:numId w:val="7"/>
        </w:numPr>
        <w:spacing w:after="80" w:line="276"/>
      </w:pPr>
      <w:r>
        <w:rPr>
          <w:sz w:val="22"/>
          <w:szCs w:val="22"/>
        </w:rPr>
        <w:t xml:space="preserve">Input for MSVA’s water quality management</w:t>
      </w:r>
    </w:p>
    <w:p>
      <w:pPr>
        <w:pStyle w:val="Heading2"/>
      </w:pPr>
      <w:r>
        <w:t xml:space="preserve">5.5 References</w:t>
      </w:r>
    </w:p>
    <w:p>
      <w:pPr>
        <w:pStyle w:val="ListParagraph"/>
        <w:numPr>
          <w:ilvl w:val="0"/>
          <w:numId w:val="8"/>
        </w:numPr>
        <w:spacing w:after="80" w:line="276"/>
      </w:pPr>
      <w:r>
        <w:rPr>
          <w:sz w:val="22"/>
          <w:szCs w:val="22"/>
        </w:rPr>
        <w:t xml:space="preserve">Copernicus Marine Service: </w:t>
      </w:r>
      <w:hyperlink w:history="1" r:id="rIdjxyccxkwxyk78rqzdxxls">
        <w:r>
          <w:rPr>
            <w:rStyle w:val="Hyperlink"/>
            <w:sz w:val="22"/>
            <w:szCs w:val="22"/>
          </w:rPr>
          <w:t xml:space="preserve">marine.copernicus.eu</w:t>
        </w:r>
      </w:hyperlink>
    </w:p>
    <w:p>
      <w:pPr>
        <w:pStyle w:val="ListParagraph"/>
        <w:numPr>
          <w:ilvl w:val="0"/>
          <w:numId w:val="8"/>
        </w:numPr>
        <w:spacing w:after="80" w:line="276"/>
      </w:pPr>
      <w:r>
        <w:rPr>
          <w:sz w:val="22"/>
          <w:szCs w:val="22"/>
        </w:rPr>
        <w:t xml:space="preserve">ACOLITE atmospheric correction processor: </w:t>
      </w:r>
      <w:hyperlink w:history="1" r:id="rId38wah8ce02bad93l6ktbi">
        <w:r>
          <w:rPr>
            <w:rStyle w:val="Hyperlink"/>
            <w:sz w:val="22"/>
            <w:szCs w:val="22"/>
          </w:rPr>
          <w:t xml:space="preserve">github.com/acolite/acolite</w:t>
        </w:r>
      </w:hyperlink>
    </w:p>
    <w:p>
      <w:pPr>
        <w:pStyle w:val="ListParagraph"/>
        <w:numPr>
          <w:ilvl w:val="0"/>
          <w:numId w:val="8"/>
        </w:numPr>
        <w:spacing w:after="80" w:line="276"/>
      </w:pPr>
      <w:r>
        <w:rPr>
          <w:sz w:val="22"/>
          <w:szCs w:val="22"/>
        </w:rPr>
        <w:t xml:space="preserve">MSVA: </w:t>
      </w:r>
      <w:hyperlink w:history="1" r:id="rIdaycn3dovakn0sknclgi4b">
        <w:r>
          <w:rPr>
            <w:rStyle w:val="Hyperlink"/>
            <w:sz w:val="22"/>
            <w:szCs w:val="22"/>
          </w:rPr>
          <w:t xml:space="preserve">msva.se</w:t>
        </w:r>
      </w:hyperlink>
    </w:p>
    <w:p>
      <w:r>
        <w:br w:type="page"/>
      </w:r>
    </w:p>
    <w:p>
      <w:pPr>
        <w:pStyle w:val="Heading1"/>
      </w:pPr>
      <w:r>
        <w:t xml:space="preserve">6. Use Case 4: Air Quality Monitoring and Emission Tracking</w:t>
      </w:r>
    </w:p>
    <w:p>
      <w:pPr>
        <w:pStyle w:val="Heading2"/>
      </w:pPr>
      <w:r>
        <w:t xml:space="preserve">6.1 Problem Description</w:t>
      </w:r>
    </w:p>
    <w:p>
      <w:pPr>
        <w:spacing w:after="160" w:line="276"/>
      </w:pPr>
      <w:r>
        <w:rPr>
          <w:sz w:val="22"/>
          <w:szCs w:val="22"/>
        </w:rPr>
        <w:t xml:space="preserve">Sundsvall has documented air quality challenges, particularly with elevated levels of particulate matter (PM10) in the city center. Measurements at Köpmangatan have shown repeated exceedances of environmental quality norms for PM10, primarily caused by studded tire wear on road surfaces. Nitrogen dioxide (NO₂) was historically also a concern, but has been brought under norms in recent years following measures including the construction of Sundsvallsbron, which reduced centrum through-traffic and cut emissions by approximately 10%.</w:t>
      </w:r>
    </w:p>
    <w:p>
      <w:pPr>
        <w:spacing w:after="160" w:line="276"/>
      </w:pPr>
      <w:r>
        <w:rPr>
          <w:sz w:val="22"/>
          <w:szCs w:val="22"/>
        </w:rPr>
        <w:t xml:space="preserve">The municipality’s action program “Friskare luft i Sundsvall,” adopted by kommunfullmäktige in 2014, ran through 2020 and focused on reducing PM10 and NO₂ through traffic management, modal shift, and infrastructure improvements. While NO₂ has been addressed, PM10 remains the outstanding challenge. Industrial emissions from facilities including the Kubal aluminum smelter and pulp/paper operations also contribute to the overall air quality picture, particularly regarding SO₂.</w:t>
      </w:r>
    </w:p>
    <w:p>
      <w:pPr>
        <w:pStyle w:val="Heading2"/>
      </w:pPr>
      <w:r>
        <w:t xml:space="preserve">6.2 Satellite Data and Technical Approach</w:t>
      </w:r>
    </w:p>
    <w:p>
      <w:pPr>
        <w:spacing w:after="160" w:line="276"/>
      </w:pPr>
      <w:r>
        <w:rPr>
          <w:sz w:val="22"/>
          <w:szCs w:val="22"/>
        </w:rPr>
        <w:t xml:space="preserve">Sentinel-5P (TROPOMI instrument) provides daily global measurements of tropospheric NO₂, SO₂, CO, ozone, formaldehyde, and aerosol indices at 3.5×5.5 km resolution (improved from the original 3.5×7 km in 2019). While this is too coarse for street-level analysis, it can identify municipality-wide patterns, track seasonal trends, and detect industrial emission plumes. For Sundsvall, with its discrete industrial sources, satellite data can provide an independent measure of emission trends that complements ground-based monitoring.</w:t>
      </w:r>
    </w:p>
    <w:p>
      <w:pPr>
        <w:spacing w:after="160" w:line="276"/>
      </w:pPr>
      <w:r>
        <w:rPr>
          <w:sz w:val="22"/>
          <w:szCs w:val="22"/>
        </w:rPr>
        <w:t xml:space="preserve">Note: satellite data cannot directly measure PM10 from studded tires — this is a hyper-local ground-level phenomenon. However, satellite-derived aerosol indices can provide contextual information about overall particulate loading, and NO₂/SO₂ tracking can help assess the industrial component of the air quality picture.</w:t>
      </w:r>
    </w:p>
    <w:p>
      <w:pPr>
        <w:pStyle w:val="Heading2"/>
      </w:pPr>
      <w:r>
        <w:t xml:space="preserve">6.3 Prototype Concept</w:t>
      </w:r>
    </w:p>
    <w:p>
      <w:pPr>
        <w:spacing w:after="160" w:line="276"/>
      </w:pPr>
      <w:r>
        <w:rPr>
          <w:sz w:val="22"/>
          <w:szCs w:val="22"/>
        </w:rPr>
        <w:t xml:space="preserve">A time series analysis showing NO₂ and SO₂ trends over Sundsvall from Sentinel-5P, correlated with wind direction data to help attribute elevated readings to specific sources. Comparison with peer municipalities and seasonal decomposition to distinguish traffic patterns from industrial emissions.</w:t>
      </w:r>
    </w:p>
    <w:p>
      <w:pPr>
        <w:pStyle w:val="Heading2"/>
      </w:pPr>
      <w:r>
        <w:t xml:space="preserve">6.4 Value to Sundsvall</w:t>
      </w:r>
    </w:p>
    <w:p>
      <w:pPr>
        <w:pStyle w:val="ListParagraph"/>
        <w:numPr>
          <w:ilvl w:val="0"/>
          <w:numId w:val="9"/>
        </w:numPr>
        <w:spacing w:after="80" w:line="276"/>
      </w:pPr>
      <w:r>
        <w:rPr>
          <w:sz w:val="22"/>
          <w:szCs w:val="22"/>
        </w:rPr>
        <w:t xml:space="preserve">Independent verification and complement to ground-based measurements</w:t>
      </w:r>
    </w:p>
    <w:p>
      <w:pPr>
        <w:pStyle w:val="ListParagraph"/>
        <w:numPr>
          <w:ilvl w:val="0"/>
          <w:numId w:val="9"/>
        </w:numPr>
        <w:spacing w:after="80" w:line="276"/>
      </w:pPr>
      <w:r>
        <w:rPr>
          <w:sz w:val="22"/>
          <w:szCs w:val="22"/>
        </w:rPr>
        <w:t xml:space="preserve">Tracking long-term trends — evaluating impact of completed “Friskare luft” interventions</w:t>
      </w:r>
    </w:p>
    <w:p>
      <w:pPr>
        <w:pStyle w:val="ListParagraph"/>
        <w:numPr>
          <w:ilvl w:val="0"/>
          <w:numId w:val="9"/>
        </w:numPr>
        <w:spacing w:after="80" w:line="276"/>
      </w:pPr>
      <w:r>
        <w:rPr>
          <w:sz w:val="22"/>
          <w:szCs w:val="22"/>
        </w:rPr>
        <w:t xml:space="preserve">Detection and attribution of industrial emission events (Kubal, SCA/Essity)</w:t>
      </w:r>
    </w:p>
    <w:p>
      <w:pPr>
        <w:pStyle w:val="ListParagraph"/>
        <w:numPr>
          <w:ilvl w:val="0"/>
          <w:numId w:val="9"/>
        </w:numPr>
        <w:spacing w:after="80" w:line="276"/>
      </w:pPr>
      <w:r>
        <w:rPr>
          <w:sz w:val="22"/>
          <w:szCs w:val="22"/>
        </w:rPr>
        <w:t xml:space="preserve">Benchmarking against comparable municipalities</w:t>
      </w:r>
    </w:p>
    <w:p>
      <w:pPr>
        <w:pStyle w:val="Heading2"/>
      </w:pPr>
      <w:r>
        <w:t xml:space="preserve">6.5 References</w:t>
      </w:r>
    </w:p>
    <w:p>
      <w:pPr>
        <w:pStyle w:val="ListParagraph"/>
        <w:numPr>
          <w:ilvl w:val="0"/>
          <w:numId w:val="10"/>
        </w:numPr>
        <w:spacing w:after="80" w:line="276"/>
      </w:pPr>
      <w:r>
        <w:rPr>
          <w:sz w:val="22"/>
          <w:szCs w:val="22"/>
        </w:rPr>
        <w:t xml:space="preserve">Sundsvall municipality air quality work: </w:t>
      </w:r>
      <w:hyperlink w:history="1" r:id="rIdcbn3tkudqarlfwzr1bi7f">
        <w:r>
          <w:rPr>
            <w:rStyle w:val="Hyperlink"/>
            <w:sz w:val="22"/>
            <w:szCs w:val="22"/>
          </w:rPr>
          <w:t xml:space="preserve">sundsvall.se</w:t>
        </w:r>
      </w:hyperlink>
    </w:p>
    <w:p>
      <w:pPr>
        <w:pStyle w:val="ListParagraph"/>
        <w:numPr>
          <w:ilvl w:val="0"/>
          <w:numId w:val="10"/>
        </w:numPr>
        <w:spacing w:after="80" w:line="276"/>
      </w:pPr>
      <w:r>
        <w:rPr>
          <w:sz w:val="22"/>
          <w:szCs w:val="22"/>
        </w:rPr>
        <w:t xml:space="preserve">Copernicus Data Space (Sentinel-5P): </w:t>
      </w:r>
      <w:hyperlink w:history="1" r:id="rIdu82dvxxdeochcnaptsvo7">
        <w:r>
          <w:rPr>
            <w:rStyle w:val="Hyperlink"/>
            <w:sz w:val="22"/>
            <w:szCs w:val="22"/>
          </w:rPr>
          <w:t xml:space="preserve">dataspace.copernicus.eu</w:t>
        </w:r>
      </w:hyperlink>
    </w:p>
    <w:p>
      <w:pPr>
        <w:pStyle w:val="ListParagraph"/>
        <w:numPr>
          <w:ilvl w:val="0"/>
          <w:numId w:val="10"/>
        </w:numPr>
        <w:spacing w:after="80" w:line="276"/>
      </w:pPr>
      <w:r>
        <w:rPr>
          <w:sz w:val="22"/>
          <w:szCs w:val="22"/>
        </w:rPr>
        <w:t xml:space="preserve">Copernicus Atmosphere Monitoring Service (CAMS): </w:t>
      </w:r>
      <w:hyperlink w:history="1" r:id="rIddwhxfkcebakd_nko-wcvf">
        <w:r>
          <w:rPr>
            <w:rStyle w:val="Hyperlink"/>
            <w:sz w:val="22"/>
            <w:szCs w:val="22"/>
          </w:rPr>
          <w:t xml:space="preserve">atmosphere.copernicus.eu</w:t>
        </w:r>
      </w:hyperlink>
    </w:p>
    <w:p>
      <w:r>
        <w:br w:type="page"/>
      </w:r>
    </w:p>
    <w:p>
      <w:pPr>
        <w:pStyle w:val="Heading1"/>
      </w:pPr>
      <w:r>
        <w:t xml:space="preserve">7. Use Case 5: Flood Risk Assessment and Impervious Surface Tracking</w:t>
      </w:r>
    </w:p>
    <w:p>
      <w:pPr>
        <w:pStyle w:val="Heading2"/>
      </w:pPr>
      <w:r>
        <w:t xml:space="preserve">7.1 Problem Description</w:t>
      </w:r>
    </w:p>
    <w:p>
      <w:pPr>
        <w:spacing w:after="160" w:line="276"/>
      </w:pPr>
      <w:r>
        <w:rPr>
          <w:sz w:val="22"/>
          <w:szCs w:val="22"/>
        </w:rPr>
        <w:t xml:space="preserve">Västernorrland has experienced significant flooding events, most notably in the summer of 2000 when intense rainfall caused widespread damage to roads, bridges, and buildings. Climate projections indicate more frequent extreme precipitation. As Sundsvall grows and more land is sealed, stormwater runoff increases. Tracking impervious surface coverage over time gives the municipality a dynamic picture of how development affects flood vulnerability.</w:t>
      </w:r>
    </w:p>
    <w:p>
      <w:pPr>
        <w:pStyle w:val="Heading2"/>
      </w:pPr>
      <w:r>
        <w:t xml:space="preserve">7.2 Satellite Data and Technical Approach</w:t>
      </w:r>
    </w:p>
    <w:p>
      <w:pPr>
        <w:spacing w:after="160" w:line="276"/>
      </w:pPr>
      <w:r>
        <w:rPr>
          <w:sz w:val="22"/>
          <w:szCs w:val="22"/>
        </w:rPr>
        <w:t xml:space="preserve">The Copernicus HRL Imperviousness product maps sealed surfaces at 10m resolution. Sentinel-2 time series supplement this with more frequent updates. Sentinel-1 SAR detects surface water during flood events regardless of cloud cover. Combined with LiDAR-derived DEMs from Lantmäteriet, these feed into hydrological models predicting flood extent. The Copernicus Emergency Management Service provides rapid mapping during active events.</w:t>
      </w:r>
    </w:p>
    <w:p>
      <w:pPr>
        <w:pStyle w:val="Heading2"/>
      </w:pPr>
      <w:r>
        <w:t xml:space="preserve">7.3 Prototype Concept</w:t>
      </w:r>
    </w:p>
    <w:p>
      <w:pPr>
        <w:spacing w:after="160" w:line="276"/>
      </w:pPr>
      <w:r>
        <w:rPr>
          <w:sz w:val="22"/>
          <w:szCs w:val="22"/>
        </w:rPr>
        <w:t xml:space="preserve">Change detection analysis of impervious surface evolution over the past decade, combined with a simple hydrological model estimating how sealing has affected stormwater runoff. Presented as a planning tool for simulating the impact of proposed developments.</w:t>
      </w:r>
    </w:p>
    <w:p>
      <w:pPr>
        <w:pStyle w:val="Heading2"/>
      </w:pPr>
      <w:r>
        <w:t xml:space="preserve">7.4 Value to Sundsvall</w:t>
      </w:r>
    </w:p>
    <w:p>
      <w:pPr>
        <w:pStyle w:val="ListParagraph"/>
        <w:numPr>
          <w:ilvl w:val="0"/>
          <w:numId w:val="11"/>
        </w:numPr>
        <w:spacing w:after="80" w:line="276"/>
      </w:pPr>
      <w:r>
        <w:rPr>
          <w:sz w:val="22"/>
          <w:szCs w:val="22"/>
        </w:rPr>
        <w:t xml:space="preserve">Quantified tracking of urban sealing to inform stormwater planning</w:t>
      </w:r>
    </w:p>
    <w:p>
      <w:pPr>
        <w:pStyle w:val="ListParagraph"/>
        <w:numPr>
          <w:ilvl w:val="0"/>
          <w:numId w:val="11"/>
        </w:numPr>
        <w:spacing w:after="80" w:line="276"/>
      </w:pPr>
      <w:r>
        <w:rPr>
          <w:sz w:val="22"/>
          <w:szCs w:val="22"/>
        </w:rPr>
        <w:t xml:space="preserve">Flood risk mapping that updates with new satellite data</w:t>
      </w:r>
    </w:p>
    <w:p>
      <w:pPr>
        <w:pStyle w:val="ListParagraph"/>
        <w:numPr>
          <w:ilvl w:val="0"/>
          <w:numId w:val="11"/>
        </w:numPr>
        <w:spacing w:after="80" w:line="276"/>
      </w:pPr>
      <w:r>
        <w:rPr>
          <w:sz w:val="22"/>
          <w:szCs w:val="22"/>
        </w:rPr>
        <w:t xml:space="preserve">Impact assessment tool for proposed development areas</w:t>
      </w:r>
    </w:p>
    <w:p>
      <w:pPr>
        <w:pStyle w:val="ListParagraph"/>
        <w:numPr>
          <w:ilvl w:val="0"/>
          <w:numId w:val="11"/>
        </w:numPr>
        <w:spacing w:after="80" w:line="276"/>
      </w:pPr>
      <w:r>
        <w:rPr>
          <w:sz w:val="22"/>
          <w:szCs w:val="22"/>
        </w:rPr>
        <w:t xml:space="preserve">Emergency mapping capability via Copernicus EMS</w:t>
      </w:r>
    </w:p>
    <w:p>
      <w:pPr>
        <w:pStyle w:val="Heading2"/>
      </w:pPr>
      <w:r>
        <w:t xml:space="preserve">7.5 References</w:t>
      </w:r>
    </w:p>
    <w:p>
      <w:pPr>
        <w:pStyle w:val="ListParagraph"/>
        <w:numPr>
          <w:ilvl w:val="0"/>
          <w:numId w:val="12"/>
        </w:numPr>
        <w:spacing w:after="80" w:line="276"/>
      </w:pPr>
      <w:r>
        <w:rPr>
          <w:sz w:val="22"/>
          <w:szCs w:val="22"/>
        </w:rPr>
        <w:t xml:space="preserve">Copernicus HRL Imperviousness: </w:t>
      </w:r>
      <w:hyperlink w:history="1" r:id="rIdki5cht1k5_k2uxpvctfyp">
        <w:r>
          <w:rPr>
            <w:rStyle w:val="Hyperlink"/>
            <w:sz w:val="22"/>
            <w:szCs w:val="22"/>
          </w:rPr>
          <w:t xml:space="preserve">land.copernicus.eu</w:t>
        </w:r>
      </w:hyperlink>
    </w:p>
    <w:p>
      <w:pPr>
        <w:pStyle w:val="ListParagraph"/>
        <w:numPr>
          <w:ilvl w:val="0"/>
          <w:numId w:val="12"/>
        </w:numPr>
        <w:spacing w:after="80" w:line="276"/>
      </w:pPr>
      <w:r>
        <w:rPr>
          <w:sz w:val="22"/>
          <w:szCs w:val="22"/>
        </w:rPr>
        <w:t xml:space="preserve">Copernicus Emergency Management Service: </w:t>
      </w:r>
      <w:hyperlink w:history="1" r:id="rIdanibx_yw4uthe4_ss1s2t">
        <w:r>
          <w:rPr>
            <w:rStyle w:val="Hyperlink"/>
            <w:sz w:val="22"/>
            <w:szCs w:val="22"/>
          </w:rPr>
          <w:t xml:space="preserve">mapping.emergency.copernicus.eu</w:t>
        </w:r>
      </w:hyperlink>
    </w:p>
    <w:p>
      <w:pPr>
        <w:pStyle w:val="ListParagraph"/>
        <w:numPr>
          <w:ilvl w:val="0"/>
          <w:numId w:val="12"/>
        </w:numPr>
        <w:spacing w:after="80" w:line="276"/>
      </w:pPr>
      <w:r>
        <w:rPr>
          <w:sz w:val="22"/>
          <w:szCs w:val="22"/>
        </w:rPr>
        <w:t xml:space="preserve">SVT — Flooding in Västernorrland 2000: </w:t>
      </w:r>
      <w:hyperlink w:history="1" r:id="rId86nn3pgkl3tgwfrdik_11">
        <w:r>
          <w:rPr>
            <w:rStyle w:val="Hyperlink"/>
            <w:sz w:val="22"/>
            <w:szCs w:val="22"/>
          </w:rPr>
          <w:t xml:space="preserve">svt.se</w:t>
        </w:r>
      </w:hyperlink>
    </w:p>
    <w:p>
      <w:r>
        <w:br w:type="page"/>
      </w:r>
    </w:p>
    <w:p>
      <w:pPr>
        <w:pStyle w:val="Heading1"/>
      </w:pPr>
      <w:r>
        <w:t xml:space="preserve">8. Use Case 6: Urban Sprawl and Land Use Change Detection</w:t>
      </w:r>
    </w:p>
    <w:p>
      <w:pPr>
        <w:pStyle w:val="Heading2"/>
      </w:pPr>
      <w:r>
        <w:t xml:space="preserve">8.1 Problem Description</w:t>
      </w:r>
    </w:p>
    <w:p>
      <w:pPr>
        <w:spacing w:after="160" w:line="276"/>
      </w:pPr>
      <w:r>
        <w:rPr>
          <w:sz w:val="22"/>
          <w:szCs w:val="22"/>
        </w:rPr>
        <w:t xml:space="preserve">Tracking urban growth — where new construction occurs, where green space is lost, whether development follows the comprehensive plan — is fundamental to municipal planning. Satellite data offers systematic, objective coverage at regular intervals that complements building permit records and periodic aerial photography.</w:t>
      </w:r>
    </w:p>
    <w:p>
      <w:pPr>
        <w:pStyle w:val="Heading2"/>
      </w:pPr>
      <w:r>
        <w:t xml:space="preserve">8.2 Satellite Data and Technical Approach</w:t>
      </w:r>
    </w:p>
    <w:p>
      <w:pPr>
        <w:spacing w:after="160" w:line="276"/>
      </w:pPr>
      <w:r>
        <w:rPr>
          <w:sz w:val="22"/>
          <w:szCs w:val="22"/>
        </w:rPr>
        <w:t xml:space="preserve">Sentinel-2 at 10m resolution every five days provides the primary source. Automated change detection algorithms identify new construction, vegetation clearing, and land use changes. The Copernicus CORINE Land Cover dataset and Urban Atlas provide baseline classifications. The IDB’s URSA tool demonstrates how satellite data can measure expansion and simulate growth scenarios.</w:t>
      </w:r>
    </w:p>
    <w:p>
      <w:pPr>
        <w:pStyle w:val="Heading2"/>
      </w:pPr>
      <w:r>
        <w:t xml:space="preserve">8.3 Prototype Concept</w:t>
      </w:r>
    </w:p>
    <w:p>
      <w:pPr>
        <w:spacing w:after="160" w:line="276"/>
      </w:pPr>
      <w:r>
        <w:rPr>
          <w:sz w:val="22"/>
          <w:szCs w:val="22"/>
        </w:rPr>
        <w:t xml:space="preserve">Time-lapse change detection of Sundsvall from 2015 to present, overlaid with the översiktsplan zoning. An interactive map letting planners query specific areas for their change history.</w:t>
      </w:r>
    </w:p>
    <w:p>
      <w:pPr>
        <w:pStyle w:val="Heading2"/>
      </w:pPr>
      <w:r>
        <w:t xml:space="preserve">8.4 References</w:t>
      </w:r>
    </w:p>
    <w:p>
      <w:pPr>
        <w:pStyle w:val="ListParagraph"/>
        <w:numPr>
          <w:ilvl w:val="0"/>
          <w:numId w:val="13"/>
        </w:numPr>
        <w:spacing w:after="80" w:line="276"/>
      </w:pPr>
      <w:r>
        <w:rPr>
          <w:sz w:val="22"/>
          <w:szCs w:val="22"/>
        </w:rPr>
        <w:t xml:space="preserve">URSA, IDB: </w:t>
      </w:r>
      <w:hyperlink w:history="1" r:id="rIdilodqkg7m2xdl9nt85bvk">
        <w:r>
          <w:rPr>
            <w:rStyle w:val="Hyperlink"/>
            <w:sz w:val="22"/>
            <w:szCs w:val="22"/>
          </w:rPr>
          <w:t xml:space="preserve">blogs.iadb.org</w:t>
        </w:r>
      </w:hyperlink>
    </w:p>
    <w:p>
      <w:pPr>
        <w:pStyle w:val="ListParagraph"/>
        <w:numPr>
          <w:ilvl w:val="0"/>
          <w:numId w:val="13"/>
        </w:numPr>
        <w:spacing w:after="80" w:line="276"/>
      </w:pPr>
      <w:r>
        <w:rPr>
          <w:sz w:val="22"/>
          <w:szCs w:val="22"/>
        </w:rPr>
        <w:t xml:space="preserve">Copernicus CORINE Land Cover: </w:t>
      </w:r>
      <w:hyperlink w:history="1" r:id="rIddlcqpz6_a82iwxbqtipgu">
        <w:r>
          <w:rPr>
            <w:rStyle w:val="Hyperlink"/>
            <w:sz w:val="22"/>
            <w:szCs w:val="22"/>
          </w:rPr>
          <w:t xml:space="preserve">land.copernicus.eu</w:t>
        </w:r>
      </w:hyperlink>
    </w:p>
    <w:p>
      <w:pPr>
        <w:pStyle w:val="ListParagraph"/>
        <w:numPr>
          <w:ilvl w:val="0"/>
          <w:numId w:val="13"/>
        </w:numPr>
        <w:spacing w:after="80" w:line="276"/>
      </w:pPr>
      <w:r>
        <w:rPr>
          <w:sz w:val="22"/>
          <w:szCs w:val="22"/>
        </w:rPr>
        <w:t xml:space="preserve">ESA — Satellite data for sustainable urban growth: </w:t>
      </w:r>
      <w:hyperlink w:history="1" r:id="rIdlukrqblb0flimwjigus2g">
        <w:r>
          <w:rPr>
            <w:rStyle w:val="Hyperlink"/>
            <w:sz w:val="22"/>
            <w:szCs w:val="22"/>
          </w:rPr>
          <w:t xml:space="preserve">earth.esa.int</w:t>
        </w:r>
      </w:hyperlink>
    </w:p>
    <w:p>
      <w:r>
        <w:br w:type="page"/>
      </w:r>
    </w:p>
    <w:p>
      <w:pPr>
        <w:pStyle w:val="Heading1"/>
      </w:pPr>
      <w:r>
        <w:t xml:space="preserve">9. Use Case 7: Forest Health, Fire Risk, and Vegetation Monitoring</w:t>
      </w:r>
    </w:p>
    <w:p>
      <w:pPr>
        <w:pStyle w:val="Heading2"/>
      </w:pPr>
      <w:r>
        <w:t xml:space="preserve">9.1 Problem Description</w:t>
      </w:r>
    </w:p>
    <w:p>
      <w:pPr>
        <w:spacing w:after="160" w:line="276"/>
      </w:pPr>
      <w:r>
        <w:rPr>
          <w:sz w:val="22"/>
          <w:szCs w:val="22"/>
        </w:rPr>
        <w:t xml:space="preserve">Sundsvall is surrounded by boreal forest, and climate change is increasing fire risk in Sweden (cf. 2018 fire season). Monitoring forest health — drought stress, bark beetle infestations, storm damage — is important for land management and for wildfire risk in the urban–wildland interface. The municipality has identified preservation of tätortsnära skogar (Norra Berget, Södra Berget, Sidsjön) as a priority.</w:t>
      </w:r>
    </w:p>
    <w:p>
      <w:pPr>
        <w:pStyle w:val="Heading2"/>
      </w:pPr>
      <w:r>
        <w:t xml:space="preserve">9.2 Satellite Data and Technical Approach</w:t>
      </w:r>
    </w:p>
    <w:p>
      <w:pPr>
        <w:spacing w:after="160" w:line="276"/>
      </w:pPr>
      <w:r>
        <w:rPr>
          <w:sz w:val="22"/>
          <w:szCs w:val="22"/>
        </w:rPr>
        <w:t xml:space="preserve">Sentinel-2 vegetation indices (NDVI, EVI, NDMI) at 10m resolution detect forest health changes. Time series across growing seasons reveal drought stress and defoliation. Copernicus provides Tree Cover Density and Forest Type products. Normalized Burn Ratio (NBR) and moisture indices combined with SMHI weather data produce fire danger maps.</w:t>
      </w:r>
    </w:p>
    <w:p>
      <w:pPr>
        <w:pStyle w:val="Heading2"/>
      </w:pPr>
      <w:r>
        <w:t xml:space="preserve">9.3 Prototype Concept</w:t>
      </w:r>
    </w:p>
    <w:p>
      <w:pPr>
        <w:spacing w:after="160" w:line="276"/>
      </w:pPr>
      <w:r>
        <w:rPr>
          <w:sz w:val="22"/>
          <w:szCs w:val="22"/>
        </w:rPr>
        <w:t xml:space="preserve">A forest health dashboard for the municipality area, flagging vegetation stress anomalies. During fire season, augmented with a fire risk index combining satellite-derived dryness with weather forecasts.</w:t>
      </w:r>
    </w:p>
    <w:p>
      <w:pPr>
        <w:pStyle w:val="Heading2"/>
      </w:pPr>
      <w:r>
        <w:t xml:space="preserve">9.4 References</w:t>
      </w:r>
    </w:p>
    <w:p>
      <w:pPr>
        <w:pStyle w:val="ListParagraph"/>
        <w:numPr>
          <w:ilvl w:val="0"/>
          <w:numId w:val="14"/>
        </w:numPr>
        <w:spacing w:after="80" w:line="276"/>
      </w:pPr>
      <w:r>
        <w:rPr>
          <w:sz w:val="22"/>
          <w:szCs w:val="22"/>
        </w:rPr>
        <w:t xml:space="preserve">Copernicus Tree Cover Density: </w:t>
      </w:r>
      <w:hyperlink w:history="1" r:id="rIduwx-yv6qjqrcmw_xodjsv">
        <w:r>
          <w:rPr>
            <w:rStyle w:val="Hyperlink"/>
            <w:sz w:val="22"/>
            <w:szCs w:val="22"/>
          </w:rPr>
          <w:t xml:space="preserve">land.copernicus.eu</w:t>
        </w:r>
      </w:hyperlink>
    </w:p>
    <w:p>
      <w:pPr>
        <w:pStyle w:val="ListParagraph"/>
        <w:numPr>
          <w:ilvl w:val="0"/>
          <w:numId w:val="14"/>
        </w:numPr>
        <w:spacing w:after="80" w:line="276"/>
      </w:pPr>
      <w:r>
        <w:rPr>
          <w:sz w:val="22"/>
          <w:szCs w:val="22"/>
        </w:rPr>
        <w:t xml:space="preserve">European Forest Fire Information System: </w:t>
      </w:r>
      <w:hyperlink w:history="1" r:id="rIdjx_5rg1p-5jj_mroa3gmj">
        <w:r>
          <w:rPr>
            <w:rStyle w:val="Hyperlink"/>
            <w:sz w:val="22"/>
            <w:szCs w:val="22"/>
          </w:rPr>
          <w:t xml:space="preserve">effis.jrc.ec.europa.eu</w:t>
        </w:r>
      </w:hyperlink>
    </w:p>
    <w:p>
      <w:pPr>
        <w:pStyle w:val="ListParagraph"/>
        <w:numPr>
          <w:ilvl w:val="0"/>
          <w:numId w:val="14"/>
        </w:numPr>
        <w:spacing w:after="80" w:line="276"/>
      </w:pPr>
      <w:r>
        <w:rPr>
          <w:sz w:val="22"/>
          <w:szCs w:val="22"/>
        </w:rPr>
        <w:t xml:space="preserve">Skogsstyrelsen: </w:t>
      </w:r>
      <w:hyperlink w:history="1" r:id="rIdc3_uhqwc942ias9nsdbwm">
        <w:r>
          <w:rPr>
            <w:rStyle w:val="Hyperlink"/>
            <w:sz w:val="22"/>
            <w:szCs w:val="22"/>
          </w:rPr>
          <w:t xml:space="preserve">skogsstyrelsen.se</w:t>
        </w:r>
      </w:hyperlink>
    </w:p>
    <w:p>
      <w:r>
        <w:br w:type="page"/>
      </w:r>
    </w:p>
    <w:p>
      <w:pPr>
        <w:pStyle w:val="Heading1"/>
      </w:pPr>
      <w:r>
        <w:t xml:space="preserve">10. Use Case 8: Solar Energy Potential Mapping</w:t>
      </w:r>
    </w:p>
    <w:p>
      <w:pPr>
        <w:pStyle w:val="Heading2"/>
      </w:pPr>
      <w:r>
        <w:t xml:space="preserve">10.1 Problem Description</w:t>
      </w:r>
    </w:p>
    <w:p>
      <w:pPr>
        <w:spacing w:after="160" w:line="276"/>
      </w:pPr>
      <w:r>
        <w:rPr>
          <w:sz w:val="22"/>
          <w:szCs w:val="22"/>
        </w:rPr>
        <w:t xml:space="preserve">Sundsvall has expressed interest in solar energy, including proposals for solar parks on contaminated former industrial sites. Satellite-derived solar radiation data provides municipality-wide coverage that complements or replaces expensive ground measurements.</w:t>
      </w:r>
    </w:p>
    <w:p>
      <w:pPr>
        <w:pStyle w:val="Heading2"/>
      </w:pPr>
      <w:r>
        <w:t xml:space="preserve">10.2 Satellite Data and Technical Approach</w:t>
      </w:r>
    </w:p>
    <w:p>
      <w:pPr>
        <w:spacing w:after="160" w:line="276"/>
      </w:pPr>
      <w:r>
        <w:rPr>
          <w:sz w:val="22"/>
          <w:szCs w:val="22"/>
        </w:rPr>
        <w:t xml:space="preserve">The Copernicus Atmosphere Monitoring Service (CAMS) provides surface solar irradiance from Meteosat satellites at ~3km resolution with 15+ year time series. Combined with Lantmäteriet building footprints and LiDAR roof geometry, this enables per-building energy yield estimates.</w:t>
      </w:r>
    </w:p>
    <w:p>
      <w:pPr>
        <w:pStyle w:val="Heading2"/>
      </w:pPr>
      <w:r>
        <w:t xml:space="preserve">10.3 Prototype Concept</w:t>
      </w:r>
    </w:p>
    <w:p>
      <w:pPr>
        <w:spacing w:after="160" w:line="276"/>
      </w:pPr>
      <w:r>
        <w:rPr>
          <w:sz w:val="22"/>
          <w:szCs w:val="22"/>
        </w:rPr>
        <w:t xml:space="preserve">A solar potential map with estimated annual yield per area, potentially as a citizen-facing web application where residents look up their address.</w:t>
      </w:r>
    </w:p>
    <w:p>
      <w:pPr>
        <w:pStyle w:val="Heading2"/>
      </w:pPr>
      <w:r>
        <w:t xml:space="preserve">10.4 References</w:t>
      </w:r>
    </w:p>
    <w:p>
      <w:pPr>
        <w:pStyle w:val="ListParagraph"/>
        <w:numPr>
          <w:ilvl w:val="0"/>
          <w:numId w:val="15"/>
        </w:numPr>
        <w:spacing w:after="80" w:line="276"/>
      </w:pPr>
      <w:r>
        <w:rPr>
          <w:sz w:val="22"/>
          <w:szCs w:val="22"/>
        </w:rPr>
        <w:t xml:space="preserve">CAMS Solar Radiation Service: </w:t>
      </w:r>
      <w:hyperlink w:history="1" r:id="rIdjmspabpfvll4phxirkqnv">
        <w:r>
          <w:rPr>
            <w:rStyle w:val="Hyperlink"/>
            <w:sz w:val="22"/>
            <w:szCs w:val="22"/>
          </w:rPr>
          <w:t xml:space="preserve">ads.atmosphere.copernicus.eu</w:t>
        </w:r>
      </w:hyperlink>
    </w:p>
    <w:p>
      <w:pPr>
        <w:pStyle w:val="ListParagraph"/>
        <w:numPr>
          <w:ilvl w:val="0"/>
          <w:numId w:val="15"/>
        </w:numPr>
        <w:spacing w:after="80" w:line="276"/>
      </w:pPr>
      <w:r>
        <w:rPr>
          <w:sz w:val="22"/>
          <w:szCs w:val="22"/>
        </w:rPr>
        <w:t xml:space="preserve">PVGIS (EU JRC): </w:t>
      </w:r>
      <w:hyperlink w:history="1" r:id="rIdplguoif4rlo9xzv8xqymf">
        <w:r>
          <w:rPr>
            <w:rStyle w:val="Hyperlink"/>
            <w:sz w:val="22"/>
            <w:szCs w:val="22"/>
          </w:rPr>
          <w:t xml:space="preserve">re.jrc.ec.europa.eu/pvg_tools</w:t>
        </w:r>
      </w:hyperlink>
    </w:p>
    <w:p>
      <w:r>
        <w:br w:type="page"/>
      </w:r>
    </w:p>
    <w:p>
      <w:pPr>
        <w:pStyle w:val="Heading1"/>
      </w:pPr>
      <w:r>
        <w:t xml:space="preserve">11. Use Case 9: Snow and Winter Road Management</w:t>
      </w:r>
    </w:p>
    <w:p>
      <w:pPr>
        <w:pStyle w:val="Heading2"/>
      </w:pPr>
      <w:r>
        <w:t xml:space="preserve">11.1 Problem Description</w:t>
      </w:r>
    </w:p>
    <w:p>
      <w:pPr>
        <w:spacing w:after="160" w:line="276"/>
      </w:pPr>
      <w:r>
        <w:rPr>
          <w:sz w:val="22"/>
          <w:szCs w:val="22"/>
        </w:rPr>
        <w:t xml:space="preserve">Winter road maintenance is a major operational cost. Satellite data can provide broader spatial context about snow distribution, though it cannot replace ground-level road condition monitoring.</w:t>
      </w:r>
    </w:p>
    <w:p>
      <w:pPr>
        <w:pStyle w:val="Heading2"/>
      </w:pPr>
      <w:r>
        <w:t xml:space="preserve">11.2 Satellite Data and Technical Approach</w:t>
      </w:r>
    </w:p>
    <w:p>
      <w:pPr>
        <w:spacing w:after="160" w:line="276"/>
      </w:pPr>
      <w:r>
        <w:rPr>
          <w:sz w:val="22"/>
          <w:szCs w:val="22"/>
        </w:rPr>
        <w:t xml:space="preserve">Sentinel-1 SAR detects snow cover and wet/dry conditions independent of daylight or clouds. The Copernicus High Resolution Snow &amp; Ice product provides near-daily updates. This use case has the highest uncertainty regarding practical value and should be treated as a feasibility test.</w:t>
      </w:r>
    </w:p>
    <w:p>
      <w:pPr>
        <w:pStyle w:val="Heading2"/>
      </w:pPr>
      <w:r>
        <w:t xml:space="preserve">11.3 References</w:t>
      </w:r>
    </w:p>
    <w:p>
      <w:pPr>
        <w:pStyle w:val="ListParagraph"/>
        <w:numPr>
          <w:ilvl w:val="0"/>
          <w:numId w:val="16"/>
        </w:numPr>
        <w:spacing w:after="80" w:line="276"/>
      </w:pPr>
      <w:r>
        <w:rPr>
          <w:sz w:val="22"/>
          <w:szCs w:val="22"/>
        </w:rPr>
        <w:t xml:space="preserve">Copernicus HR Snow &amp; Ice: </w:t>
      </w:r>
      <w:hyperlink w:history="1" r:id="rId1hc4pizjbkufumk9aqqv9">
        <w:r>
          <w:rPr>
            <w:rStyle w:val="Hyperlink"/>
            <w:sz w:val="22"/>
            <w:szCs w:val="22"/>
          </w:rPr>
          <w:t xml:space="preserve">land.copernicus.eu</w:t>
        </w:r>
      </w:hyperlink>
    </w:p>
    <w:p>
      <w:pPr>
        <w:pStyle w:val="ListParagraph"/>
        <w:numPr>
          <w:ilvl w:val="0"/>
          <w:numId w:val="16"/>
        </w:numPr>
        <w:spacing w:after="80" w:line="276"/>
      </w:pPr>
      <w:r>
        <w:rPr>
          <w:sz w:val="22"/>
          <w:szCs w:val="22"/>
        </w:rPr>
        <w:t xml:space="preserve">SMHI open data: </w:t>
      </w:r>
      <w:hyperlink w:history="1" r:id="rIdl891kxjdselxsn-jszaao">
        <w:r>
          <w:rPr>
            <w:rStyle w:val="Hyperlink"/>
            <w:sz w:val="22"/>
            <w:szCs w:val="22"/>
          </w:rPr>
          <w:t xml:space="preserve">opendata.smhi.se</w:t>
        </w:r>
      </w:hyperlink>
    </w:p>
    <w:p>
      <w:r>
        <w:br w:type="page"/>
      </w:r>
    </w:p>
    <w:p>
      <w:pPr>
        <w:pStyle w:val="Heading1"/>
      </w:pPr>
      <w:r>
        <w:t xml:space="preserve">12. Compound Use Cases: Cross-Referencing for New Value</w:t>
      </w:r>
    </w:p>
    <w:p>
      <w:pPr>
        <w:spacing w:after="160" w:line="276"/>
      </w:pPr>
      <w:r>
        <w:rPr>
          <w:sz w:val="22"/>
          <w:szCs w:val="22"/>
        </w:rPr>
        <w:t xml:space="preserve">The individual use cases above describe applications of satellite data that are well-documented in the literature. The compound use cases below represent the higher-value opportunity: applications where cross-referencing multiple satellite data sources with each other and with municipal data creates insights that no single dataset can provide alone. These are where this project can most clearly create genuine innovation rather than repackaging existing Copernicus products.</w:t>
      </w:r>
    </w:p>
    <w:p>
      <w:pPr>
        <w:spacing w:after="160" w:line="276"/>
      </w:pPr>
      <w:r>
        <w:rPr>
          <w:b/>
          <w:bCs/>
          <w:sz w:val="22"/>
          <w:szCs w:val="22"/>
        </w:rPr>
        <w:t xml:space="preserve">The core principle: </w:t>
      </w:r>
      <w:r>
        <w:rPr>
          <w:sz w:val="22"/>
          <w:szCs w:val="22"/>
        </w:rPr>
        <w:t xml:space="preserve">satellite data source A + satellite data source B + municipal data source C = new insight that none of A, B, or C could produce independently.</w:t>
      </w:r>
    </w:p>
    <w:p>
      <w:pPr>
        <w:pStyle w:val="Heading2"/>
      </w:pPr>
      <w:r>
        <w:t xml:space="preserve">12.1 Climate Justice Map — Heat × Air Quality × Green Space × Demographics</w:t>
      </w:r>
    </w:p>
    <w:p>
      <w:pPr>
        <w:spacing w:after="160" w:line="276"/>
      </w:pPr>
      <w:r>
        <w:rPr>
          <w:b/>
          <w:bCs/>
          <w:sz w:val="22"/>
          <w:szCs w:val="22"/>
        </w:rPr>
        <w:t xml:space="preserve">Data sources combined: </w:t>
      </w:r>
      <w:r>
        <w:rPr>
          <w:sz w:val="22"/>
          <w:szCs w:val="22"/>
        </w:rPr>
        <w:t xml:space="preserve">Landsat thermal (surface temperature) + Sentinel-2 NDVI (vegetation) + Sentinel-5P NO₂/aerosol (air quality) + Copernicus HRL Imperviousness (sealed surfaces) + SCB/municipal demographic data (age, income, density).</w:t>
      </w:r>
    </w:p>
    <w:p>
      <w:pPr>
        <w:spacing w:after="160" w:line="276"/>
      </w:pPr>
      <w:r>
        <w:rPr>
          <w:sz w:val="22"/>
          <w:szCs w:val="22"/>
        </w:rPr>
        <w:t xml:space="preserve">No single dataset tells the full story, but layered together they produce a climate vulnerability index that identifies neighborhoods where heat stress, poor air quality, insufficient green space, and vulnerable populations (elderly, children, low-income) overlap. The output is a map that directly informs where to invest in urban greening, where to locate climate shelters, and which areas to prioritize in the översiktsplan. Cities like Barcelona and Seville have implemented similar compound approaches with demonstrated impact on climate adaptation policy. For Sundsvall, with its topographic trapping of both heat and air pollution in the valley, this analysis could reveal patterns not visible from any single data layer.</w:t>
      </w:r>
    </w:p>
    <w:p>
      <w:pPr>
        <w:spacing w:after="160" w:line="276"/>
      </w:pPr>
      <w:r>
        <w:rPr>
          <w:b/>
          <w:bCs/>
          <w:sz w:val="22"/>
          <w:szCs w:val="22"/>
        </w:rPr>
        <w:t xml:space="preserve">Novel value: </w:t>
      </w:r>
      <w:r>
        <w:rPr>
          <w:sz w:val="22"/>
          <w:szCs w:val="22"/>
        </w:rPr>
        <w:t xml:space="preserve">Moves beyond “where is it hot?” to “where is it hot AND poorly ventilated AND lacking green space AND home to vulnerable populations?” This is a planning tool, not just a monitoring tool.</w:t>
      </w:r>
    </w:p>
    <w:p>
      <w:pPr>
        <w:pStyle w:val="Heading2"/>
      </w:pPr>
      <w:r>
        <w:t xml:space="preserve">12.2 Dynamic Landslide Risk Score — InSAR × Precipitation × Vegetation Change × Geology</w:t>
      </w:r>
    </w:p>
    <w:p>
      <w:pPr>
        <w:spacing w:after="160" w:line="276"/>
      </w:pPr>
      <w:r>
        <w:rPr>
          <w:b/>
          <w:bCs/>
          <w:sz w:val="22"/>
          <w:szCs w:val="22"/>
        </w:rPr>
        <w:t xml:space="preserve">Data sources combined: </w:t>
      </w:r>
      <w:r>
        <w:rPr>
          <w:sz w:val="22"/>
          <w:szCs w:val="22"/>
        </w:rPr>
        <w:t xml:space="preserve">InSAR/EGMS ground deformation data + SMHI precipitation (rainfall intensity, soil saturation) + Sentinel-2 NDVI change detection (vegetation removal) + SGU/SGI geological maps (marine clay deposits, quick clay risk zones).</w:t>
      </w:r>
    </w:p>
    <w:p>
      <w:pPr>
        <w:spacing w:after="160" w:line="276"/>
      </w:pPr>
      <w:r>
        <w:rPr>
          <w:sz w:val="22"/>
          <w:szCs w:val="22"/>
        </w:rPr>
        <w:t xml:space="preserve">InSAR alone tells you the ground is moving. But why it’s moving and when it’s about to get worse requires cross-referencing. The compound output is a dynamic risk score that escalates when multiple indicators align — for example, an area with known clay deposits showing accelerating InSAR deformation during a period of heavy rainfall after recent vegetation clearing. Research has demonstrated that combining vegetation index change detection with InSAR data significantly improves landslide risk assessment, since tree removal eliminates root stabilization, a known trigger factor.</w:t>
      </w:r>
    </w:p>
    <w:p>
      <w:pPr>
        <w:spacing w:after="160" w:line="276"/>
      </w:pPr>
      <w:r>
        <w:rPr>
          <w:b/>
          <w:bCs/>
          <w:sz w:val="22"/>
          <w:szCs w:val="22"/>
        </w:rPr>
        <w:t xml:space="preserve">Novel value: </w:t>
      </w:r>
      <w:r>
        <w:rPr>
          <w:sz w:val="22"/>
          <w:szCs w:val="22"/>
        </w:rPr>
        <w:t xml:space="preserve">Transforms static geological risk maps into a dynamic, time-varying risk assessment. This is Sundsvall-specific value that directly addresses the municipality’s coastal clay geology.</w:t>
      </w:r>
    </w:p>
    <w:p>
      <w:pPr>
        <w:pStyle w:val="Heading2"/>
      </w:pPr>
      <w:r>
        <w:t xml:space="preserve">12.3 Sewer and Water Network Stress Detection — InSAR × Imperviousness Change × Pipe Registry</w:t>
      </w:r>
    </w:p>
    <w:p>
      <w:pPr>
        <w:spacing w:after="160" w:line="276"/>
      </w:pPr>
      <w:r>
        <w:rPr>
          <w:b/>
          <w:bCs/>
          <w:sz w:val="22"/>
          <w:szCs w:val="22"/>
        </w:rPr>
        <w:t xml:space="preserve">Data sources combined: </w:t>
      </w:r>
      <w:r>
        <w:rPr>
          <w:sz w:val="22"/>
          <w:szCs w:val="22"/>
        </w:rPr>
        <w:t xml:space="preserve">InSAR ground deformation along pipe routes + Sentinel-2 imperviousness change (new development load) + MSVA pipe registry (age, material, diameter, failure history).</w:t>
      </w:r>
    </w:p>
    <w:p>
      <w:pPr>
        <w:spacing w:after="160" w:line="276"/>
      </w:pPr>
      <w:r>
        <w:rPr>
          <w:sz w:val="22"/>
          <w:szCs w:val="22"/>
        </w:rPr>
        <w:t xml:space="preserve">InSAR data can reveal millimeter-level ground movement along water and sewer network routes, detecting subsidence and unstable ground that threatens pipe integrity. But the actionable insight comes from combining this with municipal data: where old pipes (e.g., clay or concrete from the 1960s) in subsiding ground are simultaneously receiving increased stormwater loads from nearby new development, the failure risk compounds. The Danish Copernicus user stories publication specifically highlights satellite-based sewer surveillance as a proven municipal application.</w:t>
      </w:r>
    </w:p>
    <w:p>
      <w:pPr>
        <w:spacing w:after="160" w:line="276"/>
      </w:pPr>
      <w:r>
        <w:rPr>
          <w:b/>
          <w:bCs/>
          <w:sz w:val="22"/>
          <w:szCs w:val="22"/>
        </w:rPr>
        <w:t xml:space="preserve">Novel value: </w:t>
      </w:r>
      <w:r>
        <w:rPr>
          <w:sz w:val="22"/>
          <w:szCs w:val="22"/>
        </w:rPr>
        <w:t xml:space="preserve">Creates a pipe failure risk prioritization map that directly helps MSVA allocate replacement and rehabilitation budgets. Neither the satellite data nor the pipe registry alone can produce this prioritization.</w:t>
      </w:r>
    </w:p>
    <w:p>
      <w:pPr>
        <w:pStyle w:val="Heading2"/>
      </w:pPr>
      <w:r>
        <w:t xml:space="preserve">12.4 Coastal Pollution Event Attribution — Water Quality × Atmospheric Emissions × Weather</w:t>
      </w:r>
    </w:p>
    <w:p>
      <w:pPr>
        <w:spacing w:after="160" w:line="276"/>
      </w:pPr>
      <w:r>
        <w:rPr>
          <w:b/>
          <w:bCs/>
          <w:sz w:val="22"/>
          <w:szCs w:val="22"/>
        </w:rPr>
        <w:t xml:space="preserve">Data sources combined: </w:t>
      </w:r>
      <w:r>
        <w:rPr>
          <w:sz w:val="22"/>
          <w:szCs w:val="22"/>
        </w:rPr>
        <w:t xml:space="preserve">Sentinel-2 water quality indices (turbidity, chlorophyll-a, CDOM) + Sentinel-5P NO₂/SO₂ (atmospheric deposition from industrial sources) + SMHI wind direction, precipitation, and current data.</w:t>
      </w:r>
    </w:p>
    <w:p>
      <w:pPr>
        <w:spacing w:after="160" w:line="276"/>
      </w:pPr>
      <w:r>
        <w:rPr>
          <w:sz w:val="22"/>
          <w:szCs w:val="22"/>
        </w:rPr>
        <w:t xml:space="preserve">The legacy pollution in Sundsvallsbukten is documented, but understanding ongoing sources requires cross-referencing. When satellite data detects elevated turbidity or algal activity in the bay, the system cross-references with recent rainfall (surface runoff events), wind direction (atmospheric deposition from Kubal or SCA/Essity), and current patterns to suggest the most likely source. This gives miljökontoret an independent, evidence-based pollution attribution tool.</w:t>
      </w:r>
    </w:p>
    <w:p>
      <w:pPr>
        <w:spacing w:after="160" w:line="276"/>
      </w:pPr>
      <w:r>
        <w:rPr>
          <w:b/>
          <w:bCs/>
          <w:sz w:val="22"/>
          <w:szCs w:val="22"/>
        </w:rPr>
        <w:t xml:space="preserve">Novel value: </w:t>
      </w:r>
      <w:r>
        <w:rPr>
          <w:sz w:val="22"/>
          <w:szCs w:val="22"/>
        </w:rPr>
        <w:t xml:space="preserve">Shifts from “water quality is poor” to “water quality degraded on this date, most likely due to this source, via this transport mechanism.” This is forensic environmental monitoring.</w:t>
      </w:r>
    </w:p>
    <w:p>
      <w:pPr>
        <w:pStyle w:val="Heading2"/>
      </w:pPr>
      <w:r>
        <w:t xml:space="preserve">12.5 Urban Development Impact Simulator — Land Use Change × Imperviousness × Flood Model × Heat Model</w:t>
      </w:r>
    </w:p>
    <w:p>
      <w:pPr>
        <w:spacing w:after="160" w:line="276"/>
      </w:pPr>
      <w:r>
        <w:rPr>
          <w:b/>
          <w:bCs/>
          <w:sz w:val="22"/>
          <w:szCs w:val="22"/>
        </w:rPr>
        <w:t xml:space="preserve">Data sources combined: </w:t>
      </w:r>
      <w:r>
        <w:rPr>
          <w:sz w:val="22"/>
          <w:szCs w:val="22"/>
        </w:rPr>
        <w:t xml:space="preserve">Historical Sentinel-2 change detection (empirical relationship: development → imperviousness increase → green space loss → temperature change) + LiDAR elevation model (drainage topology) + Copernicus HRL Imperviousness (baseline).</w:t>
      </w:r>
    </w:p>
    <w:p>
      <w:pPr>
        <w:spacing w:after="160" w:line="276"/>
      </w:pPr>
      <w:r>
        <w:rPr>
          <w:sz w:val="22"/>
          <w:szCs w:val="22"/>
        </w:rPr>
        <w:t xml:space="preserve">Instead of retrospectively tracking what has happened, this combination creates a forward-looking planning tool. When a new development area is proposed in the ÖP, the tool estimates the likely impact on local surface temperature (from green space loss), stormwater peak flow (from imperviousness increase), and flood risk. The empirical relationships are derived from historical satellite observations of how previous developments in Sundsvall actually affected these parameters.</w:t>
      </w:r>
    </w:p>
    <w:p>
      <w:pPr>
        <w:spacing w:after="160" w:line="276"/>
      </w:pPr>
      <w:r>
        <w:rPr>
          <w:b/>
          <w:bCs/>
          <w:sz w:val="22"/>
          <w:szCs w:val="22"/>
        </w:rPr>
        <w:t xml:space="preserve">Novel value: </w:t>
      </w:r>
      <w:r>
        <w:rPr>
          <w:sz w:val="22"/>
          <w:szCs w:val="22"/>
        </w:rPr>
        <w:t xml:space="preserve">Gives stadsbyggnadskontoret quantified evidence for requiring green infrastructure, permeable surfaces, or compensatory planting in new developments. The satellite data is calibrated to Sundsvall’s actual conditions, not generic models.</w:t>
      </w:r>
    </w:p>
    <w:p>
      <w:pPr>
        <w:pStyle w:val="Heading2"/>
      </w:pPr>
      <w:r>
        <w:t xml:space="preserve">12.6 Wildfire Urban Interface Vulnerability — Vegetation Dryness × Wind Exposure × Building Proximity</w:t>
      </w:r>
    </w:p>
    <w:p>
      <w:pPr>
        <w:spacing w:after="160" w:line="276"/>
      </w:pPr>
      <w:r>
        <w:rPr>
          <w:b/>
          <w:bCs/>
          <w:sz w:val="22"/>
          <w:szCs w:val="22"/>
        </w:rPr>
        <w:t xml:space="preserve">Data sources combined: </w:t>
      </w:r>
      <w:r>
        <w:rPr>
          <w:sz w:val="22"/>
          <w:szCs w:val="22"/>
        </w:rPr>
        <w:t xml:space="preserve">Sentinel-2 moisture stress indices (NDMI, NBR) + LiDAR terrain model + SMHI wind data + municipal building footprints.</w:t>
      </w:r>
    </w:p>
    <w:p>
      <w:pPr>
        <w:spacing w:after="160" w:line="276"/>
      </w:pPr>
      <w:r>
        <w:rPr>
          <w:sz w:val="22"/>
          <w:szCs w:val="22"/>
        </w:rPr>
        <w:t xml:space="preserve">Sundsvall’s position between forested hills makes the wildland–urban interface a genuine risk. This compound analysis identifies which residential areas face the greatest fire spread risk by combining satellite-derived forest dryness, terrain-based wind exposure modeling, and proximity to buildings. Neither forest data nor urban data creates this insight alone.</w:t>
      </w:r>
    </w:p>
    <w:p>
      <w:pPr>
        <w:spacing w:after="160" w:line="276"/>
      </w:pPr>
      <w:r>
        <w:rPr>
          <w:b/>
          <w:bCs/>
          <w:sz w:val="22"/>
          <w:szCs w:val="22"/>
        </w:rPr>
        <w:t xml:space="preserve">Novel value: </w:t>
      </w:r>
      <w:r>
        <w:rPr>
          <w:sz w:val="22"/>
          <w:szCs w:val="22"/>
        </w:rPr>
        <w:t xml:space="preserve">An operational tool for Räddningstjänsten to prioritize evacuation planning and preventive vegetation management in the urban–forest interface zone.</w:t>
      </w:r>
    </w:p>
    <w:p>
      <w:pPr>
        <w:pStyle w:val="Heading2"/>
      </w:pPr>
      <w:r>
        <w:t xml:space="preserve">12.7 Green Infrastructure Effectiveness Tracker — NDVI Change × Temperature Change × Imperviousness Change</w:t>
      </w:r>
    </w:p>
    <w:p>
      <w:pPr>
        <w:spacing w:after="160" w:line="276"/>
      </w:pPr>
      <w:r>
        <w:rPr>
          <w:b/>
          <w:bCs/>
          <w:sz w:val="22"/>
          <w:szCs w:val="22"/>
        </w:rPr>
        <w:t xml:space="preserve">Data sources combined: </w:t>
      </w:r>
      <w:r>
        <w:rPr>
          <w:sz w:val="22"/>
          <w:szCs w:val="22"/>
        </w:rPr>
        <w:t xml:space="preserve">Sentinel-2 NDVI time series (vegetation health) + Landsat thermal time series (surface temperature) + Copernicus imperviousness change.</w:t>
      </w:r>
    </w:p>
    <w:p>
      <w:pPr>
        <w:spacing w:after="160" w:line="276"/>
      </w:pPr>
      <w:r>
        <w:rPr>
          <w:sz w:val="22"/>
          <w:szCs w:val="22"/>
        </w:rPr>
        <w:t xml:space="preserve">This is about accountability and evidence-based investment. By tracking the same areas over time with multiple satellite sensors, the municipality can measure the actual impact of greening investments. Did planting trees along a street reduce the surface temperature? Did a new park measurably improve the surrounding microclimate? Did removing pavement and replacing it with permeable surfaces change the stormwater response?</w:t>
      </w:r>
    </w:p>
    <w:p>
      <w:pPr>
        <w:spacing w:after="160" w:line="276"/>
      </w:pPr>
      <w:r>
        <w:rPr>
          <w:b/>
          <w:bCs/>
          <w:sz w:val="22"/>
          <w:szCs w:val="22"/>
        </w:rPr>
        <w:t xml:space="preserve">Novel value: </w:t>
      </w:r>
      <w:r>
        <w:rPr>
          <w:sz w:val="22"/>
          <w:szCs w:val="22"/>
        </w:rPr>
        <w:t xml:space="preserve">Provides an evidence base that demonstrates to politicians and citizens that specific interventions had measurable effects, strengthening the case for continued climate adaptation investment.</w:t>
      </w:r>
    </w:p>
    <w:p>
      <w:pPr>
        <w:pStyle w:val="Heading2"/>
      </w:pPr>
      <w:r>
        <w:t xml:space="preserve">12.8 Citizen Science Validation Layer — Satellite Trends × Citizen Reporting</w:t>
      </w:r>
    </w:p>
    <w:p>
      <w:pPr>
        <w:spacing w:after="160" w:line="276"/>
      </w:pPr>
      <w:r>
        <w:rPr>
          <w:b/>
          <w:bCs/>
          <w:sz w:val="22"/>
          <w:szCs w:val="22"/>
        </w:rPr>
        <w:t xml:space="preserve">Data sources combined: </w:t>
      </w:r>
      <w:r>
        <w:rPr>
          <w:sz w:val="22"/>
          <w:szCs w:val="22"/>
        </w:rPr>
        <w:t xml:space="preserve">Any satellite-derived trend layer + municipal citizen reporting system (e.g., felanmälan, Mitt Sundsvall app).</w:t>
      </w:r>
    </w:p>
    <w:p>
      <w:pPr>
        <w:spacing w:after="160" w:line="276"/>
      </w:pPr>
      <w:r>
        <w:rPr>
          <w:sz w:val="22"/>
          <w:szCs w:val="22"/>
        </w:rPr>
        <w:t xml:space="preserve">Cross-referencing citizen reports (potholes, flooding, tree damage, air quality complaints) with satellite-detected patterns validates and enriches both data sources. Satellite data provides the objective spatial trend; citizen reports provide ground-truth granularity and temporal precision. When a cluster of pothole reports coincides with an InSAR-detected subsidence zone, or flooding complaints correlate with high imperviousness areas, the compound insight is stronger than either source alone.</w:t>
      </w:r>
    </w:p>
    <w:p>
      <w:pPr>
        <w:spacing w:after="160" w:line="276"/>
      </w:pPr>
      <w:r>
        <w:rPr>
          <w:b/>
          <w:bCs/>
          <w:sz w:val="22"/>
          <w:szCs w:val="22"/>
        </w:rPr>
        <w:t xml:space="preserve">Novel value: </w:t>
      </w:r>
      <w:r>
        <w:rPr>
          <w:sz w:val="22"/>
          <w:szCs w:val="22"/>
        </w:rPr>
        <w:t xml:space="preserve">Bridges top-down satellite observation with bottom-up citizen engagement, aligning with the Swedish smart city emphasis on medborgardialog and democratic participation in urban planning.</w:t>
      </w:r>
    </w:p>
    <w:p>
      <w:r>
        <w:br w:type="page"/>
      </w:r>
    </w:p>
    <w:p>
      <w:pPr>
        <w:pStyle w:val="Heading1"/>
      </w:pPr>
      <w:r>
        <w:t xml:space="preserve">13. Prioritization Matrix</w:t>
      </w:r>
    </w:p>
    <w:p>
      <w:pPr>
        <w:spacing w:after="160" w:line="276"/>
      </w:pPr>
      <w:r>
        <w:rPr>
          <w:sz w:val="22"/>
          <w:szCs w:val="22"/>
        </w:rPr>
        <w:t xml:space="preserve">The following matrices rate each use case on four dimensions, each scored 1–5.</w:t>
      </w:r>
    </w:p>
    <w:p>
      <w:pPr>
        <w:pStyle w:val="Heading2"/>
      </w:pPr>
      <w:r>
        <w:t xml:space="preserve">13.1 Individual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1200"/>
        <w:gridCol w:w="1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Citizen Impact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 Support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Satellite Advantage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Feasibility</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Deformation (InSAR)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Urban Heat Island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Flood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 Use Change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Forest &amp; Fire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Solar Potential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Snow &amp; Winter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r>
    </w:tbl>
    <w:p>
      <w:pPr>
        <w:spacing w:after="80"/>
      </w:pPr>
    </w:p>
    <w:p>
      <w:pPr>
        <w:pStyle w:val="Heading2"/>
      </w:pPr>
      <w:r>
        <w:t xml:space="preserve">13.2 Compound Use Cases</w:t>
      </w:r>
    </w:p>
    <w:p>
      <w:pPr>
        <w:spacing w:after="160" w:line="276"/>
      </w:pPr>
      <w:r>
        <w:rPr>
          <w:sz w:val="22"/>
          <w:szCs w:val="22"/>
        </w:rPr>
        <w:t xml:space="preserve">Compound use cases are rated with an additional “Novelty” dimension reflecting the degree to which the cross-referenced output is genuinely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300"/>
        <w:gridCol w:w="1300"/>
        <w:gridCol w:w="1100"/>
        <w:gridCol w:w="1100"/>
        <w:gridCol w:w="14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Compound Use Case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Citizen Impact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 Support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Sat. Advantage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Novelty</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Feasibility</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Climate Justice Map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Landslide Risk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Sewer Network Stress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Pollution Attribution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Impact Sim.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Wildfire Interface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Infra. Tracker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 Science Layer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18</w:t>
            </w:r>
          </w:p>
        </w:tc>
      </w:tr>
    </w:tbl>
    <w:p>
      <w:pPr>
        <w:spacing w:after="80"/>
      </w:pPr>
    </w:p>
    <w:p>
      <w:pPr>
        <w:spacing w:after="160" w:line="276"/>
      </w:pPr>
      <w:r>
        <w:rPr>
          <w:i/>
          <w:iCs/>
          <w:sz w:val="22"/>
          <w:szCs w:val="22"/>
        </w:rPr>
        <w:t xml:space="preserve">Note: Compound use cases naturally score higher because they combine multiple value streams. Feasibility tends to be lower because they require integrating more data sources and the processing pipelines are more complex. The scores are preliminary and should be refined through stakeholder workshops.</w:t>
      </w:r>
    </w:p>
    <w:p>
      <w:r>
        <w:br w:type="page"/>
      </w:r>
    </w:p>
    <w:p>
      <w:pPr>
        <w:pStyle w:val="Heading1"/>
      </w:pPr>
      <w:r>
        <w:t xml:space="preserve">14. Recommended Next Steps</w:t>
      </w:r>
    </w:p>
    <w:p>
      <w:pPr>
        <w:pStyle w:val="Heading2"/>
      </w:pPr>
      <w:r>
        <w:t xml:space="preserve">Phase 1: Stakeholder Discovery (Weeks 1–4)</w:t>
      </w:r>
    </w:p>
    <w:p>
      <w:pPr>
        <w:spacing w:after="160" w:line="276"/>
      </w:pPr>
      <w:r>
        <w:rPr>
          <w:sz w:val="22"/>
          <w:szCs w:val="22"/>
        </w:rPr>
        <w:t xml:space="preserve">Conduct workshops with key municipal departments: stadsbyggnadskontoret, miljökontoret, gata/park, VA/MSVA, Räddningstjänsten, and the GIS team. Present the use case landscape and collaboratively refine the prioritization matrices. The compound use cases should be central to these workshops, as they are where stakeholders from different departments may discover shared data needs.</w:t>
      </w:r>
    </w:p>
    <w:p>
      <w:pPr>
        <w:pStyle w:val="Heading2"/>
      </w:pPr>
      <w:r>
        <w:t xml:space="preserve">Phase 2: Data Assessment and Technical Feasibility (Weeks 3–6)</w:t>
      </w:r>
    </w:p>
    <w:p>
      <w:pPr>
        <w:spacing w:after="160" w:line="276"/>
      </w:pPr>
      <w:r>
        <w:rPr>
          <w:sz w:val="22"/>
          <w:szCs w:val="22"/>
        </w:rPr>
        <w:t xml:space="preserve">For the top 3–4 prioritized use cases, access and examine actual satellite data over Sundsvall, assess quality and coverage (noting the Sentinel-1B gap), identify processing pipelines, and map required municipal data integrations.</w:t>
      </w:r>
    </w:p>
    <w:p>
      <w:pPr>
        <w:pStyle w:val="Heading2"/>
      </w:pPr>
      <w:r>
        <w:t xml:space="preserve">Phase 3: Prototype Development (Weeks 5–16)</w:t>
      </w:r>
    </w:p>
    <w:p>
      <w:pPr>
        <w:spacing w:after="160" w:line="276"/>
      </w:pPr>
      <w:r>
        <w:rPr>
          <w:sz w:val="22"/>
          <w:szCs w:val="22"/>
        </w:rPr>
        <w:t xml:space="preserve">Build 2–3 working prototypes. We recommend selecting at least one individual use case (likely InSAR ground deformation, leveraging existing InSAR Sweden data) and at least one compound use case (Climate Justice Map or Sewer Network Stress) to demonstrate the full spectrum from straightforward to innovative. Document everything including false starts.</w:t>
      </w:r>
    </w:p>
    <w:p>
      <w:pPr>
        <w:pStyle w:val="Heading2"/>
      </w:pPr>
      <w:r>
        <w:t xml:space="preserve">Phase 4: Evaluation and Documentation (Weeks 14–18)</w:t>
      </w:r>
    </w:p>
    <w:p>
      <w:pPr>
        <w:spacing w:after="160" w:line="276"/>
      </w:pPr>
      <w:r>
        <w:rPr>
          <w:sz w:val="22"/>
          <w:szCs w:val="22"/>
        </w:rPr>
        <w:t xml:space="preserve">Evaluate prototypes with municipal users, capture lessons learned, and produce the final grant report with honest assessments of where satellite data added genuine value.</w:t>
      </w:r>
    </w:p>
    <w:p>
      <w:r>
        <w:br w:type="page"/>
      </w:r>
    </w:p>
    <w:p>
      <w:pPr>
        <w:pStyle w:val="Heading1"/>
      </w:pPr>
      <w:r>
        <w:t xml:space="preserve">15. References</w:t>
      </w:r>
    </w:p>
    <w:p>
      <w:pPr>
        <w:pStyle w:val="Heading2"/>
      </w:pPr>
      <w:r>
        <w:t xml:space="preserve">Satellite Data Platforms</w:t>
      </w:r>
    </w:p>
    <w:p>
      <w:pPr>
        <w:pStyle w:val="ListParagraph"/>
        <w:numPr>
          <w:ilvl w:val="0"/>
          <w:numId w:val="17"/>
        </w:numPr>
        <w:spacing w:after="80" w:line="276"/>
      </w:pPr>
      <w:r>
        <w:rPr>
          <w:sz w:val="22"/>
          <w:szCs w:val="22"/>
        </w:rPr>
        <w:t xml:space="preserve">Copernicus Data Space Ecosystem: </w:t>
      </w:r>
      <w:hyperlink w:history="1" r:id="rIdjccc5ayneoxl04rplrul_">
        <w:r>
          <w:rPr>
            <w:rStyle w:val="Hyperlink"/>
            <w:sz w:val="22"/>
            <w:szCs w:val="22"/>
          </w:rPr>
          <w:t xml:space="preserve">dataspace.copernicus.eu</w:t>
        </w:r>
      </w:hyperlink>
    </w:p>
    <w:p>
      <w:pPr>
        <w:pStyle w:val="ListParagraph"/>
        <w:numPr>
          <w:ilvl w:val="0"/>
          <w:numId w:val="17"/>
        </w:numPr>
        <w:spacing w:after="80" w:line="276"/>
      </w:pPr>
      <w:r>
        <w:rPr>
          <w:sz w:val="22"/>
          <w:szCs w:val="22"/>
        </w:rPr>
        <w:t xml:space="preserve">USGS EarthExplorer: </w:t>
      </w:r>
      <w:hyperlink w:history="1" r:id="rIdbjun4ordh4s50rkiwslk7">
        <w:r>
          <w:rPr>
            <w:rStyle w:val="Hyperlink"/>
            <w:sz w:val="22"/>
            <w:szCs w:val="22"/>
          </w:rPr>
          <w:t xml:space="preserve">earthexplorer.usgs.gov</w:t>
        </w:r>
      </w:hyperlink>
    </w:p>
    <w:p>
      <w:pPr>
        <w:pStyle w:val="ListParagraph"/>
        <w:numPr>
          <w:ilvl w:val="0"/>
          <w:numId w:val="17"/>
        </w:numPr>
        <w:spacing w:after="80" w:line="276"/>
      </w:pPr>
      <w:r>
        <w:rPr>
          <w:sz w:val="22"/>
          <w:szCs w:val="22"/>
        </w:rPr>
        <w:t xml:space="preserve">Google Earth Engine: </w:t>
      </w:r>
      <w:hyperlink w:history="1" r:id="rIdzfvskiear6dxpr-gomuw6">
        <w:r>
          <w:rPr>
            <w:rStyle w:val="Hyperlink"/>
            <w:sz w:val="22"/>
            <w:szCs w:val="22"/>
          </w:rPr>
          <w:t xml:space="preserve">earthengine.google.com</w:t>
        </w:r>
      </w:hyperlink>
    </w:p>
    <w:p>
      <w:pPr>
        <w:pStyle w:val="ListParagraph"/>
        <w:numPr>
          <w:ilvl w:val="0"/>
          <w:numId w:val="17"/>
        </w:numPr>
        <w:spacing w:after="80" w:line="276"/>
      </w:pPr>
      <w:r>
        <w:rPr>
          <w:sz w:val="22"/>
          <w:szCs w:val="22"/>
        </w:rPr>
        <w:t xml:space="preserve">InSAR Sweden: </w:t>
      </w:r>
      <w:hyperlink w:history="1" r:id="rIdmz0vs20mefhqya4etv-ix">
        <w:r>
          <w:rPr>
            <w:rStyle w:val="Hyperlink"/>
            <w:sz w:val="22"/>
            <w:szCs w:val="22"/>
          </w:rPr>
          <w:t xml:space="preserve">insar.rymdstyrelsen.se</w:t>
        </w:r>
      </w:hyperlink>
    </w:p>
    <w:p>
      <w:pPr>
        <w:pStyle w:val="ListParagraph"/>
        <w:numPr>
          <w:ilvl w:val="0"/>
          <w:numId w:val="17"/>
        </w:numPr>
        <w:spacing w:after="80" w:line="276"/>
      </w:pPr>
      <w:r>
        <w:rPr>
          <w:sz w:val="22"/>
          <w:szCs w:val="22"/>
        </w:rPr>
        <w:t xml:space="preserve">European Ground Motion Service: </w:t>
      </w:r>
      <w:hyperlink w:history="1" r:id="rId3d9gxkazffxq-hzgfv_p9">
        <w:r>
          <w:rPr>
            <w:rStyle w:val="Hyperlink"/>
            <w:sz w:val="22"/>
            <w:szCs w:val="22"/>
          </w:rPr>
          <w:t xml:space="preserve">egms.land.copernicus.eu</w:t>
        </w:r>
      </w:hyperlink>
    </w:p>
    <w:p>
      <w:pPr>
        <w:pStyle w:val="Heading2"/>
      </w:pPr>
      <w:r>
        <w:t xml:space="preserve">Copernicus Services</w:t>
      </w:r>
    </w:p>
    <w:p>
      <w:pPr>
        <w:pStyle w:val="ListParagraph"/>
        <w:numPr>
          <w:ilvl w:val="0"/>
          <w:numId w:val="18"/>
        </w:numPr>
        <w:spacing w:after="80" w:line="276"/>
      </w:pPr>
      <w:r>
        <w:rPr>
          <w:sz w:val="22"/>
          <w:szCs w:val="22"/>
        </w:rPr>
        <w:t xml:space="preserve">Land Monitoring Service (CLMS): </w:t>
      </w:r>
      <w:hyperlink w:history="1" r:id="rIdxlezet3uuj-7rwjjib7hy">
        <w:r>
          <w:rPr>
            <w:rStyle w:val="Hyperlink"/>
            <w:sz w:val="22"/>
            <w:szCs w:val="22"/>
          </w:rPr>
          <w:t xml:space="preserve">land.copernicus.eu</w:t>
        </w:r>
      </w:hyperlink>
    </w:p>
    <w:p>
      <w:pPr>
        <w:pStyle w:val="ListParagraph"/>
        <w:numPr>
          <w:ilvl w:val="0"/>
          <w:numId w:val="18"/>
        </w:numPr>
        <w:spacing w:after="80" w:line="276"/>
      </w:pPr>
      <w:r>
        <w:rPr>
          <w:sz w:val="22"/>
          <w:szCs w:val="22"/>
        </w:rPr>
        <w:t xml:space="preserve">Atmosphere Monitoring Service (CAMS): </w:t>
      </w:r>
      <w:hyperlink w:history="1" r:id="rIdvn0isbljqyynbi_gs2hcs">
        <w:r>
          <w:rPr>
            <w:rStyle w:val="Hyperlink"/>
            <w:sz w:val="22"/>
            <w:szCs w:val="22"/>
          </w:rPr>
          <w:t xml:space="preserve">atmosphere.copernicus.eu</w:t>
        </w:r>
      </w:hyperlink>
    </w:p>
    <w:p>
      <w:pPr>
        <w:pStyle w:val="ListParagraph"/>
        <w:numPr>
          <w:ilvl w:val="0"/>
          <w:numId w:val="18"/>
        </w:numPr>
        <w:spacing w:after="80" w:line="276"/>
      </w:pPr>
      <w:r>
        <w:rPr>
          <w:sz w:val="22"/>
          <w:szCs w:val="22"/>
        </w:rPr>
        <w:t xml:space="preserve">Marine Service: </w:t>
      </w:r>
      <w:hyperlink w:history="1" r:id="rIdfjjces7h1qvu72ejgsijn">
        <w:r>
          <w:rPr>
            <w:rStyle w:val="Hyperlink"/>
            <w:sz w:val="22"/>
            <w:szCs w:val="22"/>
          </w:rPr>
          <w:t xml:space="preserve">marine.copernicus.eu</w:t>
        </w:r>
      </w:hyperlink>
    </w:p>
    <w:p>
      <w:pPr>
        <w:pStyle w:val="ListParagraph"/>
        <w:numPr>
          <w:ilvl w:val="0"/>
          <w:numId w:val="18"/>
        </w:numPr>
        <w:spacing w:after="80" w:line="276"/>
      </w:pPr>
      <w:r>
        <w:rPr>
          <w:sz w:val="22"/>
          <w:szCs w:val="22"/>
        </w:rPr>
        <w:t xml:space="preserve">Emergency Management Service: </w:t>
      </w:r>
      <w:hyperlink w:history="1" r:id="rIdqhdfhtctn24f8yisty7r_">
        <w:r>
          <w:rPr>
            <w:rStyle w:val="Hyperlink"/>
            <w:sz w:val="22"/>
            <w:szCs w:val="22"/>
          </w:rPr>
          <w:t xml:space="preserve">mapping.emergency.copernicus.eu</w:t>
        </w:r>
      </w:hyperlink>
    </w:p>
    <w:p>
      <w:pPr>
        <w:pStyle w:val="ListParagraph"/>
        <w:numPr>
          <w:ilvl w:val="0"/>
          <w:numId w:val="18"/>
        </w:numPr>
        <w:spacing w:after="80" w:line="276"/>
      </w:pPr>
      <w:r>
        <w:rPr>
          <w:sz w:val="22"/>
          <w:szCs w:val="22"/>
        </w:rPr>
        <w:t xml:space="preserve">Climate Change Service: </w:t>
      </w:r>
      <w:hyperlink w:history="1" r:id="rIddlkut4rsv4tkt5g9ouvh4">
        <w:r>
          <w:rPr>
            <w:rStyle w:val="Hyperlink"/>
            <w:sz w:val="22"/>
            <w:szCs w:val="22"/>
          </w:rPr>
          <w:t xml:space="preserve">climate.copernicus.eu</w:t>
        </w:r>
      </w:hyperlink>
    </w:p>
    <w:p>
      <w:pPr>
        <w:pStyle w:val="Heading2"/>
      </w:pPr>
      <w:r>
        <w:t xml:space="preserve">Swedish National Resources</w:t>
      </w:r>
    </w:p>
    <w:p>
      <w:pPr>
        <w:pStyle w:val="ListParagraph"/>
        <w:numPr>
          <w:ilvl w:val="0"/>
          <w:numId w:val="19"/>
        </w:numPr>
        <w:spacing w:after="80" w:line="276"/>
      </w:pPr>
      <w:r>
        <w:rPr>
          <w:sz w:val="22"/>
          <w:szCs w:val="22"/>
        </w:rPr>
        <w:t xml:space="preserve">SGI Quick Clay Mapping: </w:t>
      </w:r>
      <w:hyperlink w:history="1" r:id="rIdei-slvhxmyb2sytzx7vck">
        <w:r>
          <w:rPr>
            <w:rStyle w:val="Hyperlink"/>
            <w:sz w:val="22"/>
            <w:szCs w:val="22"/>
          </w:rPr>
          <w:t xml:space="preserve">gis.sgi.se/metodik_kvicklera</w:t>
        </w:r>
      </w:hyperlink>
    </w:p>
    <w:p>
      <w:pPr>
        <w:pStyle w:val="ListParagraph"/>
        <w:numPr>
          <w:ilvl w:val="0"/>
          <w:numId w:val="19"/>
        </w:numPr>
        <w:spacing w:after="80" w:line="276"/>
      </w:pPr>
      <w:r>
        <w:rPr>
          <w:sz w:val="22"/>
          <w:szCs w:val="22"/>
        </w:rPr>
        <w:t xml:space="preserve">Lantmäteriet open geodata: </w:t>
      </w:r>
      <w:hyperlink w:history="1" r:id="rIdazem3i-aqzxlmmxkdap-i">
        <w:r>
          <w:rPr>
            <w:rStyle w:val="Hyperlink"/>
            <w:sz w:val="22"/>
            <w:szCs w:val="22"/>
          </w:rPr>
          <w:t xml:space="preserve">lantmateriet.se</w:t>
        </w:r>
      </w:hyperlink>
    </w:p>
    <w:p>
      <w:pPr>
        <w:pStyle w:val="ListParagraph"/>
        <w:numPr>
          <w:ilvl w:val="0"/>
          <w:numId w:val="19"/>
        </w:numPr>
        <w:spacing w:after="80" w:line="276"/>
      </w:pPr>
      <w:r>
        <w:rPr>
          <w:sz w:val="22"/>
          <w:szCs w:val="22"/>
        </w:rPr>
        <w:t xml:space="preserve">SMHI open data: </w:t>
      </w:r>
      <w:hyperlink w:history="1" r:id="rId3bqyl7isftoz8uovyriy5">
        <w:r>
          <w:rPr>
            <w:rStyle w:val="Hyperlink"/>
            <w:sz w:val="22"/>
            <w:szCs w:val="22"/>
          </w:rPr>
          <w:t xml:space="preserve">opendata.smhi.se</w:t>
        </w:r>
      </w:hyperlink>
    </w:p>
    <w:p>
      <w:pPr>
        <w:pStyle w:val="ListParagraph"/>
        <w:numPr>
          <w:ilvl w:val="0"/>
          <w:numId w:val="19"/>
        </w:numPr>
        <w:spacing w:after="80" w:line="276"/>
      </w:pPr>
      <w:r>
        <w:rPr>
          <w:sz w:val="22"/>
          <w:szCs w:val="22"/>
        </w:rPr>
        <w:t xml:space="preserve">Sättningskartan (SkyGeo/WSP): </w:t>
      </w:r>
      <w:hyperlink w:history="1" r:id="rIda5qnlslwroduhy81j8yg7">
        <w:r>
          <w:rPr>
            <w:rStyle w:val="Hyperlink"/>
            <w:sz w:val="22"/>
            <w:szCs w:val="22"/>
          </w:rPr>
          <w:t xml:space="preserve">sättningskartan.se</w:t>
        </w:r>
      </w:hyperlink>
    </w:p>
    <w:p>
      <w:pPr>
        <w:pStyle w:val="ListParagraph"/>
        <w:numPr>
          <w:ilvl w:val="0"/>
          <w:numId w:val="19"/>
        </w:numPr>
        <w:spacing w:after="80" w:line="276"/>
      </w:pPr>
      <w:r>
        <w:rPr>
          <w:sz w:val="22"/>
          <w:szCs w:val="22"/>
        </w:rPr>
        <w:t xml:space="preserve">Skogsstyrelsen: </w:t>
      </w:r>
      <w:hyperlink w:history="1" r:id="rIdliemyyuhakjsadbitxovg">
        <w:r>
          <w:rPr>
            <w:rStyle w:val="Hyperlink"/>
            <w:sz w:val="22"/>
            <w:szCs w:val="22"/>
          </w:rPr>
          <w:t xml:space="preserve">skogsstyrelsen.se</w:t>
        </w:r>
      </w:hyperlink>
    </w:p>
    <w:p>
      <w:pPr>
        <w:pStyle w:val="Heading2"/>
      </w:pPr>
      <w:r>
        <w:t xml:space="preserve">EU Projects and Frameworks</w:t>
      </w:r>
    </w:p>
    <w:p>
      <w:pPr>
        <w:pStyle w:val="ListParagraph"/>
        <w:numPr>
          <w:ilvl w:val="0"/>
          <w:numId w:val="20"/>
        </w:numPr>
        <w:spacing w:after="80" w:line="276"/>
      </w:pPr>
      <w:r>
        <w:rPr>
          <w:sz w:val="22"/>
          <w:szCs w:val="22"/>
        </w:rPr>
        <w:t xml:space="preserve">SPACE4Cities (Horizon Europe): </w:t>
      </w:r>
      <w:hyperlink w:history="1" r:id="rIdds1samv6a2_4ehjqfpaim">
        <w:r>
          <w:rPr>
            <w:rStyle w:val="Hyperlink"/>
            <w:sz w:val="22"/>
            <w:szCs w:val="22"/>
          </w:rPr>
          <w:t xml:space="preserve">oascities.org</w:t>
        </w:r>
      </w:hyperlink>
    </w:p>
    <w:p>
      <w:pPr>
        <w:pStyle w:val="ListParagraph"/>
        <w:numPr>
          <w:ilvl w:val="0"/>
          <w:numId w:val="20"/>
        </w:numPr>
        <w:spacing w:after="80" w:line="276"/>
      </w:pPr>
      <w:r>
        <w:rPr>
          <w:sz w:val="22"/>
          <w:szCs w:val="22"/>
        </w:rPr>
        <w:t xml:space="preserve">Smart City Sweden: </w:t>
      </w:r>
      <w:hyperlink w:history="1" r:id="rId50glxob-poa-ppwehabqi">
        <w:r>
          <w:rPr>
            <w:rStyle w:val="Hyperlink"/>
            <w:sz w:val="22"/>
            <w:szCs w:val="22"/>
          </w:rPr>
          <w:t xml:space="preserve">smartcitysweden.com</w:t>
        </w:r>
      </w:hyperlink>
    </w:p>
    <w:p>
      <w:pPr>
        <w:pStyle w:val="ListParagraph"/>
        <w:numPr>
          <w:ilvl w:val="0"/>
          <w:numId w:val="20"/>
        </w:numPr>
        <w:spacing w:after="80" w:line="276"/>
      </w:pPr>
      <w:r>
        <w:rPr>
          <w:sz w:val="22"/>
          <w:szCs w:val="22"/>
        </w:rPr>
        <w:t xml:space="preserve">RISE Smart City Lab: </w:t>
      </w:r>
      <w:hyperlink w:history="1" r:id="rIdayl3jbmfwx-_eyphcnoqt">
        <w:r>
          <w:rPr>
            <w:rStyle w:val="Hyperlink"/>
            <w:sz w:val="22"/>
            <w:szCs w:val="22"/>
          </w:rPr>
          <w:t xml:space="preserve">ri.se</w:t>
        </w:r>
      </w:hyperlink>
    </w:p>
    <w:p>
      <w:pPr>
        <w:pStyle w:val="ListParagraph"/>
        <w:numPr>
          <w:ilvl w:val="0"/>
          <w:numId w:val="20"/>
        </w:numPr>
        <w:spacing w:after="80" w:line="276"/>
      </w:pPr>
      <w:r>
        <w:rPr>
          <w:sz w:val="22"/>
          <w:szCs w:val="22"/>
        </w:rPr>
        <w:t xml:space="preserve">Danish Copernicus User Stories (50 Use Cases, PDF): </w:t>
      </w:r>
      <w:hyperlink w:history="1" r:id="rIdt-jby_m-1weh_vlh1sasm">
        <w:r>
          <w:rPr>
            <w:rStyle w:val="Hyperlink"/>
            <w:sz w:val="22"/>
            <w:szCs w:val="22"/>
          </w:rPr>
          <w:t xml:space="preserve">copernicus.eu</w:t>
        </w:r>
      </w:hyperlink>
    </w:p>
    <w:p>
      <w:pPr>
        <w:pStyle w:val="Heading2"/>
      </w:pPr>
      <w:r>
        <w:t xml:space="preserve">Processing Tools</w:t>
      </w:r>
    </w:p>
    <w:p>
      <w:pPr>
        <w:pStyle w:val="ListParagraph"/>
        <w:numPr>
          <w:ilvl w:val="0"/>
          <w:numId w:val="21"/>
        </w:numPr>
        <w:spacing w:after="80" w:line="276"/>
      </w:pPr>
      <w:r>
        <w:rPr>
          <w:sz w:val="22"/>
          <w:szCs w:val="22"/>
        </w:rPr>
        <w:t xml:space="preserve">ESA SNAP Toolbox: </w:t>
      </w:r>
      <w:hyperlink w:history="1" r:id="rIdm-01efdz3xk3suxjkfgce">
        <w:r>
          <w:rPr>
            <w:rStyle w:val="Hyperlink"/>
            <w:sz w:val="22"/>
            <w:szCs w:val="22"/>
          </w:rPr>
          <w:t xml:space="preserve">step.esa.int</w:t>
        </w:r>
      </w:hyperlink>
    </w:p>
    <w:p>
      <w:pPr>
        <w:pStyle w:val="ListParagraph"/>
        <w:numPr>
          <w:ilvl w:val="0"/>
          <w:numId w:val="21"/>
        </w:numPr>
        <w:spacing w:after="80" w:line="276"/>
      </w:pPr>
      <w:r>
        <w:rPr>
          <w:sz w:val="22"/>
          <w:szCs w:val="22"/>
        </w:rPr>
        <w:t xml:space="preserve">QGIS: </w:t>
      </w:r>
      <w:hyperlink w:history="1" r:id="rIdbrmalioh-cnmghodkvkat">
        <w:r>
          <w:rPr>
            <w:rStyle w:val="Hyperlink"/>
            <w:sz w:val="22"/>
            <w:szCs w:val="22"/>
          </w:rPr>
          <w:t xml:space="preserve">qgis.org</w:t>
        </w:r>
      </w:hyperlink>
    </w:p>
    <w:p>
      <w:pPr>
        <w:pStyle w:val="ListParagraph"/>
        <w:numPr>
          <w:ilvl w:val="0"/>
          <w:numId w:val="21"/>
        </w:numPr>
        <w:spacing w:after="80" w:line="276"/>
      </w:pPr>
      <w:r>
        <w:rPr>
          <w:sz w:val="22"/>
          <w:szCs w:val="22"/>
        </w:rPr>
        <w:t xml:space="preserve">ACOLITE: </w:t>
      </w:r>
      <w:hyperlink w:history="1" r:id="rIdtbihwhdf4dolwzxno-vkf">
        <w:r>
          <w:rPr>
            <w:rStyle w:val="Hyperlink"/>
            <w:sz w:val="22"/>
            <w:szCs w:val="22"/>
          </w:rPr>
          <w:t xml:space="preserve">github.com/acolite/acolite</w:t>
        </w:r>
      </w:hyperlink>
    </w:p>
    <w:p>
      <w:pPr>
        <w:pStyle w:val="ListParagraph"/>
        <w:numPr>
          <w:ilvl w:val="0"/>
          <w:numId w:val="21"/>
        </w:numPr>
        <w:spacing w:after="80" w:line="276"/>
      </w:pPr>
      <w:r>
        <w:rPr>
          <w:sz w:val="22"/>
          <w:szCs w:val="22"/>
        </w:rPr>
        <w:t xml:space="preserve">PVGIS: </w:t>
      </w:r>
      <w:hyperlink w:history="1" r:id="rId1pxecl4ezujozemruiyx4">
        <w:r>
          <w:rPr>
            <w:rStyle w:val="Hyperlink"/>
            <w:sz w:val="22"/>
            <w:szCs w:val="22"/>
          </w:rPr>
          <w:t xml:space="preserve">re.jrc.ec.europa.eu/pvg_tools</w:t>
        </w:r>
      </w:hyperlink>
    </w:p>
    <w:p>
      <w:pPr>
        <w:pStyle w:val="ListParagraph"/>
        <w:numPr>
          <w:ilvl w:val="0"/>
          <w:numId w:val="21"/>
        </w:numPr>
        <w:spacing w:after="80" w:line="276"/>
      </w:pPr>
      <w:r>
        <w:rPr>
          <w:sz w:val="22"/>
          <w:szCs w:val="22"/>
        </w:rPr>
        <w:t xml:space="preserve">URSA: </w:t>
      </w:r>
      <w:hyperlink w:history="1" r:id="rIdjylwf2ter8tz5otuylsgw">
        <w:r>
          <w:rPr>
            <w:rStyle w:val="Hyperlink"/>
            <w:sz w:val="22"/>
            <w:szCs w:val="22"/>
          </w:rPr>
          <w:t xml:space="preserve">blogs.iadb.org</w:t>
        </w:r>
      </w:hyperlink>
    </w:p>
    <w:p>
      <w:pPr>
        <w:pStyle w:val="Heading2"/>
      </w:pPr>
      <w:r>
        <w:t xml:space="preserve">Academic and Research References</w:t>
      </w:r>
    </w:p>
    <w:p>
      <w:pPr>
        <w:spacing w:after="160" w:line="276"/>
      </w:pPr>
      <w:r>
        <w:rPr>
          <w:sz w:val="22"/>
          <w:szCs w:val="22"/>
        </w:rPr>
        <w:t xml:space="preserve">With, C. et al. (2022). “A methodology for mapping of quick clay in Sweden.” Natural Hazards. doi: 10.1007/s11069-022-05278-y</w:t>
      </w:r>
    </w:p>
    <w:p>
      <w:pPr>
        <w:spacing w:after="160" w:line="276"/>
      </w:pPr>
      <w:r>
        <w:rPr>
          <w:sz w:val="22"/>
          <w:szCs w:val="22"/>
        </w:rPr>
        <w:t xml:space="preserve">Apicella, L. et al. (2021). “Analysing the Surface Urban Heat Island Effect with Copernicus Data.” In: EGOVIS 2021. LNCS vol 12926.</w:t>
      </w:r>
    </w:p>
    <w:p>
      <w:pPr>
        <w:spacing w:after="160" w:line="276"/>
      </w:pPr>
      <w:r>
        <w:rPr>
          <w:sz w:val="22"/>
          <w:szCs w:val="22"/>
        </w:rPr>
        <w:t xml:space="preserve">Solari, L. et al. (2022). “Review of satellite radar interferometry for subsidence analysis.” Earth-Science Reviews, 235. doi: 10.1016/j.earscirev.2022.104239</w:t>
      </w:r>
    </w:p>
    <w:p>
      <w:pPr>
        <w:spacing w:after="160" w:line="276"/>
      </w:pPr>
      <w:r>
        <w:rPr>
          <w:sz w:val="22"/>
          <w:szCs w:val="22"/>
        </w:rPr>
        <w:t xml:space="preserve">Orchi, H. et al. (2024). “A Contemporary Survey on Multisource Information Fusion for Smart Sustainable Cities.” Information Fusion. doi: 10.1016/j.inffus.2024.102639</w:t>
      </w:r>
    </w:p>
    <w:p>
      <w:pPr>
        <w:spacing w:after="160" w:line="276"/>
      </w:pPr>
      <w:r>
        <w:rPr>
          <w:sz w:val="22"/>
          <w:szCs w:val="22"/>
        </w:rPr>
        <w:t xml:space="preserve">Via Satellite (2025). “How Satellite Data Can Enable Solutions for Smart Cities.” Published 24 January 2025.</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Satellite Data Use Cases — Sundsvall Municipality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E8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efi1klqt8q1rulqcbury" Type="http://schemas.openxmlformats.org/officeDocument/2006/relationships/hyperlink" Target="https://insar.rymdstyrelsen.se" TargetMode="External"/><Relationship Id="rIdlmh9_f76xrta_muvbrlho" Type="http://schemas.openxmlformats.org/officeDocument/2006/relationships/hyperlink" Target="https://egms.land.copernicus.eu" TargetMode="External"/><Relationship Id="rIdxcs0pvuqhmlqz68s5icut" Type="http://schemas.openxmlformats.org/officeDocument/2006/relationships/hyperlink" Target="https://s&#228;ttningskartan.se/en-us/" TargetMode="External"/><Relationship Id="rIdqyzeope13puziyucpqito" Type="http://schemas.openxmlformats.org/officeDocument/2006/relationships/hyperlink" Target="https://www.lantmateriet.se/globalassets/geodata/gps-och-geodetisk-matning/rapporter/lantmaterirapport_2023-1.pdf" TargetMode="External"/><Relationship Id="rIdpcin6tyoiosfwhtn4andd" Type="http://schemas.openxmlformats.org/officeDocument/2006/relationships/hyperlink" Target="https://link.springer.com/article/10.1007/s11069-022-05278-y" TargetMode="External"/><Relationship Id="rIdaphph2i2unypx2axcfazb" Type="http://schemas.openxmlformats.org/officeDocument/2006/relationships/hyperlink" Target="https://gis.sgi.se/metodik_kvicklera/" TargetMode="External"/><Relationship Id="rIdqnztjy33jrsiqrm8gfqay" Type="http://schemas.openxmlformats.org/officeDocument/2006/relationships/hyperlink" Target="https://kvarkenspacecenter.org/insar-and-its-applications/" TargetMode="External"/><Relationship Id="rIdc8lz2erwvezvb_oh5t9vo" Type="http://schemas.openxmlformats.org/officeDocument/2006/relationships/hyperlink" Target="https://land.copernicus.eu/en/feature-articles/urban-heat-islands-measured-mapped-and-managed" TargetMode="External"/><Relationship Id="rIdezelgbqsvkyg1ykm5imdu" Type="http://schemas.openxmlformats.org/officeDocument/2006/relationships/hyperlink" Target="https://land.copernicus.eu/en/use-cases/a-method-to-combat-the-urban-heat-island-effect/a-method-to-combat-the-urban-heat-island-effect" TargetMode="External"/><Relationship Id="rIdlkbsdiflu_dco0n3qxbzw" Type="http://schemas.openxmlformats.org/officeDocument/2006/relationships/hyperlink" Target="https://www.esa.int/Applications/Observing_the_Earth/Copernicus/City_heat_extremes" TargetMode="External"/><Relationship Id="rIdv955j1lxnjwi3rkwnpdks" Type="http://schemas.openxmlformats.org/officeDocument/2006/relationships/hyperlink" Target="https://link.springer.com/article/10.1007/s44327-025-00059-1" TargetMode="External"/><Relationship Id="rIdjxyccxkwxyk78rqzdxxls" Type="http://schemas.openxmlformats.org/officeDocument/2006/relationships/hyperlink" Target="https://marine.copernicus.eu" TargetMode="External"/><Relationship Id="rId38wah8ce02bad93l6ktbi" Type="http://schemas.openxmlformats.org/officeDocument/2006/relationships/hyperlink" Target="https://github.com/acolite/acolite" TargetMode="External"/><Relationship Id="rIdaycn3dovakn0sknclgi4b" Type="http://schemas.openxmlformats.org/officeDocument/2006/relationships/hyperlink" Target="https://msva.se" TargetMode="External"/><Relationship Id="rIdcbn3tkudqarlfwzr1bi7f" Type="http://schemas.openxmlformats.org/officeDocument/2006/relationships/hyperlink" Target="https://sundsvall.se/bygga-bo-och-miljo/boendemiljo-buller-och-luftkvalitet/luften-utomhus/vi-arbetar-for-battre-luft" TargetMode="External"/><Relationship Id="rIdu82dvxxdeochcnaptsvo7" Type="http://schemas.openxmlformats.org/officeDocument/2006/relationships/hyperlink" Target="https://dataspace.copernicus.eu" TargetMode="External"/><Relationship Id="rIddwhxfkcebakd_nko-wcvf" Type="http://schemas.openxmlformats.org/officeDocument/2006/relationships/hyperlink" Target="https://atmosphere.copernicus.eu" TargetMode="External"/><Relationship Id="rIdki5cht1k5_k2uxpvctfyp" Type="http://schemas.openxmlformats.org/officeDocument/2006/relationships/hyperlink" Target="https://land.copernicus.eu/en/products/high-resolution-layer-imperviousness" TargetMode="External"/><Relationship Id="rIdanibx_yw4uthe4_ss1s2t" Type="http://schemas.openxmlformats.org/officeDocument/2006/relationships/hyperlink" Target="https://mapping.emergency.copernicus.eu" TargetMode="External"/><Relationship Id="rId86nn3pgkl3tgwfrdik_11" Type="http://schemas.openxmlformats.org/officeDocument/2006/relationships/hyperlink" Target="https://www.svt.se/nyheter/lokalt/vasternorrland/fran-arkivet-se-bilderna-fran-oversvamningarna-fran-rekordaret-2000" TargetMode="External"/><Relationship Id="rIdilodqkg7m2xdl9nt85bvk" Type="http://schemas.openxmlformats.org/officeDocument/2006/relationships/hyperlink" Target="https://blogs.iadb.org/ciudades-sostenibles/en/ursa-a-tool-to-guide-urban-planning-with-satellite-data/" TargetMode="External"/><Relationship Id="rIddlcqpz6_a82iwxbqtipgu" Type="http://schemas.openxmlformats.org/officeDocument/2006/relationships/hyperlink" Target="https://land.copernicus.eu/en/products/corine-land-cover" TargetMode="External"/><Relationship Id="rIdlukrqblb0flimwjigus2g" Type="http://schemas.openxmlformats.org/officeDocument/2006/relationships/hyperlink" Target="https://earth.esa.int/eogateway/news/how-satellite-data-empower-sustainable-urban-growth" TargetMode="External"/><Relationship Id="rIduwx-yv6qjqrcmw_xodjsv" Type="http://schemas.openxmlformats.org/officeDocument/2006/relationships/hyperlink" Target="https://land.copernicus.eu/en/products/high-resolution-layer-tree-cover-density" TargetMode="External"/><Relationship Id="rIdjx_5rg1p-5jj_mroa3gmj" Type="http://schemas.openxmlformats.org/officeDocument/2006/relationships/hyperlink" Target="https://effis.jrc.ec.europa.eu" TargetMode="External"/><Relationship Id="rIdc3_uhqwc942ias9nsdbwm" Type="http://schemas.openxmlformats.org/officeDocument/2006/relationships/hyperlink" Target="https://www.skogsstyrelsen.se" TargetMode="External"/><Relationship Id="rIdjmspabpfvll4phxirkqnv" Type="http://schemas.openxmlformats.org/officeDocument/2006/relationships/hyperlink" Target="https://ads.atmosphere.copernicus.eu" TargetMode="External"/><Relationship Id="rIdplguoif4rlo9xzv8xqymf" Type="http://schemas.openxmlformats.org/officeDocument/2006/relationships/hyperlink" Target="https://re.jrc.ec.europa.eu/pvg_tools/en/" TargetMode="External"/><Relationship Id="rId1hc4pizjbkufumk9aqqv9" Type="http://schemas.openxmlformats.org/officeDocument/2006/relationships/hyperlink" Target="https://land.copernicus.eu/en/products/snow" TargetMode="External"/><Relationship Id="rIdl891kxjdselxsn-jszaao" Type="http://schemas.openxmlformats.org/officeDocument/2006/relationships/hyperlink" Target="https://opendata.smhi.se" TargetMode="External"/><Relationship Id="rIdjccc5ayneoxl04rplrul_" Type="http://schemas.openxmlformats.org/officeDocument/2006/relationships/hyperlink" Target="https://dataspace.copernicus.eu" TargetMode="External"/><Relationship Id="rIdbjun4ordh4s50rkiwslk7" Type="http://schemas.openxmlformats.org/officeDocument/2006/relationships/hyperlink" Target="https://earthexplorer.usgs.gov" TargetMode="External"/><Relationship Id="rIdzfvskiear6dxpr-gomuw6" Type="http://schemas.openxmlformats.org/officeDocument/2006/relationships/hyperlink" Target="https://earthengine.google.com" TargetMode="External"/><Relationship Id="rIdmz0vs20mefhqya4etv-ix" Type="http://schemas.openxmlformats.org/officeDocument/2006/relationships/hyperlink" Target="https://insar.rymdstyrelsen.se" TargetMode="External"/><Relationship Id="rId3d9gxkazffxq-hzgfv_p9" Type="http://schemas.openxmlformats.org/officeDocument/2006/relationships/hyperlink" Target="https://egms.land.copernicus.eu" TargetMode="External"/><Relationship Id="rIdxlezet3uuj-7rwjjib7hy" Type="http://schemas.openxmlformats.org/officeDocument/2006/relationships/hyperlink" Target="https://land.copernicus.eu" TargetMode="External"/><Relationship Id="rIdvn0isbljqyynbi_gs2hcs" Type="http://schemas.openxmlformats.org/officeDocument/2006/relationships/hyperlink" Target="https://atmosphere.copernicus.eu" TargetMode="External"/><Relationship Id="rIdfjjces7h1qvu72ejgsijn" Type="http://schemas.openxmlformats.org/officeDocument/2006/relationships/hyperlink" Target="https://marine.copernicus.eu" TargetMode="External"/><Relationship Id="rIdqhdfhtctn24f8yisty7r_" Type="http://schemas.openxmlformats.org/officeDocument/2006/relationships/hyperlink" Target="https://mapping.emergency.copernicus.eu" TargetMode="External"/><Relationship Id="rIddlkut4rsv4tkt5g9ouvh4" Type="http://schemas.openxmlformats.org/officeDocument/2006/relationships/hyperlink" Target="https://climate.copernicus.eu" TargetMode="External"/><Relationship Id="rIdei-slvhxmyb2sytzx7vck" Type="http://schemas.openxmlformats.org/officeDocument/2006/relationships/hyperlink" Target="https://gis.sgi.se/metodik_kvicklera/" TargetMode="External"/><Relationship Id="rIdazem3i-aqzxlmmxkdap-i" Type="http://schemas.openxmlformats.org/officeDocument/2006/relationships/hyperlink" Target="https://www.lantmateriet.se" TargetMode="External"/><Relationship Id="rId3bqyl7isftoz8uovyriy5" Type="http://schemas.openxmlformats.org/officeDocument/2006/relationships/hyperlink" Target="https://opendata.smhi.se" TargetMode="External"/><Relationship Id="rIda5qnlslwroduhy81j8yg7" Type="http://schemas.openxmlformats.org/officeDocument/2006/relationships/hyperlink" Target="https://s&#228;ttningskartan.se/en-us/" TargetMode="External"/><Relationship Id="rIdliemyyuhakjsadbitxovg" Type="http://schemas.openxmlformats.org/officeDocument/2006/relationships/hyperlink" Target="https://www.skogsstyrelsen.se" TargetMode="External"/><Relationship Id="rIdds1samv6a2_4ehjqfpaim" Type="http://schemas.openxmlformats.org/officeDocument/2006/relationships/hyperlink" Target="https://oascities.org/space4cities-european-satellite-data-to-create-more-resilient-and-sustainable-cities-e2-87m-call-for-innovation/" TargetMode="External"/><Relationship Id="rId50glxob-poa-ppwehabqi" Type="http://schemas.openxmlformats.org/officeDocument/2006/relationships/hyperlink" Target="https://smartcitysweden.com/" TargetMode="External"/><Relationship Id="rIdayl3jbmfwx-_eyphcnoqt" Type="http://schemas.openxmlformats.org/officeDocument/2006/relationships/hyperlink" Target="https://www.ri.se/en/project/smart-city-lab" TargetMode="External"/><Relationship Id="rIdt-jby_m-1weh_vlh1sasm" Type="http://schemas.openxmlformats.org/officeDocument/2006/relationships/hyperlink" Target="https://www.copernicus.eu/sites/default/files/2021-01/Copernicus_ENG_digital.pdf" TargetMode="External"/><Relationship Id="rIdm-01efdz3xk3suxjkfgce" Type="http://schemas.openxmlformats.org/officeDocument/2006/relationships/hyperlink" Target="https://step.esa.int/main/toolboxes/snap/" TargetMode="External"/><Relationship Id="rIdbrmalioh-cnmghodkvkat" Type="http://schemas.openxmlformats.org/officeDocument/2006/relationships/hyperlink" Target="https://qgis.org" TargetMode="External"/><Relationship Id="rIdtbihwhdf4dolwzxno-vkf" Type="http://schemas.openxmlformats.org/officeDocument/2006/relationships/hyperlink" Target="https://github.com/acolite/acolite" TargetMode="External"/><Relationship Id="rId1pxecl4ezujozemruiyx4" Type="http://schemas.openxmlformats.org/officeDocument/2006/relationships/hyperlink" Target="https://re.jrc.ec.europa.eu/pvg_tools/en/" TargetMode="External"/><Relationship Id="rIdjylwf2ter8tz5otuylsgw" Type="http://schemas.openxmlformats.org/officeDocument/2006/relationships/hyperlink" Target="https://blogs.iadb.org/ciudades-sostenibles/en/ursa-a-tool-to-guide-urban-planning-with-satellite-data/" TargetMode="External"/><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2026-02-27T15:29:49.724Z</dcterms:created>
  <dcterms:modified xsi:type="dcterms:W3CDTF">2026-02-27T15:29:49.725Z</dcterms:modified>
</cp:coreProperties>
</file>

<file path=docProps/custom.xml><?xml version="1.0" encoding="utf-8"?>
<Properties xmlns="http://schemas.openxmlformats.org/officeDocument/2006/custom-properties" xmlns:vt="http://schemas.openxmlformats.org/officeDocument/2006/docPropsVTypes"/>
</file>