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02D2" w14:textId="307203E2" w:rsidR="00FF4A07" w:rsidRPr="00FE43F5" w:rsidRDefault="00FE43F5" w:rsidP="00FE43F5">
      <w:pPr>
        <w:jc w:val="center"/>
        <w:rPr>
          <w:b/>
          <w:bCs/>
          <w:lang w:val="en-GB"/>
        </w:rPr>
      </w:pPr>
      <w:r w:rsidRPr="00FE43F5">
        <w:rPr>
          <w:b/>
          <w:bCs/>
          <w:lang w:val="en-GB"/>
        </w:rPr>
        <w:t>RESULTS OF THE ANALYSIS</w:t>
      </w:r>
      <w:r w:rsidR="00C8713E">
        <w:rPr>
          <w:b/>
          <w:bCs/>
          <w:lang w:val="en-GB"/>
        </w:rPr>
        <w:t xml:space="preserve"> USING SHOREX</w:t>
      </w:r>
    </w:p>
    <w:p w14:paraId="490AAD39" w14:textId="744FA615" w:rsidR="00FE43F5" w:rsidRPr="00393615" w:rsidRDefault="00FE43F5" w:rsidP="00FE43F5">
      <w:pPr>
        <w:pStyle w:val="Prrafodelista"/>
        <w:numPr>
          <w:ilvl w:val="0"/>
          <w:numId w:val="1"/>
        </w:numPr>
        <w:jc w:val="both"/>
        <w:rPr>
          <w:b/>
          <w:bCs/>
          <w:lang w:val="en-GB"/>
        </w:rPr>
      </w:pPr>
      <w:r w:rsidRPr="00393615">
        <w:rPr>
          <w:b/>
          <w:bCs/>
          <w:lang w:val="en-GB"/>
        </w:rPr>
        <w:t>Folder structure.</w:t>
      </w:r>
    </w:p>
    <w:p w14:paraId="2EA3684B" w14:textId="6AD9107A" w:rsidR="00FE43F5" w:rsidRDefault="00FE43F5" w:rsidP="00FE43F5">
      <w:pPr>
        <w:pStyle w:val="Prrafodelista"/>
        <w:jc w:val="both"/>
        <w:rPr>
          <w:lang w:val="en-GB"/>
        </w:rPr>
      </w:pPr>
      <w:r>
        <w:rPr>
          <w:lang w:val="en-GB"/>
        </w:rPr>
        <w:t>Data are stored into a structure of folders as follows:</w:t>
      </w:r>
    </w:p>
    <w:p w14:paraId="245A092A" w14:textId="0B2D2510" w:rsidR="00FE43F5" w:rsidRDefault="00FE43F5" w:rsidP="00FE43F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Site name</w:t>
      </w:r>
    </w:p>
    <w:p w14:paraId="06775D8E" w14:textId="6724EF56" w:rsidR="00FE43F5" w:rsidRDefault="00FE43F5" w:rsidP="00FE43F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Sea contour level taken as reference</w:t>
      </w:r>
      <w:r w:rsidR="00772F1B">
        <w:rPr>
          <w:lang w:val="en-GB"/>
        </w:rPr>
        <w:t xml:space="preserve"> (MHWS and </w:t>
      </w:r>
      <w:proofErr w:type="gramStart"/>
      <w:r w:rsidR="007E0287">
        <w:rPr>
          <w:lang w:val="en-GB"/>
        </w:rPr>
        <w:t>MSL(</w:t>
      </w:r>
      <w:proofErr w:type="gramEnd"/>
      <w:r w:rsidR="007E0287">
        <w:rPr>
          <w:lang w:val="en-GB"/>
        </w:rPr>
        <w:t>0)</w:t>
      </w:r>
      <w:r w:rsidR="00772F1B">
        <w:rPr>
          <w:lang w:val="en-GB"/>
        </w:rPr>
        <w:t>)</w:t>
      </w:r>
    </w:p>
    <w:p w14:paraId="27CBDF28" w14:textId="7DB155A7" w:rsidR="00FE43F5" w:rsidRDefault="00FE43F5" w:rsidP="00FE43F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Image dates filtered by a sea level threshold (only in Truc</w:t>
      </w:r>
      <w:r w:rsidR="00C8713E">
        <w:rPr>
          <w:lang w:val="en-GB"/>
        </w:rPr>
        <w:t xml:space="preserve"> V</w:t>
      </w:r>
      <w:r>
        <w:rPr>
          <w:lang w:val="en-GB"/>
        </w:rPr>
        <w:t>ert</w:t>
      </w:r>
      <w:r w:rsidR="00772F1B">
        <w:rPr>
          <w:lang w:val="en-GB"/>
        </w:rPr>
        <w:t>: MSL &gt;= 0.2</w:t>
      </w:r>
      <w:r>
        <w:rPr>
          <w:lang w:val="en-GB"/>
        </w:rPr>
        <w:t>)</w:t>
      </w:r>
    </w:p>
    <w:p w14:paraId="1652F32F" w14:textId="56C84FD6" w:rsidR="00EE4E9B" w:rsidRDefault="00EE4E9B" w:rsidP="00FE43F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Shorelines in shapefile format</w:t>
      </w:r>
    </w:p>
    <w:p w14:paraId="2ED9DE64" w14:textId="788EDA9C" w:rsidR="00FE43F5" w:rsidRDefault="004458C8" w:rsidP="00FE43F5">
      <w:pPr>
        <w:ind w:left="720"/>
        <w:jc w:val="both"/>
        <w:rPr>
          <w:lang w:val="en-GB"/>
        </w:rPr>
      </w:pPr>
      <w:r>
        <w:rPr>
          <w:lang w:val="en-GB"/>
        </w:rPr>
        <w:t>As an example, th</w:t>
      </w:r>
      <w:r w:rsidR="00C8713E">
        <w:rPr>
          <w:lang w:val="en-GB"/>
        </w:rPr>
        <w:t xml:space="preserve">e following image shows the </w:t>
      </w:r>
      <w:r>
        <w:rPr>
          <w:lang w:val="en-GB"/>
        </w:rPr>
        <w:t>folders for</w:t>
      </w:r>
      <w:r w:rsidR="00C8713E">
        <w:rPr>
          <w:lang w:val="en-GB"/>
        </w:rPr>
        <w:t xml:space="preserve"> </w:t>
      </w:r>
      <w:r w:rsidR="00FE43F5">
        <w:rPr>
          <w:lang w:val="en-GB"/>
        </w:rPr>
        <w:t xml:space="preserve">  </w:t>
      </w:r>
      <w:r w:rsidR="003245C6">
        <w:rPr>
          <w:lang w:val="en-GB"/>
        </w:rPr>
        <w:t>Duck and Truc</w:t>
      </w:r>
      <w:r w:rsidR="00C8713E">
        <w:rPr>
          <w:lang w:val="en-GB"/>
        </w:rPr>
        <w:t xml:space="preserve"> V</w:t>
      </w:r>
      <w:r w:rsidR="003245C6">
        <w:rPr>
          <w:lang w:val="en-GB"/>
        </w:rPr>
        <w:t>ert</w:t>
      </w:r>
      <w:r w:rsidR="00FE43F5">
        <w:rPr>
          <w:lang w:val="en-GB"/>
        </w:rPr>
        <w:t>:</w:t>
      </w:r>
    </w:p>
    <w:p w14:paraId="264FAAA0" w14:textId="37107A52" w:rsidR="00FE43F5" w:rsidRPr="00FE43F5" w:rsidRDefault="00EE4E9B" w:rsidP="003A4509">
      <w:pPr>
        <w:ind w:left="7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CA7B852" wp14:editId="2BD75B1B">
            <wp:extent cx="872344" cy="729460"/>
            <wp:effectExtent l="0" t="0" r="444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467" cy="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E9B">
        <w:rPr>
          <w:noProof/>
        </w:rPr>
        <w:drawing>
          <wp:inline distT="0" distB="0" distL="0" distR="0" wp14:anchorId="0E3179D4" wp14:editId="1109207C">
            <wp:extent cx="1264763" cy="1122571"/>
            <wp:effectExtent l="0" t="0" r="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701" cy="11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528" w14:textId="7D9D8524" w:rsidR="00FE43F5" w:rsidRPr="00393615" w:rsidRDefault="00FE43F5" w:rsidP="00FE43F5">
      <w:pPr>
        <w:pStyle w:val="Prrafodelista"/>
        <w:numPr>
          <w:ilvl w:val="0"/>
          <w:numId w:val="1"/>
        </w:numPr>
        <w:jc w:val="both"/>
        <w:rPr>
          <w:b/>
          <w:bCs/>
          <w:lang w:val="en-GB"/>
        </w:rPr>
      </w:pPr>
      <w:r w:rsidRPr="00393615">
        <w:rPr>
          <w:b/>
          <w:bCs/>
          <w:lang w:val="en-GB"/>
        </w:rPr>
        <w:t>Processing</w:t>
      </w:r>
    </w:p>
    <w:p w14:paraId="1F09B9F4" w14:textId="1F1D1707" w:rsidR="003245C6" w:rsidRDefault="00393615" w:rsidP="003245C6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SHOREX works as a suite of separated tools which carry out </w:t>
      </w:r>
      <w:r w:rsidR="00C8713E">
        <w:rPr>
          <w:lang w:val="en-GB"/>
        </w:rPr>
        <w:t xml:space="preserve">the different </w:t>
      </w:r>
      <w:r>
        <w:rPr>
          <w:lang w:val="en-GB"/>
        </w:rPr>
        <w:t>step</w:t>
      </w:r>
      <w:r w:rsidR="00C8713E">
        <w:rPr>
          <w:lang w:val="en-GB"/>
        </w:rPr>
        <w:t>s</w:t>
      </w:r>
      <w:r>
        <w:rPr>
          <w:lang w:val="en-GB"/>
        </w:rPr>
        <w:t xml:space="preserve"> of the </w:t>
      </w:r>
      <w:r w:rsidR="00C8713E">
        <w:rPr>
          <w:lang w:val="en-GB"/>
        </w:rPr>
        <w:t>shoreline extraction</w:t>
      </w:r>
      <w:r>
        <w:rPr>
          <w:lang w:val="en-GB"/>
        </w:rPr>
        <w:t>:</w:t>
      </w:r>
    </w:p>
    <w:p w14:paraId="054F9E56" w14:textId="2AF75DB3" w:rsidR="00393615" w:rsidRDefault="00393615" w:rsidP="0039361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Image downloading</w:t>
      </w:r>
      <w:r w:rsidR="00396EDF">
        <w:rPr>
          <w:lang w:val="en-GB"/>
        </w:rPr>
        <w:t xml:space="preserve"> from GEE</w:t>
      </w:r>
      <w:r>
        <w:rPr>
          <w:lang w:val="en-GB"/>
        </w:rPr>
        <w:t xml:space="preserve"> (inputs: date range, sensor, bands to be downloaded</w:t>
      </w:r>
      <w:r w:rsidR="00396EDF">
        <w:rPr>
          <w:lang w:val="en-GB"/>
        </w:rPr>
        <w:t xml:space="preserve">: RGB for subpixel georeferencing, AWEInsh water index for shoreline extraction at pixel level and SWIR1 for shoreline extraction at subpixel level). </w:t>
      </w:r>
    </w:p>
    <w:p w14:paraId="306D3B76" w14:textId="2A209D2D" w:rsidR="00393615" w:rsidRDefault="00396EDF" w:rsidP="0039361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Cloud filtering. SHOREX has a dedicated tool to visualize each RGB image to ensure that the area of analysis (and the area which will be used for subpixel georeferencing) are free of clouds.</w:t>
      </w:r>
    </w:p>
    <w:p w14:paraId="403A85B0" w14:textId="0A39022C" w:rsidR="00396EDF" w:rsidRDefault="00396EDF" w:rsidP="0039361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Image subpixel georeferencing. For this task we need an orthophotography of high resolution </w:t>
      </w:r>
      <w:r w:rsidR="00C8713E">
        <w:rPr>
          <w:lang w:val="en-GB"/>
        </w:rPr>
        <w:t xml:space="preserve">covering a region close </w:t>
      </w:r>
      <w:r>
        <w:rPr>
          <w:lang w:val="en-GB"/>
        </w:rPr>
        <w:t xml:space="preserve">to the </w:t>
      </w:r>
      <w:r w:rsidR="00C8713E">
        <w:rPr>
          <w:lang w:val="en-GB"/>
        </w:rPr>
        <w:t xml:space="preserve">beach segment </w:t>
      </w:r>
      <w:r>
        <w:rPr>
          <w:lang w:val="en-GB"/>
        </w:rPr>
        <w:t xml:space="preserve">to be analysed. This can be problematic in </w:t>
      </w:r>
      <w:r w:rsidR="00C8713E">
        <w:rPr>
          <w:lang w:val="en-GB"/>
        </w:rPr>
        <w:t xml:space="preserve">the </w:t>
      </w:r>
      <w:r>
        <w:rPr>
          <w:lang w:val="en-GB"/>
        </w:rPr>
        <w:t>case of areas located on narrow sandy barriers</w:t>
      </w:r>
      <w:r w:rsidR="006D23C0">
        <w:rPr>
          <w:lang w:val="en-GB"/>
        </w:rPr>
        <w:t>.</w:t>
      </w:r>
    </w:p>
    <w:p w14:paraId="038C41BF" w14:textId="48151439" w:rsidR="006D23C0" w:rsidRDefault="006D23C0" w:rsidP="0039361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Shoreline extraction at pixel level. For this task we use</w:t>
      </w:r>
      <w:r w:rsidR="00495AE0">
        <w:rPr>
          <w:lang w:val="en-GB"/>
        </w:rPr>
        <w:t xml:space="preserve"> the AWEInsh water index with the threshold 0 to </w:t>
      </w:r>
      <w:r w:rsidR="00C8713E">
        <w:rPr>
          <w:lang w:val="en-GB"/>
        </w:rPr>
        <w:t xml:space="preserve">distinguish </w:t>
      </w:r>
      <w:r w:rsidR="00495AE0">
        <w:rPr>
          <w:lang w:val="en-GB"/>
        </w:rPr>
        <w:t>between</w:t>
      </w:r>
      <w:r w:rsidR="00C8713E">
        <w:rPr>
          <w:lang w:val="en-GB"/>
        </w:rPr>
        <w:t xml:space="preserve"> the</w:t>
      </w:r>
      <w:r w:rsidR="00495AE0">
        <w:rPr>
          <w:lang w:val="en-GB"/>
        </w:rPr>
        <w:t xml:space="preserve"> water and </w:t>
      </w:r>
      <w:r w:rsidR="00C8713E">
        <w:rPr>
          <w:lang w:val="en-GB"/>
        </w:rPr>
        <w:t xml:space="preserve">the </w:t>
      </w:r>
      <w:r w:rsidR="00495AE0">
        <w:rPr>
          <w:lang w:val="en-GB"/>
        </w:rPr>
        <w:t xml:space="preserve">land. </w:t>
      </w:r>
    </w:p>
    <w:p w14:paraId="2F357872" w14:textId="19D78783" w:rsidR="008708BA" w:rsidRDefault="008708BA" w:rsidP="00393615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Shoreline extraction at subpixel level. Considering the shoreline </w:t>
      </w:r>
      <w:r w:rsidR="00EE4E9B">
        <w:rPr>
          <w:lang w:val="en-GB"/>
        </w:rPr>
        <w:t xml:space="preserve">at pixel level </w:t>
      </w:r>
      <w:r>
        <w:rPr>
          <w:lang w:val="en-GB"/>
        </w:rPr>
        <w:t xml:space="preserve">and the SWIR1 band, we perform a kernel analysis to determine the inflection points inside the surface of the SWIR1 kernel values (Laplacian operator equals to 0). </w:t>
      </w:r>
    </w:p>
    <w:p w14:paraId="150419CC" w14:textId="708AAC2D" w:rsidR="006A6ADC" w:rsidRDefault="006A6ADC" w:rsidP="008A5925">
      <w:pPr>
        <w:pStyle w:val="Prrafodelista"/>
        <w:ind w:left="1080"/>
        <w:jc w:val="both"/>
        <w:rPr>
          <w:lang w:val="en-GB"/>
        </w:rPr>
      </w:pPr>
    </w:p>
    <w:p w14:paraId="6A82E36C" w14:textId="6146AC14" w:rsidR="000F5B4A" w:rsidRDefault="000F5B4A" w:rsidP="008A5925">
      <w:pPr>
        <w:pStyle w:val="Prrafodelista"/>
        <w:ind w:left="1080"/>
        <w:jc w:val="both"/>
        <w:rPr>
          <w:lang w:val="en-GB"/>
        </w:rPr>
      </w:pPr>
      <w:r>
        <w:rPr>
          <w:lang w:val="en-GB"/>
        </w:rPr>
        <w:t xml:space="preserve">To conclude this section, we have to say that </w:t>
      </w:r>
      <w:r w:rsidR="00F602E4">
        <w:rPr>
          <w:lang w:val="en-GB"/>
        </w:rPr>
        <w:t xml:space="preserve">only those images coincident in time with the profiles have been processed. Among them, we only have processed </w:t>
      </w:r>
      <w:r w:rsidR="00C8713E">
        <w:rPr>
          <w:lang w:val="en-GB"/>
        </w:rPr>
        <w:t xml:space="preserve">the </w:t>
      </w:r>
      <w:r>
        <w:rPr>
          <w:lang w:val="en-GB"/>
        </w:rPr>
        <w:t xml:space="preserve">images </w:t>
      </w:r>
      <w:r w:rsidR="00C8713E">
        <w:rPr>
          <w:lang w:val="en-GB"/>
        </w:rPr>
        <w:t>free of clouds</w:t>
      </w:r>
      <w:r w:rsidR="004458C8">
        <w:rPr>
          <w:lang w:val="en-GB"/>
        </w:rPr>
        <w:t xml:space="preserve"> </w:t>
      </w:r>
      <w:r>
        <w:rPr>
          <w:lang w:val="en-GB"/>
        </w:rPr>
        <w:t xml:space="preserve">with a </w:t>
      </w:r>
      <w:r w:rsidR="00C8713E">
        <w:rPr>
          <w:lang w:val="en-GB"/>
        </w:rPr>
        <w:t xml:space="preserve">maximum </w:t>
      </w:r>
      <w:r>
        <w:rPr>
          <w:lang w:val="en-GB"/>
        </w:rPr>
        <w:t xml:space="preserve">offset of 10 days with </w:t>
      </w:r>
      <w:r w:rsidR="00C8713E">
        <w:rPr>
          <w:lang w:val="en-GB"/>
        </w:rPr>
        <w:t xml:space="preserve">respect to </w:t>
      </w:r>
      <w:r>
        <w:rPr>
          <w:lang w:val="en-GB"/>
        </w:rPr>
        <w:t xml:space="preserve">the date </w:t>
      </w:r>
      <w:r w:rsidR="00C8713E">
        <w:rPr>
          <w:lang w:val="en-GB"/>
        </w:rPr>
        <w:t xml:space="preserve">in which </w:t>
      </w:r>
      <w:r>
        <w:rPr>
          <w:lang w:val="en-GB"/>
        </w:rPr>
        <w:t>the profiles were acquired</w:t>
      </w:r>
      <w:r w:rsidR="00C8713E">
        <w:rPr>
          <w:lang w:val="en-GB"/>
        </w:rPr>
        <w:t xml:space="preserve">. </w:t>
      </w:r>
    </w:p>
    <w:p w14:paraId="41A03FEE" w14:textId="77777777" w:rsidR="006A6ADC" w:rsidRPr="00FE43F5" w:rsidRDefault="006A6ADC" w:rsidP="008A5925">
      <w:pPr>
        <w:pStyle w:val="Prrafodelista"/>
        <w:ind w:left="1080"/>
        <w:jc w:val="both"/>
        <w:rPr>
          <w:lang w:val="en-GB"/>
        </w:rPr>
      </w:pPr>
    </w:p>
    <w:p w14:paraId="6814505D" w14:textId="146624D8" w:rsidR="00FE43F5" w:rsidRDefault="00FE43F5" w:rsidP="00FE43F5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FE43F5">
        <w:rPr>
          <w:lang w:val="en-GB"/>
        </w:rPr>
        <w:t>Results</w:t>
      </w:r>
    </w:p>
    <w:p w14:paraId="547E18E7" w14:textId="61A6AC7C" w:rsidR="00396C18" w:rsidRDefault="00396C18" w:rsidP="00396C18">
      <w:pPr>
        <w:pStyle w:val="Prrafodelista"/>
        <w:jc w:val="both"/>
        <w:rPr>
          <w:lang w:val="en-GB"/>
        </w:rPr>
      </w:pPr>
      <w:r>
        <w:rPr>
          <w:lang w:val="en-GB"/>
        </w:rPr>
        <w:t>Next table</w:t>
      </w:r>
      <w:r w:rsidR="00EE4E9B">
        <w:rPr>
          <w:lang w:val="en-GB"/>
        </w:rPr>
        <w:t xml:space="preserve"> and figures</w:t>
      </w:r>
      <w:r>
        <w:rPr>
          <w:lang w:val="en-GB"/>
        </w:rPr>
        <w:t xml:space="preserve"> present </w:t>
      </w:r>
      <w:r w:rsidR="00EE4E9B">
        <w:rPr>
          <w:lang w:val="en-GB"/>
        </w:rPr>
        <w:t>the results</w:t>
      </w:r>
      <w:r>
        <w:rPr>
          <w:lang w:val="en-GB"/>
        </w:rPr>
        <w:t xml:space="preserve"> </w:t>
      </w:r>
      <w:r w:rsidR="00C8713E">
        <w:rPr>
          <w:lang w:val="en-GB"/>
        </w:rPr>
        <w:t>obtained when carrying out the accuracy assessment. They are</w:t>
      </w:r>
      <w:r>
        <w:rPr>
          <w:lang w:val="en-GB"/>
        </w:rPr>
        <w:t xml:space="preserve"> grouped </w:t>
      </w:r>
      <w:r w:rsidR="00EE4E9B">
        <w:rPr>
          <w:lang w:val="en-GB"/>
        </w:rPr>
        <w:t xml:space="preserve">showing the </w:t>
      </w:r>
      <w:r>
        <w:rPr>
          <w:lang w:val="en-GB"/>
        </w:rPr>
        <w:t xml:space="preserve">bias, standard deviation and RMSE for each </w:t>
      </w:r>
      <w:r w:rsidR="00EE4E9B">
        <w:rPr>
          <w:lang w:val="en-GB"/>
        </w:rPr>
        <w:t xml:space="preserve">study </w:t>
      </w:r>
      <w:r>
        <w:rPr>
          <w:lang w:val="en-GB"/>
        </w:rPr>
        <w:t>site</w:t>
      </w:r>
      <w:r w:rsidR="004458C8">
        <w:rPr>
          <w:lang w:val="en-GB"/>
        </w:rPr>
        <w:t xml:space="preserve">, both considering raw data and the tidally corrected. </w:t>
      </w:r>
      <w:r w:rsidR="00F602E4">
        <w:rPr>
          <w:lang w:val="en-GB"/>
        </w:rPr>
        <w:t>As suggested, the columns on the right show the results for Truc Vert when discarding the images acquired during low tide.</w:t>
      </w:r>
    </w:p>
    <w:p w14:paraId="1E638ADE" w14:textId="6BD32416" w:rsidR="00EE4E9B" w:rsidRDefault="00EE4E9B" w:rsidP="00396C18">
      <w:pPr>
        <w:pStyle w:val="Prrafodelista"/>
        <w:jc w:val="both"/>
        <w:rPr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05"/>
        <w:gridCol w:w="1605"/>
        <w:gridCol w:w="1649"/>
        <w:gridCol w:w="1605"/>
        <w:gridCol w:w="1667"/>
        <w:gridCol w:w="1605"/>
      </w:tblGrid>
      <w:tr w:rsidR="00ED7969" w14:paraId="0B952A9C" w14:textId="77777777" w:rsidTr="00ED7969">
        <w:tc>
          <w:tcPr>
            <w:tcW w:w="1605" w:type="dxa"/>
          </w:tcPr>
          <w:p w14:paraId="586DEA26" w14:textId="77777777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605" w:type="dxa"/>
          </w:tcPr>
          <w:p w14:paraId="0BBC9F2E" w14:textId="77777777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3254" w:type="dxa"/>
            <w:gridSpan w:val="2"/>
            <w:shd w:val="clear" w:color="auto" w:fill="C5E0B3" w:themeFill="accent6" w:themeFillTint="66"/>
          </w:tcPr>
          <w:p w14:paraId="74EA5ED6" w14:textId="57774CB8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All dates</w:t>
            </w:r>
          </w:p>
        </w:tc>
        <w:tc>
          <w:tcPr>
            <w:tcW w:w="3272" w:type="dxa"/>
            <w:gridSpan w:val="2"/>
            <w:shd w:val="clear" w:color="auto" w:fill="FFF2CC" w:themeFill="accent4" w:themeFillTint="33"/>
          </w:tcPr>
          <w:p w14:paraId="206631E7" w14:textId="505BF03D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Filtered (MSL &gt;= 0.2)</w:t>
            </w:r>
          </w:p>
        </w:tc>
      </w:tr>
      <w:tr w:rsidR="00ED7969" w14:paraId="5894C516" w14:textId="77777777" w:rsidTr="00ED7969">
        <w:tc>
          <w:tcPr>
            <w:tcW w:w="1605" w:type="dxa"/>
          </w:tcPr>
          <w:p w14:paraId="74906548" w14:textId="45A97599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Site</w:t>
            </w:r>
          </w:p>
        </w:tc>
        <w:tc>
          <w:tcPr>
            <w:tcW w:w="1605" w:type="dxa"/>
          </w:tcPr>
          <w:p w14:paraId="628A675A" w14:textId="6C9867CE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Slope / MHWS</w:t>
            </w:r>
          </w:p>
        </w:tc>
        <w:tc>
          <w:tcPr>
            <w:tcW w:w="1649" w:type="dxa"/>
            <w:shd w:val="clear" w:color="auto" w:fill="C5E0B3" w:themeFill="accent6" w:themeFillTint="66"/>
          </w:tcPr>
          <w:p w14:paraId="72ABCC9F" w14:textId="1C370369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Raw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43D5E34D" w14:textId="302EF232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Tidally corrected</w:t>
            </w:r>
          </w:p>
        </w:tc>
        <w:tc>
          <w:tcPr>
            <w:tcW w:w="1667" w:type="dxa"/>
            <w:shd w:val="clear" w:color="auto" w:fill="FFF2CC" w:themeFill="accent4" w:themeFillTint="33"/>
          </w:tcPr>
          <w:p w14:paraId="7F7DDE68" w14:textId="33631900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Raw</w:t>
            </w:r>
          </w:p>
        </w:tc>
        <w:tc>
          <w:tcPr>
            <w:tcW w:w="1605" w:type="dxa"/>
            <w:shd w:val="clear" w:color="auto" w:fill="FFF2CC" w:themeFill="accent4" w:themeFillTint="33"/>
          </w:tcPr>
          <w:p w14:paraId="1ACA2908" w14:textId="7BC2E732" w:rsidR="00ED7969" w:rsidRPr="00ED7969" w:rsidRDefault="00ED7969" w:rsidP="00ED796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ED7969">
              <w:rPr>
                <w:b/>
                <w:bCs/>
                <w:sz w:val="18"/>
                <w:szCs w:val="18"/>
                <w:lang w:val="en-GB"/>
              </w:rPr>
              <w:t>Tidally corrected</w:t>
            </w:r>
          </w:p>
        </w:tc>
      </w:tr>
      <w:tr w:rsidR="00ED7969" w14:paraId="390CA6AB" w14:textId="77777777" w:rsidTr="00ED7969">
        <w:tc>
          <w:tcPr>
            <w:tcW w:w="1605" w:type="dxa"/>
          </w:tcPr>
          <w:p w14:paraId="5E59CB23" w14:textId="2531D7AF" w:rsidR="00ED7969" w:rsidRPr="00ED7969" w:rsidRDefault="00ED7969" w:rsidP="00ED7969">
            <w:pPr>
              <w:pStyle w:val="Prrafodelista"/>
              <w:ind w:left="0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Duck</w:t>
            </w:r>
          </w:p>
        </w:tc>
        <w:tc>
          <w:tcPr>
            <w:tcW w:w="1605" w:type="dxa"/>
          </w:tcPr>
          <w:p w14:paraId="35D2D801" w14:textId="7FCBFB77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0.1/0.585</w:t>
            </w:r>
          </w:p>
        </w:tc>
        <w:tc>
          <w:tcPr>
            <w:tcW w:w="1649" w:type="dxa"/>
            <w:shd w:val="clear" w:color="auto" w:fill="C5E0B3" w:themeFill="accent6" w:themeFillTint="66"/>
          </w:tcPr>
          <w:p w14:paraId="74B5737B" w14:textId="4F7B09FA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2.6±8.4 (8.8)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701C1CB5" w14:textId="3E3A9E80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-3.2±8.0 (8,6)</w:t>
            </w:r>
          </w:p>
        </w:tc>
        <w:tc>
          <w:tcPr>
            <w:tcW w:w="1667" w:type="dxa"/>
            <w:shd w:val="clear" w:color="auto" w:fill="FFF2CC" w:themeFill="accent4" w:themeFillTint="33"/>
          </w:tcPr>
          <w:p w14:paraId="018642AB" w14:textId="06DE2AC0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FFF2CC" w:themeFill="accent4" w:themeFillTint="33"/>
          </w:tcPr>
          <w:p w14:paraId="16B857CA" w14:textId="141AB010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</w:tr>
      <w:tr w:rsidR="00ED7969" w14:paraId="1D1C1751" w14:textId="77777777" w:rsidTr="00ED7969">
        <w:tc>
          <w:tcPr>
            <w:tcW w:w="1605" w:type="dxa"/>
          </w:tcPr>
          <w:p w14:paraId="3562BBA3" w14:textId="042C0847" w:rsidR="00ED7969" w:rsidRPr="00ED7969" w:rsidRDefault="00ED7969" w:rsidP="00ED7969">
            <w:pPr>
              <w:pStyle w:val="Prrafodelista"/>
              <w:ind w:left="0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Narrabeen</w:t>
            </w:r>
          </w:p>
        </w:tc>
        <w:tc>
          <w:tcPr>
            <w:tcW w:w="1605" w:type="dxa"/>
          </w:tcPr>
          <w:p w14:paraId="27C51F5A" w14:textId="69DF76CE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0.1/ 0.7</w:t>
            </w:r>
          </w:p>
        </w:tc>
        <w:tc>
          <w:tcPr>
            <w:tcW w:w="1649" w:type="dxa"/>
            <w:shd w:val="clear" w:color="auto" w:fill="C5E0B3" w:themeFill="accent6" w:themeFillTint="66"/>
          </w:tcPr>
          <w:p w14:paraId="50508FF1" w14:textId="3CDDA2AA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10.1±10.0 (14.2)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3DAEFEFF" w14:textId="1DB627D4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4.2±9.7 (10.5)</w:t>
            </w:r>
          </w:p>
        </w:tc>
        <w:tc>
          <w:tcPr>
            <w:tcW w:w="1667" w:type="dxa"/>
            <w:shd w:val="clear" w:color="auto" w:fill="FFF2CC" w:themeFill="accent4" w:themeFillTint="33"/>
          </w:tcPr>
          <w:p w14:paraId="7D794C6F" w14:textId="5EE12503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FFF2CC" w:themeFill="accent4" w:themeFillTint="33"/>
          </w:tcPr>
          <w:p w14:paraId="31762953" w14:textId="7E55BDB3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</w:tr>
      <w:tr w:rsidR="00ED7969" w14:paraId="63AD606E" w14:textId="77777777" w:rsidTr="00ED7969">
        <w:tc>
          <w:tcPr>
            <w:tcW w:w="1605" w:type="dxa"/>
          </w:tcPr>
          <w:p w14:paraId="59B740D0" w14:textId="29AF3C78" w:rsidR="00ED7969" w:rsidRPr="00ED7969" w:rsidRDefault="00ED7969" w:rsidP="00ED7969">
            <w:pPr>
              <w:pStyle w:val="Prrafodelista"/>
              <w:ind w:left="0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Torrey</w:t>
            </w:r>
            <w:r w:rsidR="00C8713E">
              <w:rPr>
                <w:sz w:val="18"/>
                <w:szCs w:val="18"/>
              </w:rPr>
              <w:t xml:space="preserve"> P</w:t>
            </w:r>
            <w:r w:rsidRPr="00ED7969">
              <w:rPr>
                <w:sz w:val="18"/>
                <w:szCs w:val="18"/>
              </w:rPr>
              <w:t>ines</w:t>
            </w:r>
          </w:p>
        </w:tc>
        <w:tc>
          <w:tcPr>
            <w:tcW w:w="1605" w:type="dxa"/>
          </w:tcPr>
          <w:p w14:paraId="663E42DA" w14:textId="7022C236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0.045/1.566</w:t>
            </w:r>
          </w:p>
        </w:tc>
        <w:tc>
          <w:tcPr>
            <w:tcW w:w="1649" w:type="dxa"/>
            <w:shd w:val="clear" w:color="auto" w:fill="C5E0B3" w:themeFill="accent6" w:themeFillTint="66"/>
          </w:tcPr>
          <w:p w14:paraId="7D97967C" w14:textId="0081756D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10.7±11.0 (15.3)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3B750577" w14:textId="018287FB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-4.7±15.3 (16.0)</w:t>
            </w:r>
          </w:p>
        </w:tc>
        <w:tc>
          <w:tcPr>
            <w:tcW w:w="1667" w:type="dxa"/>
            <w:shd w:val="clear" w:color="auto" w:fill="FFF2CC" w:themeFill="accent4" w:themeFillTint="33"/>
          </w:tcPr>
          <w:p w14:paraId="135F67CC" w14:textId="3A5B8585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FFF2CC" w:themeFill="accent4" w:themeFillTint="33"/>
          </w:tcPr>
          <w:p w14:paraId="4E1DAE1D" w14:textId="641E2524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</w:t>
            </w:r>
          </w:p>
        </w:tc>
      </w:tr>
      <w:tr w:rsidR="00ED7969" w14:paraId="74282D52" w14:textId="77777777" w:rsidTr="00ED7969">
        <w:tc>
          <w:tcPr>
            <w:tcW w:w="1605" w:type="dxa"/>
          </w:tcPr>
          <w:p w14:paraId="0D594A42" w14:textId="42AF7EF7" w:rsidR="00ED7969" w:rsidRPr="00ED7969" w:rsidRDefault="00ED7969" w:rsidP="00ED7969">
            <w:pPr>
              <w:pStyle w:val="Prrafodelista"/>
              <w:ind w:left="0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Truc</w:t>
            </w:r>
            <w:r w:rsidR="00C8713E">
              <w:rPr>
                <w:sz w:val="18"/>
                <w:szCs w:val="18"/>
              </w:rPr>
              <w:t xml:space="preserve"> V</w:t>
            </w:r>
            <w:r w:rsidRPr="00ED7969">
              <w:rPr>
                <w:sz w:val="18"/>
                <w:szCs w:val="18"/>
              </w:rPr>
              <w:t>ert</w:t>
            </w:r>
          </w:p>
        </w:tc>
        <w:tc>
          <w:tcPr>
            <w:tcW w:w="1605" w:type="dxa"/>
          </w:tcPr>
          <w:p w14:paraId="358287D7" w14:textId="07A75033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0.05/1.5</w:t>
            </w:r>
          </w:p>
        </w:tc>
        <w:tc>
          <w:tcPr>
            <w:tcW w:w="1649" w:type="dxa"/>
            <w:shd w:val="clear" w:color="auto" w:fill="C5E0B3" w:themeFill="accent6" w:themeFillTint="66"/>
          </w:tcPr>
          <w:p w14:paraId="6BA20FFB" w14:textId="38BC735A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1.0±26.3 (26.3)</w:t>
            </w:r>
          </w:p>
        </w:tc>
        <w:tc>
          <w:tcPr>
            <w:tcW w:w="1605" w:type="dxa"/>
            <w:shd w:val="clear" w:color="auto" w:fill="C5E0B3" w:themeFill="accent6" w:themeFillTint="66"/>
          </w:tcPr>
          <w:p w14:paraId="434BF7F6" w14:textId="30A22573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-31.3±29.1 (42.7)</w:t>
            </w:r>
          </w:p>
        </w:tc>
        <w:tc>
          <w:tcPr>
            <w:tcW w:w="1667" w:type="dxa"/>
            <w:shd w:val="clear" w:color="auto" w:fill="FFF2CC" w:themeFill="accent4" w:themeFillTint="33"/>
          </w:tcPr>
          <w:p w14:paraId="547461DF" w14:textId="7383D082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2.0±24.2 (24.3)</w:t>
            </w:r>
          </w:p>
        </w:tc>
        <w:tc>
          <w:tcPr>
            <w:tcW w:w="1605" w:type="dxa"/>
            <w:shd w:val="clear" w:color="auto" w:fill="FFF2CC" w:themeFill="accent4" w:themeFillTint="33"/>
          </w:tcPr>
          <w:p w14:paraId="0FDB891F" w14:textId="22E303CA" w:rsidR="00ED7969" w:rsidRPr="00ED7969" w:rsidRDefault="00ED7969" w:rsidP="00ED7969">
            <w:pPr>
              <w:pStyle w:val="Prrafodelista"/>
              <w:ind w:left="0"/>
              <w:jc w:val="center"/>
              <w:rPr>
                <w:sz w:val="18"/>
                <w:szCs w:val="18"/>
                <w:lang w:val="en-GB"/>
              </w:rPr>
            </w:pPr>
            <w:r w:rsidRPr="00ED7969">
              <w:rPr>
                <w:sz w:val="18"/>
                <w:szCs w:val="18"/>
              </w:rPr>
              <w:t>-13.6±24.7 (28.2)</w:t>
            </w:r>
          </w:p>
        </w:tc>
      </w:tr>
    </w:tbl>
    <w:p w14:paraId="3E379FFE" w14:textId="03C79851" w:rsidR="004F1823" w:rsidRPr="00537B7E" w:rsidRDefault="004F1823" w:rsidP="00537B7E">
      <w:pPr>
        <w:jc w:val="both"/>
        <w:rPr>
          <w:lang w:val="en-GB"/>
        </w:rPr>
      </w:pPr>
    </w:p>
    <w:p w14:paraId="1B2B1247" w14:textId="3EAA41F0" w:rsidR="00923BBA" w:rsidRDefault="00923BBA" w:rsidP="00923BBA">
      <w:pPr>
        <w:pStyle w:val="Prrafodelista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78173D" wp14:editId="1488FD6C">
            <wp:extent cx="5560398" cy="1853643"/>
            <wp:effectExtent l="0" t="0" r="2540" b="0"/>
            <wp:docPr id="6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70" cy="185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6E67" w14:textId="75F31F04" w:rsidR="00923BBA" w:rsidRDefault="00923BBA" w:rsidP="00923BBA">
      <w:pPr>
        <w:pStyle w:val="Prrafodelista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E272843" wp14:editId="4735CC80">
            <wp:extent cx="5562000" cy="1854000"/>
            <wp:effectExtent l="0" t="0" r="635" b="0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D877" w14:textId="153AF124" w:rsidR="00923BBA" w:rsidRDefault="00923BBA" w:rsidP="00923BBA">
      <w:pPr>
        <w:pStyle w:val="Prrafodelista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7363F64" wp14:editId="6DE2148A">
            <wp:extent cx="5562000" cy="1854000"/>
            <wp:effectExtent l="0" t="0" r="635" b="0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A110" w14:textId="49165961" w:rsidR="00923BBA" w:rsidRDefault="003A2B61" w:rsidP="00923BBA">
      <w:pPr>
        <w:pStyle w:val="Prrafodelista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D101207" wp14:editId="35EED611">
            <wp:extent cx="5562000" cy="1854000"/>
            <wp:effectExtent l="0" t="0" r="635" b="0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DC38" w14:textId="77777777" w:rsidR="00A65318" w:rsidRDefault="00A65318" w:rsidP="00923BBA">
      <w:pPr>
        <w:pStyle w:val="Prrafodelista"/>
        <w:jc w:val="center"/>
        <w:rPr>
          <w:lang w:val="en-GB"/>
        </w:rPr>
      </w:pPr>
    </w:p>
    <w:p w14:paraId="51B6DBD0" w14:textId="77777777" w:rsidR="00E7207B" w:rsidRDefault="00E7207B" w:rsidP="00923BBA">
      <w:pPr>
        <w:pStyle w:val="Prrafodelista"/>
        <w:jc w:val="center"/>
        <w:rPr>
          <w:lang w:val="en-GB"/>
        </w:rPr>
      </w:pPr>
    </w:p>
    <w:sectPr w:rsidR="00E7207B" w:rsidSect="00B07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E70"/>
    <w:multiLevelType w:val="hybridMultilevel"/>
    <w:tmpl w:val="4FB8D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03D6"/>
    <w:multiLevelType w:val="hybridMultilevel"/>
    <w:tmpl w:val="A6FC8C96"/>
    <w:lvl w:ilvl="0" w:tplc="C9CAFA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C49C9"/>
    <w:multiLevelType w:val="hybridMultilevel"/>
    <w:tmpl w:val="8C2E5246"/>
    <w:lvl w:ilvl="0" w:tplc="9104CD6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9095290">
    <w:abstractNumId w:val="0"/>
  </w:num>
  <w:num w:numId="2" w16cid:durableId="621763606">
    <w:abstractNumId w:val="1"/>
  </w:num>
  <w:num w:numId="3" w16cid:durableId="80419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1"/>
    <w:rsid w:val="000B3C37"/>
    <w:rsid w:val="000B7E96"/>
    <w:rsid w:val="000F5B4A"/>
    <w:rsid w:val="0010568A"/>
    <w:rsid w:val="001A5541"/>
    <w:rsid w:val="002658B0"/>
    <w:rsid w:val="003245C6"/>
    <w:rsid w:val="00393615"/>
    <w:rsid w:val="00396C18"/>
    <w:rsid w:val="00396EDF"/>
    <w:rsid w:val="003A2B61"/>
    <w:rsid w:val="003A4509"/>
    <w:rsid w:val="004458C8"/>
    <w:rsid w:val="00495AE0"/>
    <w:rsid w:val="004F1823"/>
    <w:rsid w:val="00537B7E"/>
    <w:rsid w:val="005D1933"/>
    <w:rsid w:val="005E334A"/>
    <w:rsid w:val="006A6ADC"/>
    <w:rsid w:val="006C0BCB"/>
    <w:rsid w:val="006D23C0"/>
    <w:rsid w:val="00772F1B"/>
    <w:rsid w:val="0077539E"/>
    <w:rsid w:val="00795981"/>
    <w:rsid w:val="00796D58"/>
    <w:rsid w:val="007E0287"/>
    <w:rsid w:val="00832A2C"/>
    <w:rsid w:val="008708BA"/>
    <w:rsid w:val="008A5925"/>
    <w:rsid w:val="00923BBA"/>
    <w:rsid w:val="00A032FC"/>
    <w:rsid w:val="00A65318"/>
    <w:rsid w:val="00B07D5E"/>
    <w:rsid w:val="00B22E7F"/>
    <w:rsid w:val="00B279C9"/>
    <w:rsid w:val="00C8713E"/>
    <w:rsid w:val="00CB0D3F"/>
    <w:rsid w:val="00D053CF"/>
    <w:rsid w:val="00DC70A9"/>
    <w:rsid w:val="00E22B8E"/>
    <w:rsid w:val="00E42AA5"/>
    <w:rsid w:val="00E7207B"/>
    <w:rsid w:val="00ED7969"/>
    <w:rsid w:val="00EE4E9B"/>
    <w:rsid w:val="00F602E4"/>
    <w:rsid w:val="00FA4252"/>
    <w:rsid w:val="00FD14D3"/>
    <w:rsid w:val="00FE43F5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D756"/>
  <w15:chartTrackingRefBased/>
  <w15:docId w15:val="{ADABC0DD-08F3-42F2-A9A0-67BBD51E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7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13E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A4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Manuel Palomar Vázquez</dc:creator>
  <cp:keywords/>
  <dc:description/>
  <cp:lastModifiedBy>Jesús Manuel Palomar Vázquez</cp:lastModifiedBy>
  <cp:revision>23</cp:revision>
  <dcterms:created xsi:type="dcterms:W3CDTF">2023-01-12T10:42:00Z</dcterms:created>
  <dcterms:modified xsi:type="dcterms:W3CDTF">2023-01-13T12:14:00Z</dcterms:modified>
</cp:coreProperties>
</file>