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NEEPO-CARE Project Document</w:t>
      </w:r>
    </w:p>
    <w:p>
      <w:pPr>
        <w:pStyle w:val="Subtitle"/>
      </w:pPr>
      <w:r>
        <w:t>System Architecture, Decision Algorithms, Data Schemas &amp; Operational Specifications | v1.0.0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 &amp; Mission</w:t>
      </w:r>
    </w:p>
    <w:p>
      <w:pPr>
        <w:pStyle w:val="Normal"/>
      </w:pPr>
      <w:r>
        <w:rPr>
          <w:b/>
        </w:rPr>
        <w:t xml:space="preserve">NEEPO-CARE </w:t>
      </w:r>
      <w:r>
        <w:rPr/>
        <w:t xml:space="preserve">(Context-Aware Recovery Engine) is an enterprise-grade, explainable logistics disruption-recovery platform engineered for high-consequence freight operations, including refrigerated pharmaceutical/food cold chains, hazardous goods, and time-critical industrial logistics.</w:t>
      </w:r>
    </w:p>
    <w:p>
      <w:pPr>
        <w:pStyle w:val="Normal"/>
      </w:pPr>
      <w:r>
        <w:rPr/>
        <w:t xml:space="preserve">Traditional logistics recovery systems rely either on manual human dispatcher triage (slow, high error rate, subjective) or opaque 'black-box' machine learning heuristics (unpredictable, unexplainable, failure to guarantee physical and regulatory constraint satisfaction). NEEPO-CARE provides deterministic, mathematically verifiable, and explainable disruption detection and recovery planning.</w:t>
      </w:r>
    </w:p>
    <w:p>
      <w:pPr>
        <w:pStyle w:val="Callout"/>
      </w:pPr>
      <w:r>
        <w:rPr>
          <w:b/>
          <w:color w:val="0284C7"/>
        </w:rPr>
        <w:t>CORE VALUE PROPOSITION: </w:t>
      </w:r>
      <w:r>
        <w:t>Unsafe plans (e.g. cold-chain thermal breach, weight limits exceeded, expired provider certification, driver duty hour violations) are strictly rejected with immutable evidence—never compensated by soft scores.</w:t>
      </w:r>
    </w:p>
    <w:p>
      <w:pPr>
        <w:pStyle w:val="Heading2"/>
      </w:pPr>
      <w:r>
        <w:t>1.2 Core Architectural Differentiators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Explainability Over Black Boxes: </w:t>
      </w:r>
      <w:r>
        <w:rPr/>
        <w:t xml:space="preserve">Every recovery plan approval or rejection generates unambiguous, machine- and human-readable explanation codes backed by immutable evidence snapshots.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Zero-Tolerance Hard Constraint Filtering: </w:t>
      </w:r>
      <w:r>
        <w:rPr/>
        <w:t xml:space="preserve">Hard physical and legal constraints strictly disqualify infeasible plans prior to utility ranking.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Deterministic &amp; Reversible Plan Selection: </w:t>
      </w:r>
      <w:r>
        <w:rPr/>
        <w:t xml:space="preserve">Given identical input context snapshots, CARE produces bit-for-bit identical plan rankings with predictable canonical tie-breaking.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Autonomous Invalidation &amp; Re-planning: </w:t>
      </w:r>
      <w:r>
        <w:rPr/>
        <w:t xml:space="preserve">Real-time monitoring invalidates an active recovery plan if conditions degrade (e.g. provider cancels, ETA breached) and triggers an immediate, idempotent re-planning cycle.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Adaptive Telemetry Orchestration: </w:t>
      </w:r>
      <w:r>
        <w:rPr/>
        <w:t xml:space="preserve">Sensor transmission frequency dynamically adjusts between 3s (emergency) and 120s (safely parked) based on operational risk.</w:t>
      </w:r>
    </w:p>
    <w:p>
      <w:pPr>
        <w:pStyle w:val="Heading1"/>
      </w:pPr>
      <w:r>
        <w:t>2. System Architecture &amp; Modular Monolith Design</w:t>
      </w:r>
    </w:p>
    <w:p>
      <w:pPr>
        <w:pStyle w:val="Normal"/>
      </w:pPr>
      <w:r>
        <w:rPr/>
        <w:t xml:space="preserve">NEEPO-CARE is engineered as a clean modular monolith with explicit domain boundaries, strict Data Transfer Object (DTO) translation, and asynchronous WebSocket state distribution.</w:t>
      </w:r>
    </w:p>
    <w:tbl>
      <w:tblPr>
        <w:tblW w:w="936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  <w:cantSplit/>
        </w:trPr>
        <w:tc>
          <w:tcPr>
            <w:tcW w:w="24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Subsystem / Module</w:t>
            </w:r>
          </w:p>
        </w:tc>
        <w:tc>
          <w:tcPr>
            <w:tcW w:w="36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w="336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Strict Non-Responsibilities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Backend Platform (backend/)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Identity, JWT Authentication, Multi-tenant Isolation, Spring Data JPA / Flyway persistence, REST API exposure, Idempotent event ledger, Audit logging, WebSocket delivery.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Does not contain decision heuristics or scoring algorithms.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CARE Engine (care-engine/)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Immutable context snapshot construction, Disruption classification, Candidate template expansion, Hard constraint evaluation, Multi-attribute utility computation, Selection &amp; Invalidation.</w:t>
            </w:r>
          </w:p>
        </w:tc>
        <w:tc>
          <w:tcPr>
            <w:tcW w:w="3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Completely decoupled from Spring, HTTP, and direct JPA database entities. Uses pure Java records.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Frontend PWA (frontend/)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Responsive PWA for Admin, Dispatcher, and Driver roles. Interactive Leaflet route &amp; detour mapping, real-time gauges, decision comparison matrices, offline telemetry queue.</w:t>
            </w:r>
          </w:p>
        </w:tc>
        <w:tc>
          <w:tcPr>
            <w:tcW w:w="3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Does not execute business logic or validate constraints locally.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Data Layer (database/)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PostgreSQL 17 with PostGIS 3.5 spatial capabilities. Flyway V1-V7 migration pipeline. GiST spatial indexes and B-tree temporal indexes.</w:t>
            </w:r>
          </w:p>
        </w:tc>
        <w:tc>
          <w:tcPr>
            <w:tcW w:w="3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No unversioned schema mutations.</w:t>
            </w:r>
          </w:p>
        </w:tc>
      </w:tr>
    </w:tbl>
    <w:p>
      <w:pPr>
        <w:pStyle w:val="Heading1"/>
      </w:pPr>
      <w:r>
        <w:t>3. CARE Engine: Formal Decision Model &amp; Rules</w:t>
      </w:r>
    </w:p>
    <w:p>
      <w:pPr>
        <w:pStyle w:val="Heading2"/>
      </w:pPr>
      <w:r>
        <w:t>3.1 Multi-Attribute Utility Formulation</w:t>
      </w:r>
    </w:p>
    <w:p>
      <w:pPr>
        <w:pStyle w:val="Normal"/>
      </w:pPr>
      <w:r>
        <w:rPr/>
        <w:t xml:space="preserve">For any candidate recovery plan p that satisfies all hard constraints, CARE evaluates the overall operational utility U(p):</w:t>
      </w:r>
    </w:p>
    <w:p>
      <w:pPr>
        <w:pStyle w:val="Callout"/>
      </w:pPr>
      <w:r>
        <w:rPr>
          <w:b/>
          <w:color w:val="0284C7"/>
        </w:rPr>
        <w:t>FORMAL UTILITY EQUATION: </w:t>
      </w:r>
      <w:r>
        <w:t>U(p) = B(p) - (lambda * R(p)) - (mu * S(p))
Where B(p) is Normalized Operational Benefit [0..100], R(p) is Execution Risk [0..100], S(p) is Staleness/Uncertainty Penalty [0..100], lambda is Risk Weight, and mu is Staleness Weight.</w:t>
      </w:r>
    </w:p>
    <w:p>
      <w:pPr>
        <w:pStyle w:val="Heading2"/>
      </w:pPr>
      <w:r>
        <w:t>3.2 Hard Constraint Catalog</w:t>
      </w:r>
    </w:p>
    <w:tbl>
      <w:tblPr>
        <w:tblW w:w="936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  <w:cantSplit/>
        </w:trPr>
        <w:tc>
          <w:tcPr>
            <w:tcW w:w="22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Rule Code</w:t>
            </w:r>
          </w:p>
        </w:tc>
        <w:tc>
          <w:tcPr>
            <w:tcW w:w="32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Constraint Name</w:t>
            </w:r>
          </w:p>
        </w:tc>
        <w:tc>
          <w:tcPr>
            <w:tcW w:w="396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Rejection Condition &amp; Code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VEHICLE-COMPAT-001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Vehicle &amp; Bay Compatibility</w:t>
            </w:r>
          </w:p>
        </w:tc>
        <w:tc>
          <w:tcPr>
            <w:tcW w:w="39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Provider equipment or substitute cannot accept vehicle dimensions/weight -&gt; VEHICLE_TYPE_UNSUPPORTED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ROUTE-DIM-001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Physical Route Limits</w:t>
            </w:r>
          </w:p>
        </w:tc>
        <w:tc>
          <w:tcPr>
            <w:tcW w:w="39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Bridge height, tunnel width, or gross axle weight limit exceeded -&gt; ROAD_DIM_EXCEEDED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CARGO-TEMP-001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Cold Chain Thermal Boundary</w:t>
            </w:r>
          </w:p>
        </w:tc>
        <w:tc>
          <w:tcPr>
            <w:tcW w:w="39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Predicted cargo temperature breaches allowed range [Tmin, Tmax] -&gt; CARGO_TEMPERATURE_AT_RISK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PROVIDER-FRESH-001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Provider Freshness &amp; Cap</w:t>
            </w:r>
          </w:p>
        </w:tc>
        <w:tc>
          <w:tcPr>
            <w:tcW w:w="39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Provider unavailable, lacking capability, or status older than 10 mins -&gt; PROVIDER_AVAILABILITY_EXPIRED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DRIVER-HOURS-001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Driver Hours of Service (HOS)</w:t>
            </w:r>
          </w:p>
        </w:tc>
        <w:tc>
          <w:tcPr>
            <w:tcW w:w="39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Plan travel and wait duration exceeds legal remaining driving time -&gt; DRIVER_HOURS_INSUFFICIENT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SAFE-STOP-001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Safe Stopping Harbor</w:t>
            </w:r>
          </w:p>
        </w:tc>
        <w:tc>
          <w:tcPr>
            <w:tcW w:w="39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Stopping required at location lacking verified security rating -&gt; STOP_LOCATION_UNSAFE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DEADLINE-001</w:t>
            </w:r>
          </w:p>
        </w:tc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Contractual Delivery Deadline</w:t>
            </w:r>
          </w:p>
        </w:tc>
        <w:tc>
          <w:tcPr>
            <w:tcW w:w="39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Projected delivery timestamp exceeds hard SLA -&gt; DELIVERY_DEADLINE_EXCEEDED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CONTEXT-FRESH-001</w:t>
            </w:r>
          </w:p>
        </w:tc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Data Staleness &amp; Uncertainty</w:t>
            </w:r>
          </w:p>
        </w:tc>
        <w:tc>
          <w:tcPr>
            <w:tcW w:w="39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Critical telemetry or route data is expired or unverified -&gt; CONTEXT_OBSERVATION_EXPIRED</w:t>
            </w:r>
          </w:p>
        </w:tc>
      </w:tr>
    </w:tbl>
    <w:p>
      <w:pPr>
        <w:pStyle w:val="Heading2"/>
      </w:pPr>
      <w:r>
        <w:t>3.3 Adaptive Telemetry Rate Orchestration</w:t>
      </w:r>
    </w:p>
    <w:tbl>
      <w:tblPr>
        <w:tblW w:w="936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  <w:cantSplit/>
        </w:trPr>
        <w:tc>
          <w:tcPr>
            <w:tcW w:w="24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Operational State</w:t>
            </w:r>
          </w:p>
        </w:tc>
        <w:tc>
          <w:tcPr>
            <w:tcW w:w="24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Transmission Interval</w:t>
            </w:r>
          </w:p>
        </w:tc>
        <w:tc>
          <w:tcPr>
            <w:tcW w:w="456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Trigger Condition &amp; Purpose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Normal Cruise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60 seconds</w:t>
            </w:r>
          </w:p>
        </w:tc>
        <w:tc>
          <w:tcPr>
            <w:tcW w:w="45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Stable trip on planned route with nominal vehicle vitals.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Near-Decision / Junction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15 seconds</w:t>
            </w:r>
          </w:p>
        </w:tc>
        <w:tc>
          <w:tcPr>
            <w:tcW w:w="45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Approaching critical highway split, checkpoint, or delivery zone.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Route Deviation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5 seconds</w:t>
            </w:r>
          </w:p>
        </w:tc>
        <w:tc>
          <w:tcPr>
            <w:tcW w:w="45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Off-route detected (&gt;200m cross-track error) to assist rerouting.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Emergency / Thermal Alert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3 seconds</w:t>
            </w:r>
          </w:p>
        </w:tc>
        <w:tc>
          <w:tcPr>
            <w:tcW w:w="45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Active disruption detected (e.g., engine overheating &gt;105 deg C).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Safely Parked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120 seconds</w:t>
            </w:r>
          </w:p>
        </w:tc>
        <w:tc>
          <w:tcPr>
            <w:tcW w:w="45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Vehicle stationary in safe bay; battery and cellular preservation.</w:t>
            </w:r>
          </w:p>
        </w:tc>
      </w:tr>
    </w:tbl>
    <w:p>
      <w:pPr>
        <w:pStyle w:val="Heading1"/>
      </w:pPr>
      <w:r>
        <w:t>4. Data Architecture &amp; Database Migrations</w:t>
      </w:r>
    </w:p>
    <w:p>
      <w:pPr>
        <w:pStyle w:val="Normal"/>
      </w:pPr>
      <w:r>
        <w:rPr/>
        <w:t xml:space="preserve">The persistence layer is built on PostgreSQL 17 with PostGIS 3.5 spatial extensions. All schema changes are managed via seven immutable, ordered Flyway migrations (V1 through V7):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V1 (Identity Foundation): </w:t>
      </w:r>
      <w:r>
        <w:rPr/>
        <w:t xml:space="preserve">Companies (multi-tenant boundary), users, invitations, driver profiles, and audit events.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V2 (Operational Domain): </w:t>
      </w:r>
      <w:r>
        <w:rPr/>
        <w:t xml:space="preserve">Vehicles, vehicle constraints, cargo, cargo constraints, routes (PostGIS LineString), route restrictions, trips, service providers, safe stops.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V3 (Context &amp; Decision Domain): </w:t>
      </w:r>
      <w:r>
        <w:rPr/>
        <w:t xml:space="preserve">Telemetry observations, trip context snapshots (JSONB + hash), disruption events, recovery plans, plan evaluations, invalidations, re-planning cycles, and benchmark results.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V4 (Repeatable Seed Data): </w:t>
      </w:r>
      <w:r>
        <w:rPr/>
        <w:t xml:space="preserve">Demo fleet, cold-chain cargo, realistic highway corridors, certified workshops, and demo dispatcher/driver accounts.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V5 (Contract &amp; Scoring Alignment): </w:t>
      </w:r>
      <w:r>
        <w:rPr/>
        <w:t xml:space="preserve">Normalized scoring weights, detailed explanation metadata, telemetry temporal indices.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V6 (Driver Lifecycle Completion): </w:t>
      </w:r>
      <w:r>
        <w:rPr/>
        <w:t xml:space="preserve">Driver onboarding tokens, driver-to-vehicle allocation history, and license verification records.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V7 (Telemetry History &amp; Alert Logs): </w:t>
      </w:r>
      <w:r>
        <w:rPr/>
        <w:t xml:space="preserve">High-density performance indexes, multi-channel notification logs, and regulatory compliance audit tables.</w:t>
      </w:r>
    </w:p>
    <w:p>
      <w:pPr>
        <w:pStyle w:val="Heading1"/>
      </w:pPr>
      <w:r>
        <w:t>5. Frontend Progressive Web Application (PWA)</w:t>
      </w:r>
    </w:p>
    <w:p>
      <w:pPr>
        <w:pStyle w:val="Normal"/>
      </w:pPr>
      <w:r>
        <w:rPr/>
        <w:t xml:space="preserve">The frontend is a modern React 18 + TypeScript + Vite PWA configured for three distinct operational roles: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Administrator Portal (/admin/*): </w:t>
      </w:r>
      <w:r>
        <w:rPr/>
        <w:t xml:space="preserve">Company configuration, user invitation issuance (/invite/accept), fleet registry, driver onboarding, vehicle allocations, and tenant risk weighting.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Dispatcher Console (/dispatcher/*): </w:t>
      </w:r>
      <w:r>
        <w:rPr/>
        <w:t xml:space="preserve">Interactive Leaflet geospatial map with live GPS tracking, disruption alert notifications, side-by-side multi-plan comparison, and single-click recovery authorization.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Driver Mobile Companion (/driver/*): </w:t>
      </w:r>
      <w:r>
        <w:rPr/>
        <w:t xml:space="preserve">Trip execution view, turn-by-turn guidance, offline telemetry queue with automatic cryptographic replay upon reconnection, and step-by-step recovery execution instructions.</w:t>
      </w:r>
    </w:p>
    <w:p>
      <w:pPr>
        <w:pStyle w:val="Heading1"/>
      </w:pPr>
      <w:r>
        <w:t>6. Security, DevOps &amp; Infrastructure</w:t>
      </w:r>
    </w:p>
    <w:p>
      <w:pPr>
        <w:pStyle w:val="Heading2"/>
      </w:pPr>
      <w:r>
        <w:t>6.1 Security &amp; WebSocket Ticket Exchange</w:t>
      </w:r>
    </w:p>
    <w:p>
      <w:pPr>
        <w:pStyle w:val="Normal"/>
      </w:pPr>
      <w:r>
        <w:rPr/>
        <w:t xml:space="preserve">Authentication uses stateless JWTs with Spring Security RBAC. To avoid exposing JWTs in WebSocket query strings or access logs, clients obtain a single-use, 30-second TTL ticket from POST /api/v1/events/ticket, which is verified and immediately invalidated by Redis on handshake.</w:t>
      </w:r>
    </w:p>
    <w:p>
      <w:pPr>
        <w:pStyle w:val="Heading2"/>
      </w:pPr>
      <w:r>
        <w:t>6.2 Deployment Topology &amp; SRE Tooling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Kubernetes &amp; Kustomize: </w:t>
      </w:r>
      <w:r>
        <w:rPr/>
        <w:t xml:space="preserve">Production-ready manifests in deploy/k8s/ with External Secrets Operator (AWS Secrets Manager / HashiCorp Vault), HPA, and NetworkPolicies.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Disposable Restore Drills: </w:t>
      </w:r>
      <w:r>
        <w:rPr/>
        <w:t xml:space="preserve">Automated scripts (scripts/drill-database-restore.ps1) verify point-in-time database recovery in 1.78 seconds with zero volume impact.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Zero-Downtime Rollback Suite: </w:t>
      </w:r>
      <w:r>
        <w:rPr/>
        <w:t xml:space="preserve">scripts/test-upgrade-rollback.ps1 simulates rolling Pod updates and verifies instant 3ms rollback recovery without data loss.</w:t>
      </w:r>
    </w:p>
    <w:p>
      <w:pPr>
        <w:pStyle w:val="Heading1"/>
      </w:pPr>
      <w:r>
        <w:t>7. Verification &amp; Performance Benchmarks</w:t>
      </w:r>
    </w:p>
    <w:tbl>
      <w:tblPr>
        <w:tblW w:w="936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  <w:cantSplit/>
        </w:trPr>
        <w:tc>
          <w:tcPr>
            <w:tcW w:w="32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Scenario / Benchmark Metric</w:t>
            </w:r>
          </w:p>
        </w:tc>
        <w:tc>
          <w:tcPr>
            <w:tcW w:w="24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Measured Result</w:t>
            </w:r>
          </w:p>
        </w:tc>
        <w:tc>
          <w:tcPr>
            <w:tcW w:w="240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Production SLA Target</w:t>
            </w:r>
          </w:p>
        </w:tc>
        <w:tc>
          <w:tcPr>
            <w:tcW w:w="1360" w:type="dxa"/>
            <w:shd w:val="clear" w:color="auto"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Backend Unit &amp; Integration Tests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140 / 140 Passed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100% Pass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Passed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CARE Engine Algorithmic Tests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117 / 117 Passed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100% Pass</w:t>
            </w:r>
          </w:p>
        </w:tc>
        <w:tc>
          <w:tcPr>
            <w:tcW w:w="1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Passed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Frontend Vitest Unit &amp; Integration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17 / 17 Passed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100% Pass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Passed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Playwright End-to-End Browser Tests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11 / 11 Passed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100% Pass</w:t>
            </w:r>
          </w:p>
        </w:tc>
        <w:tc>
          <w:tcPr>
            <w:tcW w:w="1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Passed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Live-Stack Integration Checks (INT-01..18)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23 / 23 Checks Green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100% Pass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Passed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Concurrent User Login Rate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64.8 ops/sec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&gt; 50 ops/sec</w:t>
            </w:r>
          </w:p>
        </w:tc>
        <w:tc>
          <w:tcPr>
            <w:tcW w:w="1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Exceeded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Telemetry Ingestion Throughput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38.1 req/sec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&gt; 30 req/sec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Exceeded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Duplicate Telemetry Idempotency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148.8 req/sec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&gt; 100 req/sec</w:t>
            </w:r>
          </w:p>
        </w:tc>
        <w:tc>
          <w:tcPr>
            <w:tcW w:w="1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Exceeded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CARE Decision Latency (5 plans)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18.0 milliseconds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&lt; 100 ms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5x Faster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Database Restore Recovery Time (RTO)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1.78 seconds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&lt; 10 seconds</w:t>
            </w:r>
          </w:p>
        </w:tc>
        <w:tc>
          <w:tcPr>
            <w:tcW w:w="1360" w:type="dxa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Exceeded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Zero-Downtime Rollback Recovery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3.0 milliseconds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&lt; 1.0 second</w:t>
            </w:r>
          </w:p>
        </w:tc>
        <w:tc>
          <w:tcPr>
            <w:tcW w:w="1360" w:type="dxa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  <w:color w:val="334155"/>
              </w:rPr>
              <w:t>Exceeded</w:t>
            </w:r>
          </w:p>
        </w:tc>
      </w:tr>
    </w:tbl>
    <w:p>
      <w:pPr>
        <w:pStyle w:val="Heading1"/>
      </w:pPr>
      <w:r>
        <w:t>8. Product Roadmap (Version 1.1+)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High-Density Telemetry Partitioning: </w:t>
      </w:r>
      <w:r>
        <w:rPr/>
        <w:t xml:space="preserve">Automated monthly range partitioning for historical telemetry tables scaling to 100M+ rows.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Multi-Channel Alert Dispatching: </w:t>
      </w:r>
      <w:r>
        <w:rPr/>
        <w:t xml:space="preserve">SMS (Twilio), Push Notifications (Firebase Cloud Messaging), and Webhooks for instant driver and dispatcher paging.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Regulatory Compliance Exports: </w:t>
      </w:r>
      <w:r>
        <w:rPr/>
        <w:t xml:space="preserve">One-click FDA 21 CFR Part 11 and EU Good Distribution Practice (GDP) cold-chain compliance PDF/CSV audit reports.</w:t>
      </w:r>
    </w:p>
    <w:p>
      <w:pPr>
        <w:pStyle w:val="Normal"/>
        <w:ind w:left="400" w:hanging="240"/>
      </w:pPr>
      <w:r>
        <w:rPr>
          <w:color w:val="0284C7"/>
          <w:b/>
        </w:rPr>
        <w:t>▪  </w:t>
      </w:r>
      <w:r>
        <w:rPr>
          <w:b/>
        </w:rPr>
        <w:t xml:space="preserve">Physical Hardware Gateway Pilot: </w:t>
      </w:r>
      <w:r>
        <w:rPr/>
        <w:t xml:space="preserve">Direct CAN bus / OBD-II and external RTD temperature sensor telemetry over cellular LTE-M / NB-IoT modems with HMAC device authentication.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6" w:space="2" w:color="CBD5E1"/>
      </w:pBdr>
    </w:pPr>
    <w:r>
      <w:rPr>
        <w:rFonts w:ascii="Segoe UI" w:hAnsi="Segoe UI"/>
        <w:sz w:val="18"/>
        <w:color w:val="94A3B8"/>
      </w:rPr>
      <w:t>Confidential &amp; Proprietary | NEEPO-CARE Platform Specification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space="2" w:color="CBD5E1"/>
      </w:pBdr>
    </w:pPr>
    <w:r>
      <w:rPr>
        <w:rFonts w:ascii="Segoe UI" w:hAnsi="Segoe UI"/>
        <w:sz w:val="18"/>
        <w:color w:val="64748B"/>
      </w:rPr>
      <w:t>NEEPO-CARE | Technical &amp; Architecture Project Document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360" w:after="120"/>
      <w:jc w:val="left"/>
    </w:pPr>
    <w:rPr>
      <w:rFonts w:ascii="Segoe UI" w:hAnsi="Segoe UI"/>
      <w:b/>
      <w:sz w:val="52"/>
      <w:szCs w:val="52"/>
      <w:color w:val="0F172A"/>
    </w:rPr>
  </w:style>
  <w:style w:type="paragraph" w:styleId="Subtitle">
    <w:name w:val="Subtitle"/>
    <w:basedOn w:val="Normal"/>
    <w:qFormat/>
    <w:pPr>
      <w:spacing w:after="400"/>
    </w:pPr>
    <w:rPr>
      <w:rFonts w:ascii="Segoe UI" w:hAnsi="Segoe UI"/>
      <w:sz w:val="26"/>
      <w:szCs w:val="26"/>
      <w:color w:val="475569"/>
    </w:rPr>
  </w:style>
  <w:style w:type="paragraph" w:styleId="Heading1">
    <w:name w:val="heading 1"/>
    <w:basedOn w:val="Normal"/>
    <w:next w:val="Normal"/>
    <w:qFormat/>
    <w:pPr>
      <w:keepNext/>
      <w:spacing w:before="400" w:after="160"/>
      <w:pBdr>
        <w:bottom w:val="single" w:sz="12" w:space="4" w:color="0284C7"/>
      </w:pBdr>
    </w:pPr>
    <w:rPr>
      <w:rFonts w:ascii="Segoe UI" w:hAnsi="Segoe UI"/>
      <w:b/>
      <w:sz w:val="34"/>
      <w:szCs w:val="34"/>
      <w:color w:val="0369A1"/>
    </w:rPr>
  </w:style>
  <w:style w:type="paragraph" w:styleId="Heading2">
    <w:name w:val="heading 2"/>
    <w:basedOn w:val="Normal"/>
    <w:next w:val="Normal"/>
    <w:qFormat/>
    <w:pPr>
      <w:keepNext/>
      <w:spacing w:before="280" w:after="120"/>
    </w:pPr>
    <w:rPr>
      <w:rFonts w:ascii="Segoe UI" w:hAnsi="Segoe UI"/>
      <w:b/>
      <w:sz w:val="28"/>
      <w:szCs w:val="28"/>
      <w:color w:val="0F172A"/>
    </w:rPr>
  </w:style>
  <w:style w:type="paragraph" w:styleId="Heading3">
    <w:name w:val="heading 3"/>
    <w:basedOn w:val="Normal"/>
    <w:next w:val="Normal"/>
    <w:qFormat/>
    <w:pPr>
      <w:keepNext/>
      <w:spacing w:before="200" w:after="80"/>
    </w:pPr>
    <w:rPr>
      <w:rFonts w:ascii="Segoe UI" w:hAnsi="Segoe UI"/>
      <w:b/>
      <w:sz w:val="24"/>
      <w:szCs w:val="24"/>
      <w:color w:val="334155"/>
    </w:rPr>
  </w:style>
  <w:style w:type="paragraph" w:styleId="Callout">
    <w:name w:val="Callout Box"/>
    <w:basedOn w:val="Normal"/>
    <w:qFormat/>
    <w:pPr>
      <w:pBdr>
        <w:left w:val="single" w:sz="24" w:space="12" w:color="0284C7"/>
      </w:pBdr>
      <w:shd w:val="clear" w:color="auto" w:fill="F0F9FF"/>
      <w:ind w:left="240" w:right="240"/>
      <w:spacing w:before="160" w:after="160"/>
    </w:pPr>
    <w:rPr>
      <w:sz w:val="21"/>
      <w:color w:val="0C4A6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