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Corp Information Security Policy</w:t>
      </w:r>
    </w:p>
    <w:p>
      <w:r>
        <w:t>Document Type: Information Security Policy</w:t>
      </w:r>
    </w:p>
    <w:p>
      <w:r>
        <w:t>Document Reference: SEC-POL-2026</w:t>
      </w:r>
    </w:p>
    <w:p>
      <w:r>
        <w:t>Department: Information Security</w:t>
      </w:r>
    </w:p>
    <w:p>
      <w:r>
        <w:t>Effective Date: 1 January 2026</w:t>
      </w:r>
    </w:p>
    <w:p>
      <w:r>
        <w:t>Owner: Chief Information Security Officer</w:t>
      </w:r>
    </w:p>
    <w:p>
      <w:r>
        <w:t>Classification: Internal</w:t>
      </w:r>
    </w:p>
    <w:p>
      <w:r>
        <w:t>This policy states the mandatory security controls that apply across Acme Corp. Each control has an identifier of the form SEC-nnnn. Quote the identifier when raising an exception request or when referring to a control in an audit response.</w:t>
      </w:r>
    </w:p>
    <w:p>
      <w:r>
        <w:t>The company is certified to ISO 27001 and is assessed annually. Controls in this document map to Annex A of that standard; the mapping is maintained separately by the compliance team.</w:t>
      </w:r>
    </w:p>
    <w:p>
      <w:pPr>
        <w:pStyle w:val="Heading1"/>
      </w:pPr>
      <w:r>
        <w:t>1. Access Control</w:t>
      </w:r>
    </w:p>
    <w:p>
      <w:r>
        <w:t>Access is granted on the principle of least privilege. An employee receives the access their role requires and no more. Access is reviewed when a role changes and removed when employment ends.</w:t>
      </w:r>
    </w:p>
    <w:p>
      <w:pPr>
        <w:pStyle w:val="Heading2"/>
      </w:pPr>
      <w:r>
        <w:t>1.1 Password Requirements</w:t>
      </w:r>
    </w:p>
    <w:p>
      <w:r>
        <w:t>Control SEC-4412 blocks the reuse of the previous 12 passwords. The control is enforced by the identity provider and cannot be overridden locally.</w:t>
      </w:r>
    </w:p>
    <w:p>
      <w:r>
        <w:t>Passwords must be at least 14 characters. Complexity rules are deliberately not imposed beyond length: length is a better defence than forced substitution, and complexity rules push people towards predictable patterns.</w:t>
      </w:r>
    </w:p>
    <w:p>
      <w:r>
        <w:t>Passwords are rotated every 180 days for privileged accounts. Standard accounts are not rotated on a schedule; they are rotated on evidence of compromise, which is the current guidance from the National Cyber Security Centre.</w:t>
      </w:r>
    </w:p>
    <w:p>
      <w:r>
        <w:t>Every password must be stored in the company password manager. Storing a password in a browser, a spreadsheet or a note is a breach of this policy.</w:t>
      </w:r>
    </w:p>
    <w:p>
      <w:pPr>
        <w:pStyle w:val="Heading2"/>
      </w:pPr>
      <w:r>
        <w:t>1.2 Multi-Factor Authentication</w:t>
      </w:r>
    </w:p>
    <w:p>
      <w:r>
        <w:t>Control SEC-4418 requires multi-factor authentication on every account that can reach company data. Hardware keys are issued to privileged users; everyone else uses an authenticator application.</w:t>
      </w:r>
    </w:p>
    <w:p>
      <w:r>
        <w:t>SMS is not an accepted second factor for any account created after 1 January 2026. Accounts still using SMS are migrated on a rolling basis.</w:t>
      </w:r>
    </w:p>
    <w:p>
      <w:pPr>
        <w:pStyle w:val="Heading2"/>
      </w:pPr>
      <w:r>
        <w:t>1.3 Privileged Access</w:t>
      </w:r>
    </w:p>
    <w:p>
      <w:r>
        <w:t>Administrative access is granted just in time and expires after 8 hours. A standing administrative account is permitted only where a system cannot support just-in-time elevation, and each such exception is registered and reviewed quarterly.</w:t>
      </w:r>
    </w:p>
    <w:p>
      <w:r>
        <w:t>Control SEC-1177 requires that privileged actions are logged to a store the privileged user cannot modify.</w:t>
      </w:r>
    </w:p>
    <w:p>
      <w:pPr>
        <w:pStyle w:val="Heading2"/>
      </w:pPr>
      <w:r>
        <w:t>1.4 Joiners, Movers and Leavers</w:t>
      </w:r>
    </w:p>
    <w:p>
      <w:r>
        <w:t>Access is provisioned from the role assigned in the HR system. A change of role triggers a reassessment within 5 working days. On the last working day, all access is revoked and devices are returned.</w:t>
      </w:r>
    </w:p>
    <w:p>
      <w:r>
        <w:t>Access reviews are performed quarterly by system owners. A review that is not completed within 10 working days is escalated to the department director.</w:t>
      </w:r>
    </w:p>
    <w:p>
      <w:pPr>
        <w:pStyle w:val="Heading1"/>
      </w:pPr>
      <w:r>
        <w:t>2. Device Security</w:t>
      </w:r>
    </w:p>
    <w:p>
      <w:r>
        <w:t>Employees must use company-approved devices for company work, and must connect through approved networks or the corporate VPN. They are expected to lock their computers when away from them.</w:t>
      </w:r>
    </w:p>
    <w:p>
      <w:pPr>
        <w:pStyle w:val="Heading2"/>
      </w:pPr>
      <w:r>
        <w:t>2.1 Endpoint Protection</w:t>
      </w:r>
    </w:p>
    <w:p>
      <w:r>
        <w:t>Control SEC-2203 requires endpoint detection and response on every company device. The agent may not be disabled, and a device reporting the agent as inactive for more than 48 hours is removed from the network.</w:t>
      </w:r>
    </w:p>
    <w:p>
      <w:pPr>
        <w:pStyle w:val="Heading2"/>
      </w:pPr>
      <w:r>
        <w:t>2.2 Encryption</w:t>
      </w:r>
    </w:p>
    <w:p>
      <w:r>
        <w:t>Control SEC-2210 requires full-disk encryption on every device that stores company data, including personal devices covered by the bring-your-own-device arrangement.</w:t>
      </w:r>
    </w:p>
    <w:p>
      <w:r>
        <w:t>Removable media must be encrypted. Unencrypted removable media is blocked at the endpoint.</w:t>
      </w:r>
    </w:p>
    <w:p>
      <w:pPr>
        <w:pStyle w:val="Heading2"/>
      </w:pPr>
      <w:r>
        <w:t>2.3 Patching</w:t>
      </w:r>
    </w:p>
    <w:p>
      <w:r>
        <w:t>Operating system updates must be installed within 14 days of release. Security patches rated critical must be installed within 7 days. Devices more than 30 days behind are blocked from the network automatically.</w:t>
      </w:r>
    </w:p>
    <w:p>
      <w:pPr>
        <w:pStyle w:val="Heading1"/>
      </w:pPr>
      <w:r>
        <w:t>3. Data Classification</w:t>
      </w:r>
    </w:p>
    <w:p>
      <w:r>
        <w:t>Every piece of company information carries one of four classifications. The classification determines how the information may be stored, shared and destroyed.</w:t>
      </w:r>
    </w:p>
    <w:p>
      <w:pPr>
        <w:pStyle w:val="Heading2"/>
      </w:pPr>
      <w:r>
        <w:t>3.1 Public</w:t>
      </w:r>
    </w:p>
    <w:p>
      <w:r>
        <w:t>Information approved for release outside the company. Marketing material, published documentation and the public website. No handling restrictions.</w:t>
      </w:r>
    </w:p>
    <w:p>
      <w:pPr>
        <w:pStyle w:val="Heading2"/>
      </w:pPr>
      <w:r>
        <w:t>3.2 Internal</w:t>
      </w:r>
    </w:p>
    <w:p>
      <w:r>
        <w:t>Information intended for employees. Most day-to-day material. May be shared inside the company freely and outside it only under a confidentiality agreement.</w:t>
      </w:r>
    </w:p>
    <w:p>
      <w:pPr>
        <w:pStyle w:val="Heading2"/>
      </w:pPr>
      <w:r>
        <w:t>3.3 Confidential</w:t>
      </w:r>
    </w:p>
    <w:p>
      <w:r>
        <w:t>Information that would cause harm if disclosed. Customer data, unreleased financial results, source code, contract terms. Access is granted on a need-to-know basis and every access is logged.</w:t>
      </w:r>
    </w:p>
    <w:p>
      <w:pPr>
        <w:pStyle w:val="Heading2"/>
      </w:pPr>
      <w:r>
        <w:t>3.4 Restricted</w:t>
      </w:r>
    </w:p>
    <w:p>
      <w:r>
        <w:t>Information that would cause severe harm if disclosed. Credentials, encryption keys, security assessment findings, and records of live incidents. Access requires named approval from the Chief Information Security Officer.</w:t>
      </w:r>
    </w:p>
    <w:p>
      <w:pPr>
        <w:pStyle w:val="Heading1"/>
      </w:pPr>
      <w:r>
        <w:t>4. Logging and Monitoring</w:t>
      </w:r>
    </w:p>
    <w:p>
      <w:r>
        <w:t>Control SEC-8830 requires that authentication and authorisation events are logged and retained for 12 months. Network traffic logs are retained for 90 days.</w:t>
      </w:r>
    </w:p>
    <w:p>
      <w:r>
        <w:t>Where this policy and the Data Retention Schedule state different retention periods for the same record, the longer period applies.</w:t>
      </w:r>
    </w:p>
    <w:p>
      <w:r>
        <w:t>Logs are written to an append-only store. No operational account has permission to delete a log entry.</w:t>
      </w:r>
    </w:p>
    <w:p>
      <w:pPr>
        <w:pStyle w:val="Heading1"/>
      </w:pPr>
      <w:r>
        <w:t>5. Incident Response</w:t>
      </w:r>
    </w:p>
    <w:p>
      <w:r>
        <w:t>Employees must report suspected security incidents immediately. Reporting is never penalised, including where the reporter caused the incident.</w:t>
      </w:r>
    </w:p>
    <w:p>
      <w:pPr>
        <w:pStyle w:val="Heading2"/>
      </w:pPr>
      <w:r>
        <w:t>5.1 Reporting</w:t>
      </w:r>
    </w:p>
    <w:p>
      <w:r>
        <w:t>Incidents are reported to security@acme.example or to the 24-hour security desk. A suspected phishing message is reported with the Report Phishing button rather than deleted.</w:t>
      </w:r>
    </w:p>
    <w:p>
      <w:pPr>
        <w:pStyle w:val="Heading2"/>
      </w:pPr>
      <w:r>
        <w:t>5.2 Severity</w:t>
      </w:r>
    </w:p>
    <w:p>
      <w:r>
        <w:t>Severity 1 is a confirmed breach of Confidential or Restricted data, or a total loss of a production service. Response begins within 15 minutes, at any hour.</w:t>
      </w:r>
    </w:p>
    <w:p>
      <w:r>
        <w:t>Severity 2 is a suspected breach, or a significant degradation. Response begins within 1 hour during working hours and within 4 hours outside them.</w:t>
      </w:r>
    </w:p>
    <w:p>
      <w:r>
        <w:t>Severity 3 is everything else. Response begins within one working day.</w:t>
      </w:r>
    </w:p>
    <w:p>
      <w:pPr>
        <w:pStyle w:val="Heading2"/>
      </w:pPr>
      <w:r>
        <w:t>5.3 Notification</w:t>
      </w:r>
    </w:p>
    <w:p>
      <w:r>
        <w:t>A personal data breach is assessed against the 72-hour regulatory notification requirement. The Data Protection Officer makes the notification decision, not the incident responder.</w:t>
      </w:r>
    </w:p>
    <w:p>
      <w:r>
        <w:t>Customers are notified where a breach affects their data, regardless of whether regulatory notification is required.</w:t>
      </w:r>
    </w:p>
    <w:p>
      <w:pPr>
        <w:pStyle w:val="Heading2"/>
      </w:pPr>
      <w:r>
        <w:t>5.4 Post-Incident Review</w:t>
      </w:r>
    </w:p>
    <w:p>
      <w:r>
        <w:t>Every severity 1 and severity 2 incident has a written review within 10 working days. Reviews are blameless and are circulated internally. Control SEC-5540 requires that each review produces at least one tracked action.</w:t>
      </w:r>
    </w:p>
    <w:p>
      <w:pPr>
        <w:pStyle w:val="Heading1"/>
      </w:pPr>
      <w:r>
        <w:t>6. Third Parties</w:t>
      </w:r>
    </w:p>
    <w:p>
      <w:r>
        <w:t>A supplier that processes company data is assessed before engagement and reassessed annually. The assessment covers certification, subprocessors, breach history and the location of processing.</w:t>
      </w:r>
    </w:p>
    <w:p>
      <w:r>
        <w:t>Control SEC-6612 requires a written data processing agreement before any Confidential data is shared with a third party.</w:t>
      </w:r>
    </w:p>
    <w:p>
      <w:pPr>
        <w:pStyle w:val="Heading1"/>
      </w:pPr>
      <w:r>
        <w:t>7. Physical Security</w:t>
      </w:r>
    </w:p>
    <w:p>
      <w:r>
        <w:t>Offices are access-controlled. Badges are personal and must not be lent. Tailgating — allowing someone to follow you through a controlled door — is a breach of this policy however polite it feels.</w:t>
      </w:r>
    </w:p>
    <w:p>
      <w:r>
        <w:t>Visitors are signed in, escorted, and issued a visitor badge. Physical access records are retained for 12 months.</w:t>
      </w:r>
    </w:p>
    <w:p>
      <w:r>
        <w:t>A clear desk is required for anything Confidential or above. Printed material must not be left on a printer.</w:t>
      </w:r>
    </w:p>
    <w:p>
      <w:pPr>
        <w:pStyle w:val="Heading1"/>
      </w:pPr>
      <w:r>
        <w:t>8. Exceptions</w:t>
      </w:r>
    </w:p>
    <w:p>
      <w:r>
        <w:t>An exception to any control requires a written request naming the control, the reason, the compensating measure and an expiry date. Exceptions are approved by the Chief Information Security Officer and expire after a maximum of 12 months.</w:t>
      </w:r>
    </w:p>
    <w:p>
      <w:r>
        <w:t>There is no standing exception to SEC-4412, SEC-4418 or SEC-2210.</w:t>
      </w:r>
    </w:p>
    <w:p>
      <w:pPr>
        <w:pStyle w:val="Heading1"/>
      </w:pPr>
      <w:r>
        <w:t>9. Breaches of This Policy</w:t>
      </w:r>
    </w:p>
    <w:p>
      <w:r>
        <w:t>A breach may be handled under the disciplinary procedure. Deliberately disabling a security control, or accessing data without authorisation, is gross misconduct.</w:t>
      </w:r>
    </w:p>
    <w:p>
      <w:r>
        <w:t>Questions about this policy should be directed to security@acme.example, quoting SEC-POL-2026.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