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Acme Corp Information Security Policy</w:t>
      </w:r>
    </w:p>
    <w:p>
      <w:r>
        <w:t>Document Type: Security Policy</w:t>
      </w:r>
    </w:p>
    <w:p>
      <w:r>
        <w:t>Department: Information Security</w:t>
      </w:r>
    </w:p>
    <w:p>
      <w:pPr>
        <w:pStyle w:val="Heading2"/>
      </w:pPr>
      <w:r>
        <w:t>1. Access Control</w:t>
      </w:r>
    </w:p>
    <w:p>
      <w:pPr>
        <w:pStyle w:val="Heading3"/>
      </w:pPr>
      <w:r>
        <w:t>1.1 Password Requirements</w:t>
      </w:r>
    </w:p>
    <w:p>
      <w:r>
        <w:t>Passwords must be at least 14 characters and are rotated every 180 days. Reuse of the previous 12 passwords is blocked by control SEC-4412.</w:t>
      </w:r>
    </w:p>
    <w:p>
      <w:pPr>
        <w:pStyle w:val="Heading3"/>
      </w:pPr>
      <w:r>
        <w:t>1.2 Multi-Factor Authentication</w:t>
      </w:r>
    </w:p>
    <w:p>
      <w:r>
        <w:t>Multi-factor authentication is mandatory for all remote access and for any account with administrative privileges.</w:t>
      </w:r>
    </w:p>
    <w:p>
      <w:pPr>
        <w:pStyle w:val="Heading2"/>
      </w:pPr>
      <w:r>
        <w:t>2. Data Classification</w:t>
      </w:r>
    </w:p>
    <w:p>
      <w:pPr>
        <w:pStyle w:val="Heading3"/>
      </w:pPr>
      <w:r>
        <w:t>2.1 Classification Levels</w:t>
      </w:r>
    </w:p>
    <w:p>
      <w:r>
        <w:t>Data is classified as Public, Internal, Confidential or Restricted. Restricted data may only be stored in systems certified to ISO 27001.</w:t>
      </w:r>
    </w:p>
    <w:p>
      <w:pPr>
        <w:pStyle w:val="Heading3"/>
      </w:pPr>
      <w:r>
        <w:t>2.2 Retention</w:t>
      </w:r>
    </w:p>
    <w:p>
      <w:r>
        <w:t>Confidential records are retained for 7 years and then destroyed under procedure SEC-8830.</w:t>
      </w:r>
    </w:p>
    <w:p>
      <w:pPr>
        <w:pStyle w:val="Heading2"/>
      </w:pPr>
      <w:r>
        <w:t>3. Incident Reporting</w:t>
      </w:r>
    </w:p>
    <w:p>
      <w:r>
        <w:t>Suspected security incidents must be reported to the security desk within 24 hours of discovery.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