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A5F" w:sz="8" w:space="4"/>
        </w:pBdr>
        <w:spacing w:after="160"/>
      </w:pPr>
      <w:r>
        <w:rPr>
          <w:b/>
          <w:bCs/>
          <w:color w:val="1F3A5F"/>
          <w:sz w:val="34"/>
          <w:szCs w:val="34"/>
        </w:rPr>
        <w:t xml:space="preserve">1. Company Overview: Zentrix Technologies</w:t>
      </w:r>
    </w:p>
    <w:p>
      <w:pPr>
        <w:spacing w:after="120" w:line="276"/>
      </w:pPr>
      <w:r>
        <w:rPr>
          <w:sz w:val="21"/>
          <w:szCs w:val="21"/>
        </w:rPr>
        <w:t xml:space="preserve">Zentrix Technologies Private Limited is a fictional enterprise software company created for testing retrieval-augmented generation (RAG) systems. All names, numbers and dates in this document are invented and should be treated as the single source of truth for test questions.</w:t>
      </w:r>
    </w:p>
    <w:p>
      <w:pPr>
        <w:pStyle w:val="Heading2"/>
        <w:spacing w:after="80" w:before="160"/>
      </w:pPr>
      <w:r>
        <w:rPr>
          <w:b/>
          <w:bCs/>
          <w:color w:val="1F3A5F"/>
          <w:sz w:val="25"/>
          <w:szCs w:val="25"/>
        </w:rPr>
        <w:t xml:space="preserve">1.1 Key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Item</w:t>
            </w:r>
          </w:p>
        </w:tc>
        <w:tc>
          <w:tcPr>
            <w:tcW w:type="dxa" w:w="6026"/>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Detail</w:t>
            </w:r>
          </w:p>
        </w:tc>
      </w:tr>
      <w:tr>
        <w:trPr>
          <w:tblHeader w:val="false"/>
        </w:trPr>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Legal name</w:t>
            </w:r>
          </w:p>
        </w:tc>
        <w:tc>
          <w:tcPr>
            <w:tcW w:type="dxa" w:w="60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Zentrix Technologies Private Limited</w:t>
            </w:r>
          </w:p>
        </w:tc>
      </w:tr>
      <w:tr>
        <w:trPr>
          <w:tblHeader w:val="false"/>
        </w:trPr>
        <w:tc>
          <w:tcPr>
            <w:tcW w:type="dxa" w:w="30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Founded</w:t>
            </w:r>
          </w:p>
        </w:tc>
        <w:tc>
          <w:tcPr>
            <w:tcW w:type="dxa" w:w="60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14 March 2015, in Hyderabad, Telangana, India</w:t>
            </w:r>
          </w:p>
        </w:tc>
      </w:tr>
      <w:tr>
        <w:trPr>
          <w:tblHeader w:val="false"/>
        </w:trPr>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Headquarters</w:t>
            </w:r>
          </w:p>
        </w:tc>
        <w:tc>
          <w:tcPr>
            <w:tcW w:type="dxa" w:w="60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Tower B, 7th Floor, Cyber Meadows, HITEC City, Hyderabad 500081</w:t>
            </w:r>
          </w:p>
        </w:tc>
      </w:tr>
      <w:tr>
        <w:trPr>
          <w:tblHeader w:val="false"/>
        </w:trPr>
        <w:tc>
          <w:tcPr>
            <w:tcW w:type="dxa" w:w="30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Other offices</w:t>
            </w:r>
          </w:p>
        </w:tc>
        <w:tc>
          <w:tcPr>
            <w:tcW w:type="dxa" w:w="60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Bengaluru (Whitefield), Pune (Hinjewadi), and Austin, Texas (US sales office)</w:t>
            </w:r>
          </w:p>
        </w:tc>
      </w:tr>
      <w:tr>
        <w:trPr>
          <w:tblHeader w:val="false"/>
        </w:trPr>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Total employees</w:t>
            </w:r>
          </w:p>
        </w:tc>
        <w:tc>
          <w:tcPr>
            <w:tcW w:type="dxa" w:w="60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412 as of 30 September 2026</w:t>
            </w:r>
          </w:p>
        </w:tc>
      </w:tr>
      <w:tr>
        <w:trPr>
          <w:tblHeader w:val="false"/>
        </w:trPr>
        <w:tc>
          <w:tcPr>
            <w:tcW w:type="dxa" w:w="30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Revenue, FY 2025-26</w:t>
            </w:r>
          </w:p>
        </w:tc>
        <w:tc>
          <w:tcPr>
            <w:tcW w:type="dxa" w:w="60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INR 186 crore (up 24% from INR 150 crore in FY 2024-25)</w:t>
            </w:r>
          </w:p>
        </w:tc>
      </w:tr>
      <w:tr>
        <w:trPr>
          <w:tblHeader w:val="false"/>
        </w:trPr>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Stock status</w:t>
            </w:r>
          </w:p>
        </w:tc>
        <w:tc>
          <w:tcPr>
            <w:tcW w:type="dxa" w:w="60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Privately held; Series C funding of USD 42 million closed on 9 June 2025</w:t>
            </w:r>
          </w:p>
        </w:tc>
      </w:tr>
      <w:tr>
        <w:trPr>
          <w:tblHeader w:val="false"/>
        </w:trPr>
        <w:tc>
          <w:tcPr>
            <w:tcW w:type="dxa" w:w="30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Company motto</w:t>
            </w:r>
          </w:p>
        </w:tc>
        <w:tc>
          <w:tcPr>
            <w:tcW w:type="dxa" w:w="60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Build once, trust always</w:t>
            </w:r>
          </w:p>
        </w:tc>
      </w:tr>
    </w:tbl>
    <w:p>
      <w:pPr>
        <w:pStyle w:val="Heading2"/>
        <w:spacing w:after="80" w:before="160"/>
      </w:pPr>
      <w:r>
        <w:rPr>
          <w:b/>
          <w:bCs/>
          <w:color w:val="1F3A5F"/>
          <w:sz w:val="25"/>
          <w:szCs w:val="25"/>
        </w:rPr>
        <w:t xml:space="preserve">1.2 Leadership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Role</w:t>
            </w:r>
          </w:p>
        </w:tc>
        <w:tc>
          <w:tcPr>
            <w:tcW w:type="dxa" w:w="30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Name</w:t>
            </w:r>
          </w:p>
        </w:tc>
        <w:tc>
          <w:tcPr>
            <w:tcW w:type="dxa" w:w="3426"/>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Joined</w:t>
            </w:r>
          </w:p>
        </w:tc>
      </w:tr>
      <w:tr>
        <w:trPr>
          <w:tblHeader w:val="false"/>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Chief Executive Officer</w:t>
            </w:r>
          </w:p>
        </w:tc>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Ananya Rao</w:t>
            </w:r>
          </w:p>
        </w:tc>
        <w:tc>
          <w:tcPr>
            <w:tcW w:type="dxa" w:w="34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Co-founder, March 2015</w:t>
            </w:r>
          </w:p>
        </w:tc>
      </w:tr>
      <w:tr>
        <w:trPr>
          <w:tblHeader w:val="false"/>
        </w:trPr>
        <w:tc>
          <w:tcPr>
            <w:tcW w:type="dxa" w:w="26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Chief Technology Officer</w:t>
            </w:r>
          </w:p>
        </w:tc>
        <w:tc>
          <w:tcPr>
            <w:tcW w:type="dxa" w:w="30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Rohan Mehta</w:t>
            </w:r>
          </w:p>
        </w:tc>
        <w:tc>
          <w:tcPr>
            <w:tcW w:type="dxa" w:w="34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Co-founder, March 2015</w:t>
            </w:r>
          </w:p>
        </w:tc>
      </w:tr>
      <w:tr>
        <w:trPr>
          <w:tblHeader w:val="false"/>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Chief Financial Officer</w:t>
            </w:r>
          </w:p>
        </w:tc>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Priya Nair</w:t>
            </w:r>
          </w:p>
        </w:tc>
        <w:tc>
          <w:tcPr>
            <w:tcW w:type="dxa" w:w="34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4 January 2019</w:t>
            </w:r>
          </w:p>
        </w:tc>
      </w:tr>
      <w:tr>
        <w:trPr>
          <w:tblHeader w:val="false"/>
        </w:trPr>
        <w:tc>
          <w:tcPr>
            <w:tcW w:type="dxa" w:w="26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Chief People Officer</w:t>
            </w:r>
          </w:p>
        </w:tc>
        <w:tc>
          <w:tcPr>
            <w:tcW w:type="dxa" w:w="30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Karthik Iyer</w:t>
            </w:r>
          </w:p>
        </w:tc>
        <w:tc>
          <w:tcPr>
            <w:tcW w:type="dxa" w:w="34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17 August 2020</w:t>
            </w:r>
          </w:p>
        </w:tc>
      </w:tr>
      <w:tr>
        <w:trPr>
          <w:tblHeader w:val="false"/>
        </w:trPr>
        <w:tc>
          <w:tcPr>
            <w:tcW w:type="dxa" w:w="26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Chief Revenue Officer</w:t>
            </w:r>
          </w:p>
        </w:tc>
        <w:tc>
          <w:tcPr>
            <w:tcW w:type="dxa" w:w="30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Daniel Whitfield</w:t>
            </w:r>
          </w:p>
        </w:tc>
        <w:tc>
          <w:tcPr>
            <w:tcW w:type="dxa" w:w="34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2 May 2022 (based in Austin)</w:t>
            </w:r>
          </w:p>
        </w:tc>
      </w:tr>
    </w:tbl>
    <w:p>
      <w:pPr>
        <w:pStyle w:val="Heading2"/>
        <w:spacing w:after="80" w:before="160"/>
      </w:pPr>
      <w:r>
        <w:rPr>
          <w:b/>
          <w:bCs/>
          <w:color w:val="1F3A5F"/>
          <w:sz w:val="25"/>
          <w:szCs w:val="25"/>
        </w:rPr>
        <w:t xml:space="preserve">1.3 Products</w:t>
      </w:r>
    </w:p>
    <w:p>
      <w:pPr>
        <w:pStyle w:val="ListParagraph"/>
        <w:numPr>
          <w:ilvl w:val="0"/>
          <w:numId w:val="2"/>
        </w:numPr>
        <w:spacing w:after="60" w:line="264"/>
      </w:pPr>
      <w:r>
        <w:rPr>
          <w:sz w:val="21"/>
          <w:szCs w:val="21"/>
        </w:rPr>
        <w:t xml:space="preserve">Zentrix Flow: a workflow automation platform launched in October 2016; used by 310 enterprise customers.</w:t>
      </w:r>
    </w:p>
    <w:p>
      <w:pPr>
        <w:pStyle w:val="ListParagraph"/>
        <w:numPr>
          <w:ilvl w:val="0"/>
          <w:numId w:val="2"/>
        </w:numPr>
        <w:spacing w:after="60" w:line="264"/>
      </w:pPr>
      <w:r>
        <w:rPr>
          <w:sz w:val="21"/>
          <w:szCs w:val="21"/>
        </w:rPr>
        <w:t xml:space="preserve">Zentrix Insight: an analytics and dashboarding suite launched in April 2019; its flagship feature is Natural Language Query.</w:t>
      </w:r>
    </w:p>
    <w:p>
      <w:pPr>
        <w:pStyle w:val="ListParagraph"/>
        <w:numPr>
          <w:ilvl w:val="0"/>
          <w:numId w:val="2"/>
        </w:numPr>
        <w:spacing w:after="60" w:line="264"/>
      </w:pPr>
      <w:r>
        <w:rPr>
          <w:sz w:val="21"/>
          <w:szCs w:val="21"/>
        </w:rPr>
        <w:t xml:space="preserve">Zentrix Guard: an identity and access management product launched in January 2022; it is certified for ISO 27001 and SOC 2 Type II.</w:t>
      </w:r>
    </w:p>
    <w:p>
      <w:pPr>
        <w:pStyle w:val="Heading2"/>
        <w:spacing w:after="80" w:before="160"/>
      </w:pPr>
      <w:r>
        <w:rPr>
          <w:b/>
          <w:bCs/>
          <w:color w:val="1F3A5F"/>
          <w:sz w:val="25"/>
          <w:szCs w:val="25"/>
        </w:rPr>
        <w:t xml:space="preserve">1.4 Mission and values</w:t>
      </w:r>
    </w:p>
    <w:p>
      <w:pPr>
        <w:spacing w:after="120" w:line="276"/>
      </w:pPr>
      <w:r>
        <w:rPr>
          <w:sz w:val="21"/>
          <w:szCs w:val="21"/>
        </w:rPr>
        <w:t xml:space="preserve">The company's mission is to make complex enterprise operations simple, secure and transparent. Its four values are Customer First, Own the Outcome, Respect Every Voice, and Keep Learning.</w:t>
      </w:r>
    </w:p>
    <w:p>
      <w:pPr>
        <w:pStyle w:val="Heading1"/>
        <w:pageBreakBefore/>
        <w:pBdr>
          <w:bottom w:val="single" w:color="1F3A5F" w:sz="8" w:space="4"/>
        </w:pBdr>
        <w:spacing w:after="160"/>
      </w:pPr>
      <w:r>
        <w:rPr>
          <w:b/>
          <w:bCs/>
          <w:color w:val="1F3A5F"/>
          <w:sz w:val="34"/>
          <w:szCs w:val="34"/>
        </w:rPr>
        <w:t xml:space="preserve">2. Organisation Structure and Departments</w:t>
      </w:r>
    </w:p>
    <w:p>
      <w:pPr>
        <w:spacing w:after="120" w:line="276"/>
      </w:pPr>
      <w:r>
        <w:rPr>
          <w:sz w:val="21"/>
          <w:szCs w:val="21"/>
        </w:rPr>
        <w:t xml:space="preserve">Zentrix is organised into seven departments. Each department head reports to the CEO, except Sales, whose head reports to the Chief Revenue Officer, and Finance, whose head reports to the CFO. The headcounts below are as of 30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500"/>
        <w:gridCol w:w="3026"/>
      </w:tblGrid>
      <w:tr>
        <w:trPr>
          <w:tblHeader/>
        </w:trPr>
        <w:tc>
          <w:tcPr>
            <w:tcW w:type="dxa" w:w="22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Department</w:t>
            </w:r>
          </w:p>
        </w:tc>
        <w:tc>
          <w:tcPr>
            <w:tcW w:type="dxa" w:w="23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Head</w:t>
            </w:r>
          </w:p>
        </w:tc>
        <w:tc>
          <w:tcPr>
            <w:tcW w:type="dxa" w:w="15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Headcount</w:t>
            </w:r>
          </w:p>
        </w:tc>
        <w:tc>
          <w:tcPr>
            <w:tcW w:type="dxa" w:w="3026"/>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Primary location</w:t>
            </w:r>
          </w:p>
        </w:tc>
      </w:tr>
      <w:tr>
        <w:trPr>
          <w:tblHeader w:val="false"/>
        </w:trPr>
        <w:tc>
          <w:tcPr>
            <w:tcW w:type="dxa" w:w="2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Engineering</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Rohan Mehta (CTO)</w:t>
            </w:r>
          </w:p>
        </w:tc>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168</w:t>
            </w:r>
          </w:p>
        </w:tc>
        <w:tc>
          <w:tcPr>
            <w:tcW w:type="dxa" w:w="30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Hyderabad and Bengaluru</w:t>
            </w:r>
          </w:p>
        </w:tc>
      </w:tr>
      <w:tr>
        <w:trPr>
          <w:tblHeader w:val="false"/>
        </w:trPr>
        <w:tc>
          <w:tcPr>
            <w:tcW w:type="dxa" w:w="22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Product and Design</w:t>
            </w:r>
          </w:p>
        </w:tc>
        <w:tc>
          <w:tcPr>
            <w:tcW w:type="dxa" w:w="23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Meera Subramanian</w:t>
            </w:r>
          </w:p>
        </w:tc>
        <w:tc>
          <w:tcPr>
            <w:tcW w:type="dxa" w:w="15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42</w:t>
            </w:r>
          </w:p>
        </w:tc>
        <w:tc>
          <w:tcPr>
            <w:tcW w:type="dxa" w:w="30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Bengaluru</w:t>
            </w:r>
          </w:p>
        </w:tc>
      </w:tr>
      <w:tr>
        <w:trPr>
          <w:tblHeader w:val="false"/>
        </w:trPr>
        <w:tc>
          <w:tcPr>
            <w:tcW w:type="dxa" w:w="2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Sales and Marketing</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Daniel Whitfield (CRO)</w:t>
            </w:r>
          </w:p>
        </w:tc>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71</w:t>
            </w:r>
          </w:p>
        </w:tc>
        <w:tc>
          <w:tcPr>
            <w:tcW w:type="dxa" w:w="30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Austin, Pune, Hyderabad</w:t>
            </w:r>
          </w:p>
        </w:tc>
      </w:tr>
      <w:tr>
        <w:trPr>
          <w:tblHeader w:val="false"/>
        </w:trPr>
        <w:tc>
          <w:tcPr>
            <w:tcW w:type="dxa" w:w="22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Customer Success</w:t>
            </w:r>
          </w:p>
        </w:tc>
        <w:tc>
          <w:tcPr>
            <w:tcW w:type="dxa" w:w="23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Vikram Choudhury</w:t>
            </w:r>
          </w:p>
        </w:tc>
        <w:tc>
          <w:tcPr>
            <w:tcW w:type="dxa" w:w="15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58</w:t>
            </w:r>
          </w:p>
        </w:tc>
        <w:tc>
          <w:tcPr>
            <w:tcW w:type="dxa" w:w="30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Pune</w:t>
            </w:r>
          </w:p>
        </w:tc>
      </w:tr>
      <w:tr>
        <w:trPr>
          <w:tblHeader w:val="false"/>
        </w:trPr>
        <w:tc>
          <w:tcPr>
            <w:tcW w:type="dxa" w:w="2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Finance and Legal</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Priya Nair (CFO)</w:t>
            </w:r>
          </w:p>
        </w:tc>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24</w:t>
            </w:r>
          </w:p>
        </w:tc>
        <w:tc>
          <w:tcPr>
            <w:tcW w:type="dxa" w:w="30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Hyderabad</w:t>
            </w:r>
          </w:p>
        </w:tc>
      </w:tr>
      <w:tr>
        <w:trPr>
          <w:tblHeader w:val="false"/>
        </w:trPr>
        <w:tc>
          <w:tcPr>
            <w:tcW w:type="dxa" w:w="22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People and Culture</w:t>
            </w:r>
          </w:p>
        </w:tc>
        <w:tc>
          <w:tcPr>
            <w:tcW w:type="dxa" w:w="23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Karthik Iyer (CPO)</w:t>
            </w:r>
          </w:p>
        </w:tc>
        <w:tc>
          <w:tcPr>
            <w:tcW w:type="dxa" w:w="15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19</w:t>
            </w:r>
          </w:p>
        </w:tc>
        <w:tc>
          <w:tcPr>
            <w:tcW w:type="dxa" w:w="30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Hyderabad</w:t>
            </w:r>
          </w:p>
        </w:tc>
      </w:tr>
      <w:tr>
        <w:trPr>
          <w:tblHeader w:val="false"/>
        </w:trPr>
        <w:tc>
          <w:tcPr>
            <w:tcW w:type="dxa" w:w="22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IT and Security</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Sunita Deshmukh</w:t>
            </w:r>
          </w:p>
        </w:tc>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30</w:t>
            </w:r>
          </w:p>
        </w:tc>
        <w:tc>
          <w:tcPr>
            <w:tcW w:type="dxa" w:w="30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Hyderabad</w:t>
            </w:r>
          </w:p>
        </w:tc>
      </w:tr>
    </w:tbl>
    <w:p>
      <w:pPr>
        <w:spacing w:after="80"/>
      </w:pPr>
    </w:p>
    <w:p>
      <w:pPr>
        <w:spacing w:after="120" w:line="276"/>
      </w:pPr>
      <w:r>
        <w:rPr>
          <w:sz w:val="21"/>
          <w:szCs w:val="21"/>
        </w:rPr>
        <w:t xml:space="preserve">Total across departments: 168 + 42 + 71 + 58 + 24 + 19 + 30 = 412 employees.</w:t>
      </w:r>
    </w:p>
    <w:p>
      <w:pPr>
        <w:pStyle w:val="Heading2"/>
        <w:spacing w:after="80" w:before="160"/>
      </w:pPr>
      <w:r>
        <w:rPr>
          <w:b/>
          <w:bCs/>
          <w:color w:val="1F3A5F"/>
          <w:sz w:val="25"/>
          <w:szCs w:val="25"/>
        </w:rPr>
        <w:t xml:space="preserve">2.1 Engineering teams</w:t>
      </w:r>
    </w:p>
    <w:p>
      <w:pPr>
        <w:pStyle w:val="ListParagraph"/>
        <w:numPr>
          <w:ilvl w:val="0"/>
          <w:numId w:val="2"/>
        </w:numPr>
        <w:spacing w:after="60" w:line="264"/>
      </w:pPr>
      <w:r>
        <w:rPr>
          <w:sz w:val="21"/>
          <w:szCs w:val="21"/>
        </w:rPr>
        <w:t xml:space="preserve">Platform Core (46 engineers), led by Arjun Pillai. It owns the shared services behind all three products.</w:t>
      </w:r>
    </w:p>
    <w:p>
      <w:pPr>
        <w:pStyle w:val="ListParagraph"/>
        <w:numPr>
          <w:ilvl w:val="0"/>
          <w:numId w:val="2"/>
        </w:numPr>
        <w:spacing w:after="60" w:line="264"/>
      </w:pPr>
      <w:r>
        <w:rPr>
          <w:sz w:val="21"/>
          <w:szCs w:val="21"/>
        </w:rPr>
        <w:t xml:space="preserve">Flow Team (38 engineers), led by Neha Kapoor. It builds Zentrix Flow.</w:t>
      </w:r>
    </w:p>
    <w:p>
      <w:pPr>
        <w:pStyle w:val="ListParagraph"/>
        <w:numPr>
          <w:ilvl w:val="0"/>
          <w:numId w:val="2"/>
        </w:numPr>
        <w:spacing w:after="60" w:line="264"/>
      </w:pPr>
      <w:r>
        <w:rPr>
          <w:sz w:val="21"/>
          <w:szCs w:val="21"/>
        </w:rPr>
        <w:t xml:space="preserve">Insight Team (34 engineers), led by Siddharth Bose. It builds Zentrix Insight and the Natural Language Query engine.</w:t>
      </w:r>
    </w:p>
    <w:p>
      <w:pPr>
        <w:pStyle w:val="ListParagraph"/>
        <w:numPr>
          <w:ilvl w:val="0"/>
          <w:numId w:val="2"/>
        </w:numPr>
        <w:spacing w:after="60" w:line="264"/>
      </w:pPr>
      <w:r>
        <w:rPr>
          <w:sz w:val="21"/>
          <w:szCs w:val="21"/>
        </w:rPr>
        <w:t xml:space="preserve">Guard Team (28 engineers), led by Fatima Sheikh. It builds Zentrix Guard.</w:t>
      </w:r>
    </w:p>
    <w:p>
      <w:pPr>
        <w:pStyle w:val="ListParagraph"/>
        <w:numPr>
          <w:ilvl w:val="0"/>
          <w:numId w:val="2"/>
        </w:numPr>
        <w:spacing w:after="60" w:line="264"/>
      </w:pPr>
      <w:r>
        <w:rPr>
          <w:sz w:val="21"/>
          <w:szCs w:val="21"/>
        </w:rPr>
        <w:t xml:space="preserve">Quality and Reliability (22 engineers), led by Gopal Menon. It runs testing, site reliability and on-call.</w:t>
      </w:r>
    </w:p>
    <w:p>
      <w:pPr>
        <w:pStyle w:val="Heading2"/>
        <w:spacing w:after="80" w:before="160"/>
      </w:pPr>
      <w:r>
        <w:rPr>
          <w:b/>
          <w:bCs/>
          <w:color w:val="1F3A5F"/>
          <w:sz w:val="25"/>
          <w:szCs w:val="25"/>
        </w:rPr>
        <w:t xml:space="preserve">2.2 Reporting lines and governance</w:t>
      </w:r>
    </w:p>
    <w:p>
      <w:pPr>
        <w:spacing w:after="120" w:line="276"/>
      </w:pPr>
      <w:r>
        <w:rPr>
          <w:sz w:val="21"/>
          <w:szCs w:val="21"/>
        </w:rPr>
        <w:t xml:space="preserve">The Executive Committee meets every Monday at 10:00 AM IST and consists of the CEO, CTO, CFO, CPO and CRO. The Board of Directors has five members and meets quarterly, with the next meeting scheduled for 12 December 2026. Ananya Rao chairs the Board, and Dr. Lakshmi Narayanan serves as the independent director and chairs the Audit Committee.</w:t>
      </w:r>
    </w:p>
    <w:p>
      <w:pPr>
        <w:pStyle w:val="Heading2"/>
        <w:spacing w:after="80" w:before="160"/>
      </w:pPr>
      <w:r>
        <w:rPr>
          <w:b/>
          <w:bCs/>
          <w:color w:val="1F3A5F"/>
          <w:sz w:val="25"/>
          <w:szCs w:val="25"/>
        </w:rPr>
        <w:t xml:space="preserve">2.3 Growth plans</w:t>
      </w:r>
    </w:p>
    <w:p>
      <w:pPr>
        <w:spacing w:after="120" w:line="276"/>
      </w:pPr>
      <w:r>
        <w:rPr>
          <w:sz w:val="21"/>
          <w:szCs w:val="21"/>
        </w:rPr>
        <w:t xml:space="preserve">The company plans to hire 90 additional employees during FY 2026-27, with 55 of those roles in Engineering and 20 in Sales and Marketing. A new Chennai office is planned to open in April 2027.</w:t>
      </w:r>
    </w:p>
    <w:p>
      <w:pPr>
        <w:pStyle w:val="Heading1"/>
        <w:pageBreakBefore/>
        <w:pBdr>
          <w:bottom w:val="single" w:color="1F3A5F" w:sz="8" w:space="4"/>
        </w:pBdr>
        <w:spacing w:after="160"/>
      </w:pPr>
      <w:r>
        <w:rPr>
          <w:b/>
          <w:bCs/>
          <w:color w:val="1F3A5F"/>
          <w:sz w:val="34"/>
          <w:szCs w:val="34"/>
        </w:rPr>
        <w:t xml:space="preserve">3. Employee Policies: Hours, Leave and Remote Work</w:t>
      </w:r>
    </w:p>
    <w:p>
      <w:pPr>
        <w:pStyle w:val="Heading2"/>
        <w:spacing w:after="80" w:before="160"/>
      </w:pPr>
      <w:r>
        <w:rPr>
          <w:b/>
          <w:bCs/>
          <w:color w:val="1F3A5F"/>
          <w:sz w:val="25"/>
          <w:szCs w:val="25"/>
        </w:rPr>
        <w:t xml:space="preserve">3.1 Working hours</w:t>
      </w:r>
    </w:p>
    <w:p>
      <w:pPr>
        <w:spacing w:after="120" w:line="276"/>
      </w:pPr>
      <w:r>
        <w:rPr>
          <w:sz w:val="21"/>
          <w:szCs w:val="21"/>
        </w:rPr>
        <w:t xml:space="preserve">The standard working week is Monday to Friday from 9:30 AM to 6:30 PM, including a one-hour lunch break. Core collaboration hours are 11:00 AM to 4:00 PM, during which employees are expected to be available. Saturdays and Sundays are weekly offs.</w:t>
      </w:r>
    </w:p>
    <w:p>
      <w:pPr>
        <w:pStyle w:val="Heading2"/>
        <w:spacing w:after="80" w:before="160"/>
      </w:pPr>
      <w:r>
        <w:rPr>
          <w:b/>
          <w:bCs/>
          <w:color w:val="1F3A5F"/>
          <w:sz w:val="25"/>
          <w:szCs w:val="25"/>
        </w:rPr>
        <w:t xml:space="preserve">3.2 Hybrid work</w:t>
      </w:r>
    </w:p>
    <w:p>
      <w:pPr>
        <w:spacing w:after="120" w:line="276"/>
      </w:pPr>
      <w:r>
        <w:rPr>
          <w:sz w:val="21"/>
          <w:szCs w:val="21"/>
        </w:rPr>
        <w:t xml:space="preserve">Zentrix follows a hybrid model. Employees must be in the office on Tuesdays and Thursdays, which are designated anchor days. Employees may work remotely on the other three days. Fully remote work for more than 30 consecutive days requires written approval from the department head and the Chief People Officer. A home-office setup allowance of INR 15,000 is paid once, after the first six months of employment.</w:t>
      </w:r>
    </w:p>
    <w:p>
      <w:pPr>
        <w:pStyle w:val="Heading2"/>
        <w:spacing w:after="80" w:before="160"/>
      </w:pPr>
      <w:r>
        <w:rPr>
          <w:b/>
          <w:bCs/>
          <w:color w:val="1F3A5F"/>
          <w:sz w:val="25"/>
          <w:szCs w:val="25"/>
        </w:rPr>
        <w:t xml:space="preserve">3.3 Leave entitlements (per calendar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rPr>
          <w:tblHeader/>
        </w:trPr>
        <w:tc>
          <w:tcPr>
            <w:tcW w:type="dxa" w:w="28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Leave type</w:t>
            </w:r>
          </w:p>
        </w:tc>
        <w:tc>
          <w:tcPr>
            <w:tcW w:type="dxa" w:w="15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Days</w:t>
            </w:r>
          </w:p>
        </w:tc>
        <w:tc>
          <w:tcPr>
            <w:tcW w:type="dxa" w:w="4726"/>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Rules</w:t>
            </w:r>
          </w:p>
        </w:tc>
      </w:tr>
      <w:tr>
        <w:trPr>
          <w:tblHeader w:val="false"/>
        </w:trPr>
        <w:tc>
          <w:tcPr>
            <w:tcW w:type="dxa" w:w="28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Earned leave</w:t>
            </w:r>
          </w:p>
        </w:tc>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20</w:t>
            </w:r>
          </w:p>
        </w:tc>
        <w:tc>
          <w:tcPr>
            <w:tcW w:type="dxa" w:w="47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Accrues at 1.67 days per month; up to 10 days can be carried forward.</w:t>
            </w:r>
          </w:p>
        </w:tc>
      </w:tr>
      <w:tr>
        <w:trPr>
          <w:tblHeader w:val="false"/>
        </w:trPr>
        <w:tc>
          <w:tcPr>
            <w:tcW w:type="dxa" w:w="28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Sick leave</w:t>
            </w:r>
          </w:p>
        </w:tc>
        <w:tc>
          <w:tcPr>
            <w:tcW w:type="dxa" w:w="15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10</w:t>
            </w:r>
          </w:p>
        </w:tc>
        <w:tc>
          <w:tcPr>
            <w:tcW w:type="dxa" w:w="47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A medical certificate is required after 3 consecutive days.</w:t>
            </w:r>
          </w:p>
        </w:tc>
      </w:tr>
      <w:tr>
        <w:trPr>
          <w:tblHeader w:val="false"/>
        </w:trPr>
        <w:tc>
          <w:tcPr>
            <w:tcW w:type="dxa" w:w="28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Casual leave</w:t>
            </w:r>
          </w:p>
        </w:tc>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6</w:t>
            </w:r>
          </w:p>
        </w:tc>
        <w:tc>
          <w:tcPr>
            <w:tcW w:type="dxa" w:w="47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Cannot be combined with earned leave for more than 5 days in a row.</w:t>
            </w:r>
          </w:p>
        </w:tc>
      </w:tr>
      <w:tr>
        <w:trPr>
          <w:tblHeader w:val="false"/>
        </w:trPr>
        <w:tc>
          <w:tcPr>
            <w:tcW w:type="dxa" w:w="28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Maternity leave</w:t>
            </w:r>
          </w:p>
        </w:tc>
        <w:tc>
          <w:tcPr>
            <w:tcW w:type="dxa" w:w="15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26 weeks</w:t>
            </w:r>
          </w:p>
        </w:tc>
        <w:tc>
          <w:tcPr>
            <w:tcW w:type="dxa" w:w="47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Applies to the first two children; 12 weeks for the third child onward.</w:t>
            </w:r>
          </w:p>
        </w:tc>
      </w:tr>
      <w:tr>
        <w:trPr>
          <w:tblHeader w:val="false"/>
        </w:trPr>
        <w:tc>
          <w:tcPr>
            <w:tcW w:type="dxa" w:w="28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Paternity leave</w:t>
            </w:r>
          </w:p>
        </w:tc>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15 days</w:t>
            </w:r>
          </w:p>
        </w:tc>
        <w:tc>
          <w:tcPr>
            <w:tcW w:type="dxa" w:w="47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Must be taken within 6 months of the child's birth or adoption.</w:t>
            </w:r>
          </w:p>
        </w:tc>
      </w:tr>
      <w:tr>
        <w:trPr>
          <w:tblHeader w:val="false"/>
        </w:trPr>
        <w:tc>
          <w:tcPr>
            <w:tcW w:type="dxa" w:w="28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Bereavement leave</w:t>
            </w:r>
          </w:p>
        </w:tc>
        <w:tc>
          <w:tcPr>
            <w:tcW w:type="dxa" w:w="15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5 days</w:t>
            </w:r>
          </w:p>
        </w:tc>
        <w:tc>
          <w:tcPr>
            <w:tcW w:type="dxa" w:w="47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For the death of an immediate family member.</w:t>
            </w:r>
          </w:p>
        </w:tc>
      </w:tr>
      <w:tr>
        <w:trPr>
          <w:tblHeader w:val="false"/>
        </w:trPr>
        <w:tc>
          <w:tcPr>
            <w:tcW w:type="dxa" w:w="28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Marriage leave</w:t>
            </w:r>
          </w:p>
        </w:tc>
        <w:tc>
          <w:tcPr>
            <w:tcW w:type="dxa" w:w="1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5 days</w:t>
            </w:r>
          </w:p>
        </w:tc>
        <w:tc>
          <w:tcPr>
            <w:tcW w:type="dxa" w:w="47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Available once during employment.</w:t>
            </w:r>
          </w:p>
        </w:tc>
      </w:tr>
      <w:tr>
        <w:trPr>
          <w:tblHeader w:val="false"/>
        </w:trPr>
        <w:tc>
          <w:tcPr>
            <w:tcW w:type="dxa" w:w="28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Volunteer day</w:t>
            </w:r>
          </w:p>
        </w:tc>
        <w:tc>
          <w:tcPr>
            <w:tcW w:type="dxa" w:w="15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2</w:t>
            </w:r>
          </w:p>
        </w:tc>
        <w:tc>
          <w:tcPr>
            <w:tcW w:type="dxa" w:w="47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Paid days to volunteer with an approved non-profit organisation.</w:t>
            </w:r>
          </w:p>
        </w:tc>
      </w:tr>
    </w:tbl>
    <w:p>
      <w:pPr>
        <w:pStyle w:val="Heading2"/>
        <w:spacing w:after="80" w:before="160"/>
      </w:pPr>
      <w:r>
        <w:rPr>
          <w:b/>
          <w:bCs/>
          <w:color w:val="1F3A5F"/>
          <w:sz w:val="25"/>
          <w:szCs w:val="25"/>
        </w:rPr>
        <w:t xml:space="preserve">3.4 Probation and notice</w:t>
      </w:r>
    </w:p>
    <w:p>
      <w:pPr>
        <w:spacing w:after="120" w:line="276"/>
      </w:pPr>
      <w:r>
        <w:rPr>
          <w:sz w:val="21"/>
          <w:szCs w:val="21"/>
        </w:rPr>
        <w:t xml:space="preserve">New employees serve a probation period of 6 months. Notice periods after confirmation depend on level: 60 days for Levels L1 to L4, and 90 days for Levels L5 and above. During probation, the notice period is 30 days. Unused earned leave is encashed at the time of separation at the basic daily rate.</w:t>
      </w:r>
    </w:p>
    <w:p>
      <w:pPr>
        <w:pStyle w:val="Heading2"/>
        <w:spacing w:after="80" w:before="160"/>
      </w:pPr>
      <w:r>
        <w:rPr>
          <w:b/>
          <w:bCs/>
          <w:color w:val="1F3A5F"/>
          <w:sz w:val="25"/>
          <w:szCs w:val="25"/>
        </w:rPr>
        <w:t xml:space="preserve">3.5 Holidays</w:t>
      </w:r>
    </w:p>
    <w:p>
      <w:pPr>
        <w:spacing w:after="120" w:line="276"/>
      </w:pPr>
      <w:r>
        <w:rPr>
          <w:sz w:val="21"/>
          <w:szCs w:val="21"/>
        </w:rPr>
        <w:t xml:space="preserve">The company observes 12 paid public holidays in 2026, including Sankranti on 14 January, Independence Day on 15 August, Diwali on 8 November, and Christmas on 25 December. Zentrix also observes a company-wide shutdown from 28 December to 1 January.</w:t>
      </w:r>
    </w:p>
    <w:p>
      <w:pPr>
        <w:pStyle w:val="Heading1"/>
        <w:pageBreakBefore/>
        <w:pBdr>
          <w:bottom w:val="single" w:color="1F3A5F" w:sz="8" w:space="4"/>
        </w:pBdr>
        <w:spacing w:after="160"/>
      </w:pPr>
      <w:r>
        <w:rPr>
          <w:b/>
          <w:bCs/>
          <w:color w:val="1F3A5F"/>
          <w:sz w:val="34"/>
          <w:szCs w:val="34"/>
        </w:rPr>
        <w:t xml:space="preserve">4. Compensation, Benefits and Performance</w:t>
      </w:r>
    </w:p>
    <w:p>
      <w:pPr>
        <w:pStyle w:val="Heading2"/>
        <w:spacing w:after="80" w:before="160"/>
      </w:pPr>
      <w:r>
        <w:rPr>
          <w:b/>
          <w:bCs/>
          <w:color w:val="1F3A5F"/>
          <w:sz w:val="25"/>
          <w:szCs w:val="25"/>
        </w:rPr>
        <w:t xml:space="preserve">4.1 Career levels and annual salary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500"/>
        <w:gridCol w:w="2526"/>
      </w:tblGrid>
      <w:tr>
        <w:trPr>
          <w:tblHeader/>
        </w:trPr>
        <w:tc>
          <w:tcPr>
            <w:tcW w:type="dxa" w:w="11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Level</w:t>
            </w:r>
          </w:p>
        </w:tc>
        <w:tc>
          <w:tcPr>
            <w:tcW w:type="dxa" w:w="29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Title examples</w:t>
            </w:r>
          </w:p>
        </w:tc>
        <w:tc>
          <w:tcPr>
            <w:tcW w:type="dxa" w:w="25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Annual base (INR)</w:t>
            </w:r>
          </w:p>
        </w:tc>
        <w:tc>
          <w:tcPr>
            <w:tcW w:type="dxa" w:w="2526"/>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Target bonus</w:t>
            </w:r>
          </w:p>
        </w:tc>
      </w:tr>
      <w:tr>
        <w:trPr>
          <w:tblHeader w:val="false"/>
        </w:trPr>
        <w:tc>
          <w:tcPr>
            <w:tcW w:type="dxa" w:w="11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L1</w:t>
            </w:r>
          </w:p>
        </w:tc>
        <w:tc>
          <w:tcPr>
            <w:tcW w:type="dxa" w:w="2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Associate Engineer, Support Associate</w:t>
            </w:r>
          </w:p>
        </w:tc>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6 to 9 lakh</w:t>
            </w:r>
          </w:p>
        </w:tc>
        <w:tc>
          <w:tcPr>
            <w:tcW w:type="dxa" w:w="25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5%</w:t>
            </w:r>
          </w:p>
        </w:tc>
      </w:tr>
      <w:tr>
        <w:trPr>
          <w:tblHeader w:val="false"/>
        </w:trPr>
        <w:tc>
          <w:tcPr>
            <w:tcW w:type="dxa" w:w="11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L2</w:t>
            </w:r>
          </w:p>
        </w:tc>
        <w:tc>
          <w:tcPr>
            <w:tcW w:type="dxa" w:w="29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Software Engineer, Analyst</w:t>
            </w:r>
          </w:p>
        </w:tc>
        <w:tc>
          <w:tcPr>
            <w:tcW w:type="dxa" w:w="25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9 to 14 lakh</w:t>
            </w:r>
          </w:p>
        </w:tc>
        <w:tc>
          <w:tcPr>
            <w:tcW w:type="dxa" w:w="25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8%</w:t>
            </w:r>
          </w:p>
        </w:tc>
      </w:tr>
      <w:tr>
        <w:trPr>
          <w:tblHeader w:val="false"/>
        </w:trPr>
        <w:tc>
          <w:tcPr>
            <w:tcW w:type="dxa" w:w="11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L3</w:t>
            </w:r>
          </w:p>
        </w:tc>
        <w:tc>
          <w:tcPr>
            <w:tcW w:type="dxa" w:w="2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Senior Engineer, Senior Analyst</w:t>
            </w:r>
          </w:p>
        </w:tc>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14 to 22 lakh</w:t>
            </w:r>
          </w:p>
        </w:tc>
        <w:tc>
          <w:tcPr>
            <w:tcW w:type="dxa" w:w="25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10%</w:t>
            </w:r>
          </w:p>
        </w:tc>
      </w:tr>
      <w:tr>
        <w:trPr>
          <w:tblHeader w:val="false"/>
        </w:trPr>
        <w:tc>
          <w:tcPr>
            <w:tcW w:type="dxa" w:w="11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L4</w:t>
            </w:r>
          </w:p>
        </w:tc>
        <w:tc>
          <w:tcPr>
            <w:tcW w:type="dxa" w:w="29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Lead Engineer, Product Manager</w:t>
            </w:r>
          </w:p>
        </w:tc>
        <w:tc>
          <w:tcPr>
            <w:tcW w:type="dxa" w:w="25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22 to 34 lakh</w:t>
            </w:r>
          </w:p>
        </w:tc>
        <w:tc>
          <w:tcPr>
            <w:tcW w:type="dxa" w:w="25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12%</w:t>
            </w:r>
          </w:p>
        </w:tc>
      </w:tr>
      <w:tr>
        <w:trPr>
          <w:tblHeader w:val="false"/>
        </w:trPr>
        <w:tc>
          <w:tcPr>
            <w:tcW w:type="dxa" w:w="11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L5</w:t>
            </w:r>
          </w:p>
        </w:tc>
        <w:tc>
          <w:tcPr>
            <w:tcW w:type="dxa" w:w="2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Staff Engineer, Engineering Manager</w:t>
            </w:r>
          </w:p>
        </w:tc>
        <w:tc>
          <w:tcPr>
            <w:tcW w:type="dxa" w:w="25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34 to 50 lakh</w:t>
            </w:r>
          </w:p>
        </w:tc>
        <w:tc>
          <w:tcPr>
            <w:tcW w:type="dxa" w:w="25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15%</w:t>
            </w:r>
          </w:p>
        </w:tc>
      </w:tr>
      <w:tr>
        <w:trPr>
          <w:tblHeader w:val="false"/>
        </w:trPr>
        <w:tc>
          <w:tcPr>
            <w:tcW w:type="dxa" w:w="11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L6</w:t>
            </w:r>
          </w:p>
        </w:tc>
        <w:tc>
          <w:tcPr>
            <w:tcW w:type="dxa" w:w="29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Principal Engineer, Director</w:t>
            </w:r>
          </w:p>
        </w:tc>
        <w:tc>
          <w:tcPr>
            <w:tcW w:type="dxa" w:w="25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50 to 80 lakh</w:t>
            </w:r>
          </w:p>
        </w:tc>
        <w:tc>
          <w:tcPr>
            <w:tcW w:type="dxa" w:w="25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20%</w:t>
            </w:r>
          </w:p>
        </w:tc>
      </w:tr>
    </w:tbl>
    <w:p>
      <w:pPr>
        <w:pStyle w:val="Heading2"/>
        <w:spacing w:after="80" w:before="160"/>
      </w:pPr>
      <w:r>
        <w:rPr>
          <w:b/>
          <w:bCs/>
          <w:color w:val="1F3A5F"/>
          <w:sz w:val="25"/>
          <w:szCs w:val="25"/>
        </w:rPr>
        <w:t xml:space="preserve">4.2 Benefits</w:t>
      </w:r>
    </w:p>
    <w:p>
      <w:pPr>
        <w:pStyle w:val="ListParagraph"/>
        <w:numPr>
          <w:ilvl w:val="0"/>
          <w:numId w:val="2"/>
        </w:numPr>
        <w:spacing w:after="60" w:line="264"/>
      </w:pPr>
      <w:r>
        <w:rPr>
          <w:sz w:val="21"/>
          <w:szCs w:val="21"/>
        </w:rPr>
        <w:t xml:space="preserve">Health insurance: group medical cover of INR 8 lakh per family, rising to INR 10 lakh for employees above age 45. Parents can be added at a subsidised premium.</w:t>
      </w:r>
    </w:p>
    <w:p>
      <w:pPr>
        <w:pStyle w:val="ListParagraph"/>
        <w:numPr>
          <w:ilvl w:val="0"/>
          <w:numId w:val="2"/>
        </w:numPr>
        <w:spacing w:after="60" w:line="264"/>
      </w:pPr>
      <w:r>
        <w:rPr>
          <w:sz w:val="21"/>
          <w:szCs w:val="21"/>
        </w:rPr>
        <w:t xml:space="preserve">Life insurance: coverage of 4 times annual base salary, paid for entirely by the company.</w:t>
      </w:r>
    </w:p>
    <w:p>
      <w:pPr>
        <w:pStyle w:val="ListParagraph"/>
        <w:numPr>
          <w:ilvl w:val="0"/>
          <w:numId w:val="2"/>
        </w:numPr>
        <w:spacing w:after="60" w:line="264"/>
      </w:pPr>
      <w:r>
        <w:rPr>
          <w:sz w:val="21"/>
          <w:szCs w:val="21"/>
        </w:rPr>
        <w:t xml:space="preserve">Provident fund: the company contributes 12% of basic salary, matching the employee's contribution.</w:t>
      </w:r>
    </w:p>
    <w:p>
      <w:pPr>
        <w:pStyle w:val="ListParagraph"/>
        <w:numPr>
          <w:ilvl w:val="0"/>
          <w:numId w:val="2"/>
        </w:numPr>
        <w:spacing w:after="60" w:line="264"/>
      </w:pPr>
      <w:r>
        <w:rPr>
          <w:sz w:val="21"/>
          <w:szCs w:val="21"/>
        </w:rPr>
        <w:t xml:space="preserve">Learning budget: INR 40,000 per year for courses, books and certifications, plus 3 paid study days per year.</w:t>
      </w:r>
    </w:p>
    <w:p>
      <w:pPr>
        <w:pStyle w:val="ListParagraph"/>
        <w:numPr>
          <w:ilvl w:val="0"/>
          <w:numId w:val="2"/>
        </w:numPr>
        <w:spacing w:after="60" w:line="264"/>
      </w:pPr>
      <w:r>
        <w:rPr>
          <w:sz w:val="21"/>
          <w:szCs w:val="21"/>
        </w:rPr>
        <w:t xml:space="preserve">Wellness: access to the Employee Assistance Programme, offering 6 free counselling sessions per year, and a gym reimbursement of up to INR 6,000 per quarter.</w:t>
      </w:r>
    </w:p>
    <w:p>
      <w:pPr>
        <w:pStyle w:val="ListParagraph"/>
        <w:numPr>
          <w:ilvl w:val="0"/>
          <w:numId w:val="2"/>
        </w:numPr>
        <w:spacing w:after="60" w:line="264"/>
      </w:pPr>
      <w:r>
        <w:rPr>
          <w:sz w:val="21"/>
          <w:szCs w:val="21"/>
        </w:rPr>
        <w:t xml:space="preserve">Meals and commute: free lunch in the Hyderabad and Pune offices, and a cab facility for shifts ending after 8:00 PM.</w:t>
      </w:r>
    </w:p>
    <w:p>
      <w:pPr>
        <w:pStyle w:val="Heading2"/>
        <w:spacing w:after="80" w:before="160"/>
      </w:pPr>
      <w:r>
        <w:rPr>
          <w:b/>
          <w:bCs/>
          <w:color w:val="1F3A5F"/>
          <w:sz w:val="25"/>
          <w:szCs w:val="25"/>
        </w:rPr>
        <w:t xml:space="preserve">4.3 Performance reviews</w:t>
      </w:r>
    </w:p>
    <w:p>
      <w:pPr>
        <w:spacing w:after="120" w:line="276"/>
      </w:pPr>
      <w:r>
        <w:rPr>
          <w:sz w:val="21"/>
          <w:szCs w:val="21"/>
        </w:rPr>
        <w:t xml:space="preserve">Performance is reviewed twice a year. The mid-year check-in takes place in October, and the annual review takes place in March. Ratings use a five-point scale: Exceptional (5), Exceeds Expectations (4), Meets Expectations (3), Needs Improvement (2) and Unsatisfactory (1). Salary revisions are effective from 1 April each year, and the average increment in April 2026 was 9.5%.</w:t>
      </w:r>
    </w:p>
    <w:p>
      <w:pPr>
        <w:pStyle w:val="Heading2"/>
        <w:spacing w:after="80" w:before="160"/>
      </w:pPr>
      <w:r>
        <w:rPr>
          <w:b/>
          <w:bCs/>
          <w:color w:val="1F3A5F"/>
          <w:sz w:val="25"/>
          <w:szCs w:val="25"/>
        </w:rPr>
        <w:t xml:space="preserve">4.4 Bonuses and recognition</w:t>
      </w:r>
    </w:p>
    <w:p>
      <w:pPr>
        <w:spacing w:after="120" w:line="276"/>
      </w:pPr>
      <w:r>
        <w:rPr>
          <w:sz w:val="21"/>
          <w:szCs w:val="21"/>
        </w:rPr>
        <w:t xml:space="preserve">The annual performance bonus is paid in May and scales with the company's performance and the individual rating. Employees rated 3 or above receive 100% of their target bonus. The Spot Award programme gives INR 5,000 gift vouchers for outstanding contributions, and the Zentrix Star Award, given every year on Founders' Day (14 March), carries a prize of INR 1 lakh.</w:t>
      </w:r>
    </w:p>
    <w:p>
      <w:pPr>
        <w:pStyle w:val="Heading2"/>
        <w:spacing w:after="80" w:before="160"/>
      </w:pPr>
      <w:r>
        <w:rPr>
          <w:b/>
          <w:bCs/>
          <w:color w:val="1F3A5F"/>
          <w:sz w:val="25"/>
          <w:szCs w:val="25"/>
        </w:rPr>
        <w:t xml:space="preserve">4.5 Referral program</w:t>
      </w:r>
    </w:p>
    <w:p>
      <w:pPr>
        <w:spacing w:after="120" w:line="276"/>
      </w:pPr>
      <w:r>
        <w:rPr>
          <w:sz w:val="21"/>
          <w:szCs w:val="21"/>
        </w:rPr>
        <w:t xml:space="preserve">An employee who refers a successful candidate receives INR 30,000 for L1 to L3 roles and INR 60,000 for L4 and above, paid after the new hire completes 90 days.</w:t>
      </w:r>
    </w:p>
    <w:p>
      <w:pPr>
        <w:pStyle w:val="Heading1"/>
        <w:pageBreakBefore/>
        <w:pBdr>
          <w:bottom w:val="single" w:color="1F3A5F" w:sz="8" w:space="4"/>
        </w:pBdr>
        <w:spacing w:after="160"/>
      </w:pPr>
      <w:r>
        <w:rPr>
          <w:b/>
          <w:bCs/>
          <w:color w:val="1F3A5F"/>
          <w:sz w:val="34"/>
          <w:szCs w:val="34"/>
        </w:rPr>
        <w:t xml:space="preserve">5. Employee Directory Sample and FAQ</w:t>
      </w:r>
    </w:p>
    <w:p>
      <w:pPr>
        <w:pStyle w:val="Heading2"/>
        <w:spacing w:after="80" w:before="160"/>
      </w:pPr>
      <w:r>
        <w:rPr>
          <w:b/>
          <w:bCs/>
          <w:color w:val="1F3A5F"/>
          <w:sz w:val="25"/>
          <w:szCs w:val="25"/>
        </w:rPr>
        <w:t xml:space="preserve">5.1 Sample employee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300"/>
        <w:gridCol w:w="1300"/>
        <w:gridCol w:w="2426"/>
      </w:tblGrid>
      <w:tr>
        <w:trPr>
          <w:tblHeader/>
        </w:trPr>
        <w:tc>
          <w:tcPr>
            <w:tcW w:type="dxa" w:w="11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Emp ID</w:t>
            </w:r>
          </w:p>
        </w:tc>
        <w:tc>
          <w:tcPr>
            <w:tcW w:type="dxa" w:w="19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Name</w:t>
            </w:r>
          </w:p>
        </w:tc>
        <w:tc>
          <w:tcPr>
            <w:tcW w:type="dxa" w:w="23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Role</w:t>
            </w:r>
          </w:p>
        </w:tc>
        <w:tc>
          <w:tcPr>
            <w:tcW w:type="dxa" w:w="1300"/>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Joined</w:t>
            </w:r>
          </w:p>
        </w:tc>
        <w:tc>
          <w:tcPr>
            <w:tcW w:type="dxa" w:w="2426"/>
            <w:tcBorders>
              <w:top w:val="single" w:color="B8C4D2" w:sz="4"/>
              <w:left w:val="single" w:color="B8C4D2" w:sz="4"/>
              <w:bottom w:val="single" w:color="B8C4D2" w:sz="4"/>
              <w:right w:val="single" w:color="B8C4D2" w:sz="4"/>
            </w:tcBorders>
            <w:shd w:fill="1F3A5F" w:color="auto" w:val="clear"/>
            <w:tcMar>
              <w:top w:type="dxa" w:w="60"/>
              <w:left w:type="dxa" w:w="100"/>
              <w:bottom w:type="dxa" w:w="60"/>
              <w:right w:type="dxa" w:w="100"/>
            </w:tcMar>
          </w:tcPr>
          <w:p>
            <w:r>
              <w:rPr>
                <w:b/>
                <w:bCs/>
                <w:color w:val="FFFFFF"/>
                <w:sz w:val="19"/>
                <w:szCs w:val="19"/>
              </w:rPr>
              <w:t xml:space="preserve">Manager</w:t>
            </w:r>
          </w:p>
        </w:tc>
      </w:tr>
      <w:tr>
        <w:trPr>
          <w:tblHeader w:val="false"/>
        </w:trPr>
        <w:tc>
          <w:tcPr>
            <w:tcW w:type="dxa" w:w="11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ZX-1042</w:t>
            </w:r>
          </w:p>
        </w:tc>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Aditi Sharma</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Senior Engineer, Flow Team</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11 Jul 2021</w:t>
            </w:r>
          </w:p>
        </w:tc>
        <w:tc>
          <w:tcPr>
            <w:tcW w:type="dxa" w:w="24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Neha Kapoor</w:t>
            </w:r>
          </w:p>
        </w:tc>
      </w:tr>
      <w:tr>
        <w:trPr>
          <w:tblHeader w:val="false"/>
        </w:trPr>
        <w:tc>
          <w:tcPr>
            <w:tcW w:type="dxa" w:w="11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ZX-1187</w:t>
            </w:r>
          </w:p>
        </w:tc>
        <w:tc>
          <w:tcPr>
            <w:tcW w:type="dxa" w:w="19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Rahul Verma</w:t>
            </w:r>
          </w:p>
        </w:tc>
        <w:tc>
          <w:tcPr>
            <w:tcW w:type="dxa" w:w="23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Product Manager, Insight</w:t>
            </w:r>
          </w:p>
        </w:tc>
        <w:tc>
          <w:tcPr>
            <w:tcW w:type="dxa" w:w="13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3 Jan 2022</w:t>
            </w:r>
          </w:p>
        </w:tc>
        <w:tc>
          <w:tcPr>
            <w:tcW w:type="dxa" w:w="24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Meera Subramanian</w:t>
            </w:r>
          </w:p>
        </w:tc>
      </w:tr>
      <w:tr>
        <w:trPr>
          <w:tblHeader w:val="false"/>
        </w:trPr>
        <w:tc>
          <w:tcPr>
            <w:tcW w:type="dxa" w:w="11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ZX-1305</w:t>
            </w:r>
          </w:p>
        </w:tc>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Kavya Reddy</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Security Analyst, IT</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21 Sep 2022</w:t>
            </w:r>
          </w:p>
        </w:tc>
        <w:tc>
          <w:tcPr>
            <w:tcW w:type="dxa" w:w="24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Sunita Deshmukh</w:t>
            </w:r>
          </w:p>
        </w:tc>
      </w:tr>
      <w:tr>
        <w:trPr>
          <w:tblHeader w:val="false"/>
        </w:trPr>
        <w:tc>
          <w:tcPr>
            <w:tcW w:type="dxa" w:w="11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ZX-1459</w:t>
            </w:r>
          </w:p>
        </w:tc>
        <w:tc>
          <w:tcPr>
            <w:tcW w:type="dxa" w:w="19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Imran Khan</w:t>
            </w:r>
          </w:p>
        </w:tc>
        <w:tc>
          <w:tcPr>
            <w:tcW w:type="dxa" w:w="23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Customer Success Lead</w:t>
            </w:r>
          </w:p>
        </w:tc>
        <w:tc>
          <w:tcPr>
            <w:tcW w:type="dxa" w:w="13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6 Mar 2023</w:t>
            </w:r>
          </w:p>
        </w:tc>
        <w:tc>
          <w:tcPr>
            <w:tcW w:type="dxa" w:w="24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Vikram Choudhury</w:t>
            </w:r>
          </w:p>
        </w:tc>
      </w:tr>
      <w:tr>
        <w:trPr>
          <w:tblHeader w:val="false"/>
        </w:trPr>
        <w:tc>
          <w:tcPr>
            <w:tcW w:type="dxa" w:w="11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ZX-1618</w:t>
            </w:r>
          </w:p>
        </w:tc>
        <w:tc>
          <w:tcPr>
            <w:tcW w:type="dxa" w:w="19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Sneha Joshi</w:t>
            </w:r>
          </w:p>
        </w:tc>
        <w:tc>
          <w:tcPr>
            <w:tcW w:type="dxa" w:w="2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Software Engineer, Guard</w:t>
            </w:r>
          </w:p>
        </w:tc>
        <w:tc>
          <w:tcPr>
            <w:tcW w:type="dxa" w:w="1300"/>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14 Aug 2024</w:t>
            </w:r>
          </w:p>
        </w:tc>
        <w:tc>
          <w:tcPr>
            <w:tcW w:type="dxa" w:w="2426"/>
            <w:tcBorders>
              <w:top w:val="single" w:color="B8C4D2" w:sz="4"/>
              <w:left w:val="single" w:color="B8C4D2" w:sz="4"/>
              <w:bottom w:val="single" w:color="B8C4D2" w:sz="4"/>
              <w:right w:val="single" w:color="B8C4D2" w:sz="4"/>
            </w:tcBorders>
            <w:tcMar>
              <w:top w:type="dxa" w:w="60"/>
              <w:left w:type="dxa" w:w="100"/>
              <w:bottom w:type="dxa" w:w="60"/>
              <w:right w:type="dxa" w:w="100"/>
            </w:tcMar>
          </w:tcPr>
          <w:p>
            <w:r>
              <w:rPr>
                <w:b w:val="false"/>
                <w:bCs w:val="false"/>
                <w:color w:val="000000"/>
                <w:sz w:val="19"/>
                <w:szCs w:val="19"/>
              </w:rPr>
              <w:t xml:space="preserve">Fatima Sheikh</w:t>
            </w:r>
          </w:p>
        </w:tc>
      </w:tr>
      <w:tr>
        <w:trPr>
          <w:tblHeader w:val="false"/>
        </w:trPr>
        <w:tc>
          <w:tcPr>
            <w:tcW w:type="dxa" w:w="11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ZX-1774</w:t>
            </w:r>
          </w:p>
        </w:tc>
        <w:tc>
          <w:tcPr>
            <w:tcW w:type="dxa" w:w="19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Tarun Bhatia</w:t>
            </w:r>
          </w:p>
        </w:tc>
        <w:tc>
          <w:tcPr>
            <w:tcW w:type="dxa" w:w="23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Account Executive, Austin</w:t>
            </w:r>
          </w:p>
        </w:tc>
        <w:tc>
          <w:tcPr>
            <w:tcW w:type="dxa" w:w="1300"/>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20 Jan 2025</w:t>
            </w:r>
          </w:p>
        </w:tc>
        <w:tc>
          <w:tcPr>
            <w:tcW w:type="dxa" w:w="2426"/>
            <w:tcBorders>
              <w:top w:val="single" w:color="B8C4D2" w:sz="4"/>
              <w:left w:val="single" w:color="B8C4D2" w:sz="4"/>
              <w:bottom w:val="single" w:color="B8C4D2" w:sz="4"/>
              <w:right w:val="single" w:color="B8C4D2" w:sz="4"/>
            </w:tcBorders>
            <w:shd w:fill="EAF0F7" w:color="auto" w:val="clear"/>
            <w:tcMar>
              <w:top w:type="dxa" w:w="60"/>
              <w:left w:type="dxa" w:w="100"/>
              <w:bottom w:type="dxa" w:w="60"/>
              <w:right w:type="dxa" w:w="100"/>
            </w:tcMar>
          </w:tcPr>
          <w:p>
            <w:r>
              <w:rPr>
                <w:b w:val="false"/>
                <w:bCs w:val="false"/>
                <w:color w:val="000000"/>
                <w:sz w:val="19"/>
                <w:szCs w:val="19"/>
              </w:rPr>
              <w:t xml:space="preserve">Daniel Whitfield</w:t>
            </w:r>
          </w:p>
        </w:tc>
      </w:tr>
    </w:tbl>
    <w:p>
      <w:pPr>
        <w:pStyle w:val="Heading2"/>
        <w:spacing w:after="80" w:before="160"/>
      </w:pPr>
      <w:r>
        <w:rPr>
          <w:b/>
          <w:bCs/>
          <w:color w:val="1F3A5F"/>
          <w:sz w:val="25"/>
          <w:szCs w:val="25"/>
        </w:rPr>
        <w:t xml:space="preserve">5.2 Frequently asked questions</w:t>
      </w:r>
    </w:p>
    <w:p>
      <w:pPr>
        <w:spacing w:after="120" w:line="276"/>
      </w:pPr>
      <w:r>
        <w:rPr>
          <w:b/>
          <w:bCs/>
          <w:sz w:val="21"/>
          <w:szCs w:val="21"/>
        </w:rPr>
        <w:t xml:space="preserve">Q: How many days of earned leave can be carried forward? </w:t>
      </w:r>
      <w:r>
        <w:rPr>
          <w:sz w:val="21"/>
          <w:szCs w:val="21"/>
        </w:rPr>
        <w:t xml:space="preserve">A: Up to 10 days of earned leave carry forward to the next year.</w:t>
      </w:r>
    </w:p>
    <w:p>
      <w:pPr>
        <w:spacing w:after="120" w:line="276"/>
      </w:pPr>
      <w:r>
        <w:rPr>
          <w:b/>
          <w:bCs/>
          <w:sz w:val="21"/>
          <w:szCs w:val="21"/>
        </w:rPr>
        <w:t xml:space="preserve">Q: Who chairs the Audit Committee? </w:t>
      </w:r>
      <w:r>
        <w:rPr>
          <w:sz w:val="21"/>
          <w:szCs w:val="21"/>
        </w:rPr>
        <w:t xml:space="preserve">A: Dr. Lakshmi Narayanan, the independent director.</w:t>
      </w:r>
    </w:p>
    <w:p>
      <w:pPr>
        <w:spacing w:after="120" w:line="276"/>
      </w:pPr>
      <w:r>
        <w:rPr>
          <w:b/>
          <w:bCs/>
          <w:sz w:val="21"/>
          <w:szCs w:val="21"/>
        </w:rPr>
        <w:t xml:space="preserve">Q: What are the office anchor days? </w:t>
      </w:r>
      <w:r>
        <w:rPr>
          <w:sz w:val="21"/>
          <w:szCs w:val="21"/>
        </w:rPr>
        <w:t xml:space="preserve">A: Tuesdays and Thursdays.</w:t>
      </w:r>
    </w:p>
    <w:p>
      <w:pPr>
        <w:spacing w:after="120" w:line="276"/>
      </w:pPr>
      <w:r>
        <w:rPr>
          <w:b/>
          <w:bCs/>
          <w:sz w:val="21"/>
          <w:szCs w:val="21"/>
        </w:rPr>
        <w:t xml:space="preserve">Q: What is the notice period for a Level L5 employee? </w:t>
      </w:r>
      <w:r>
        <w:rPr>
          <w:sz w:val="21"/>
          <w:szCs w:val="21"/>
        </w:rPr>
        <w:t xml:space="preserve">A: 90 days.</w:t>
      </w:r>
    </w:p>
    <w:p>
      <w:pPr>
        <w:spacing w:after="120" w:line="276"/>
      </w:pPr>
      <w:r>
        <w:rPr>
          <w:b/>
          <w:bCs/>
          <w:sz w:val="21"/>
          <w:szCs w:val="21"/>
        </w:rPr>
        <w:t xml:space="preserve">Q: When was Zentrix Guard launched? </w:t>
      </w:r>
      <w:r>
        <w:rPr>
          <w:sz w:val="21"/>
          <w:szCs w:val="21"/>
        </w:rPr>
        <w:t xml:space="preserve">A: In January 2022.</w:t>
      </w:r>
    </w:p>
    <w:p>
      <w:pPr>
        <w:spacing w:after="120" w:line="276"/>
      </w:pPr>
      <w:r>
        <w:rPr>
          <w:b/>
          <w:bCs/>
          <w:sz w:val="21"/>
          <w:szCs w:val="21"/>
        </w:rPr>
        <w:t xml:space="preserve">Q: How much is the one-time home-office allowance? </w:t>
      </w:r>
      <w:r>
        <w:rPr>
          <w:sz w:val="21"/>
          <w:szCs w:val="21"/>
        </w:rPr>
        <w:t xml:space="preserve">A: INR 15,000, paid after six months of employment.</w:t>
      </w:r>
    </w:p>
    <w:p>
      <w:pPr>
        <w:spacing w:after="120" w:line="276"/>
      </w:pPr>
      <w:r>
        <w:rPr>
          <w:b/>
          <w:bCs/>
          <w:sz w:val="21"/>
          <w:szCs w:val="21"/>
        </w:rPr>
        <w:t xml:space="preserve">Q: Who manages Aditi Sharma? </w:t>
      </w:r>
      <w:r>
        <w:rPr>
          <w:sz w:val="21"/>
          <w:szCs w:val="21"/>
        </w:rPr>
        <w:t xml:space="preserve">A: Neha Kapoor, who leads the Flow Team.</w:t>
      </w:r>
    </w:p>
    <w:p>
      <w:pPr>
        <w:spacing w:after="120" w:line="276"/>
      </w:pPr>
      <w:r>
        <w:rPr>
          <w:b/>
          <w:bCs/>
          <w:sz w:val="21"/>
          <w:szCs w:val="21"/>
        </w:rPr>
        <w:t xml:space="preserve">Q: How many employees work in Customer Success? </w:t>
      </w:r>
      <w:r>
        <w:rPr>
          <w:sz w:val="21"/>
          <w:szCs w:val="21"/>
        </w:rPr>
        <w:t xml:space="preserve">A: 58, mainly in the Pune office.</w:t>
      </w:r>
    </w:p>
    <w:p>
      <w:pPr>
        <w:pStyle w:val="Heading2"/>
        <w:spacing w:after="80" w:before="160"/>
      </w:pPr>
      <w:r>
        <w:rPr>
          <w:b/>
          <w:bCs/>
          <w:color w:val="1F3A5F"/>
          <w:sz w:val="25"/>
          <w:szCs w:val="25"/>
        </w:rPr>
        <w:t xml:space="preserve">5.3 HR contacts and escalation</w:t>
      </w:r>
    </w:p>
    <w:p>
      <w:pPr>
        <w:spacing w:after="120" w:line="276"/>
      </w:pPr>
      <w:r>
        <w:rPr>
          <w:sz w:val="21"/>
          <w:szCs w:val="21"/>
        </w:rPr>
        <w:t xml:space="preserve">For HR questions, email people@zentrix-example.com or call the HR helpdesk on extension 4400. Payroll queries go to payroll@zentrix-example.com, and security incidents go to security@zentrix-example.com. Workplace concerns can be raised confidentially through the Speak Up line at +91 40 5550 0199, which is monitored by the Chief People Officer. This document was last updated on 1 October 2026 and is owned by the People and Culture team.</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7"/>
        <w:szCs w:val="17"/>
      </w:rPr>
      <w:t xml:space="preserve">Page </w:t>
    </w:r>
    <w:r>
      <w:rPr>
        <w:color w:val="666666"/>
        <w:sz w:val="17"/>
        <w:szCs w:val="17"/>
      </w:rPr>
      <w:fldChar w:fldCharType="begin"/>
      <w:instrText xml:space="preserve">PAGE</w:instrText>
      <w:fldChar w:fldCharType="separate"/>
      <w:fldChar w:fldCharType="end"/>
    </w:r>
    <w:r>
      <w:rPr>
        <w:color w:val="666666"/>
        <w:sz w:val="17"/>
        <w:szCs w:val="17"/>
      </w:rPr>
      <w:t xml:space="preserve"> of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7"/>
        <w:szCs w:val="17"/>
      </w:rPr>
      <w:t xml:space="preserve">Zentrix Technologies | Company and Employee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F3A5F"/>
      <w:sz w:val="34"/>
      <w:szCs w:val="34"/>
    </w:rPr>
  </w:style>
  <w:style w:type="paragraph" w:styleId="Heading2">
    <w:name w:val="Heading 2"/>
    <w:basedOn w:val="Normal"/>
    <w:next w:val="Normal"/>
    <w:qFormat/>
    <w:pPr>
      <w:spacing w:after="80" w:before="160"/>
      <w:outlineLvl w:val="1"/>
    </w:pPr>
    <w:rPr>
      <w:rFonts w:ascii="Arial" w:cs="Arial" w:eastAsia="Arial" w:hAnsi="Arial"/>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Zentrix Technologies: Company and Employee Handbook (RAG test)</dc:title>
  <dc:creator>People and Culture</dc:creator>
  <cp:lastModifiedBy>Un-named</cp:lastModifiedBy>
  <cp:revision>1</cp:revision>
  <dcterms:created xsi:type="dcterms:W3CDTF">2026-10-04T12:59:37.732Z</dcterms:created>
  <dcterms:modified xsi:type="dcterms:W3CDTF">2026-10-04T12:59:37.738Z</dcterms:modified>
</cp:coreProperties>
</file>

<file path=docProps/custom.xml><?xml version="1.0" encoding="utf-8"?>
<Properties xmlns="http://schemas.openxmlformats.org/officeDocument/2006/custom-properties" xmlns:vt="http://schemas.openxmlformats.org/officeDocument/2006/docPropsVTypes"/>
</file>