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5645" w14:textId="77777777" w:rsidR="00166B99" w:rsidRDefault="00166B99">
      <w:pPr>
        <w:spacing w:before="1400"/>
      </w:pPr>
    </w:p>
    <w:p w14:paraId="15AC49BE" w14:textId="77777777" w:rsidR="00166B99" w:rsidRDefault="001A0AEF">
      <w:pPr>
        <w:pBdr>
          <w:bottom w:val="single" w:sz="12" w:space="14" w:color="1F4E79"/>
        </w:pBdr>
        <w:spacing w:after="300"/>
        <w:jc w:val="center"/>
      </w:pPr>
      <w:r>
        <w:rPr>
          <w:b/>
          <w:bCs/>
          <w:color w:val="595959"/>
          <w:spacing w:val="40"/>
          <w:sz w:val="22"/>
          <w:szCs w:val="22"/>
        </w:rPr>
        <w:t>CAPSTONE PROJECT REPORT</w:t>
      </w:r>
    </w:p>
    <w:p w14:paraId="0D95CC1A" w14:textId="77777777" w:rsidR="00166B99" w:rsidRDefault="001A0AEF">
      <w:pPr>
        <w:spacing w:before="300"/>
        <w:jc w:val="center"/>
      </w:pPr>
      <w:r>
        <w:rPr>
          <w:b/>
          <w:bCs/>
          <w:color w:val="1F4E79"/>
          <w:sz w:val="56"/>
          <w:szCs w:val="56"/>
        </w:rPr>
        <w:t>BLUESTOCK MUTUAL FUND</w:t>
      </w:r>
    </w:p>
    <w:p w14:paraId="46C3BF43" w14:textId="77777777" w:rsidR="00166B99" w:rsidRDefault="001A0AEF">
      <w:pPr>
        <w:spacing w:after="300"/>
        <w:jc w:val="center"/>
      </w:pPr>
      <w:r>
        <w:rPr>
          <w:b/>
          <w:bCs/>
          <w:color w:val="1F4E79"/>
          <w:sz w:val="56"/>
          <w:szCs w:val="56"/>
        </w:rPr>
        <w:t>ANALYTICS DASHBOARD</w:t>
      </w:r>
    </w:p>
    <w:p w14:paraId="5E8D418F" w14:textId="7FC66305" w:rsidR="00166B99" w:rsidRDefault="001A0AEF">
      <w:pPr>
        <w:pBdr>
          <w:bottom w:val="single" w:sz="12" w:space="14" w:color="1F4E79"/>
        </w:pBdr>
        <w:spacing w:after="900"/>
        <w:jc w:val="center"/>
      </w:pPr>
      <w:r>
        <w:rPr>
          <w:i/>
          <w:iCs/>
          <w:color w:val="595959"/>
          <w:sz w:val="26"/>
          <w:szCs w:val="26"/>
        </w:rPr>
        <w:t>Mutual Fund Analytics using Python, SQL &amp; Power BI</w:t>
      </w:r>
    </w:p>
    <w:p w14:paraId="6C18EB14" w14:textId="77777777" w:rsidR="00166B99" w:rsidRDefault="001A0AEF">
      <w:pPr>
        <w:spacing w:after="120"/>
        <w:jc w:val="center"/>
      </w:pPr>
      <w:r>
        <w:rPr>
          <w:color w:val="595959"/>
          <w:sz w:val="22"/>
          <w:szCs w:val="22"/>
        </w:rPr>
        <w:t>Submitted by</w:t>
      </w:r>
    </w:p>
    <w:p w14:paraId="12FF6032" w14:textId="77777777" w:rsidR="00166B99" w:rsidRDefault="001A0AEF">
      <w:pPr>
        <w:spacing w:after="260"/>
        <w:jc w:val="center"/>
      </w:pPr>
      <w:r>
        <w:rPr>
          <w:b/>
          <w:bCs/>
          <w:sz w:val="30"/>
          <w:szCs w:val="30"/>
        </w:rPr>
        <w:t>Sathvika Naik</w:t>
      </w:r>
    </w:p>
    <w:p w14:paraId="6A1A1070" w14:textId="77777777" w:rsidR="00166B99" w:rsidRDefault="001A0AEF">
      <w:pPr>
        <w:spacing w:after="100"/>
        <w:jc w:val="center"/>
      </w:pPr>
      <w:r>
        <w:rPr>
          <w:sz w:val="24"/>
          <w:szCs w:val="24"/>
        </w:rPr>
        <w:t>Course: Data Analytics Capstone</w:t>
      </w:r>
    </w:p>
    <w:p w14:paraId="04F59453" w14:textId="77777777" w:rsidR="00166B99" w:rsidRDefault="001A0AEF">
      <w:pPr>
        <w:spacing w:after="700"/>
        <w:jc w:val="center"/>
      </w:pPr>
      <w:r>
        <w:rPr>
          <w:sz w:val="24"/>
          <w:szCs w:val="24"/>
        </w:rPr>
        <w:t>Date: July 2026</w:t>
      </w:r>
    </w:p>
    <w:p w14:paraId="5C47DC63" w14:textId="77777777" w:rsidR="00166B99" w:rsidRDefault="001A0AEF">
      <w:pPr>
        <w:spacing w:after="120"/>
        <w:jc w:val="center"/>
      </w:pPr>
      <w:r>
        <w:rPr>
          <w:b/>
          <w:bCs/>
          <w:color w:val="1F4E79"/>
          <w:spacing w:val="20"/>
          <w:sz w:val="22"/>
          <w:szCs w:val="22"/>
        </w:rPr>
        <w:t>TOOLS USED</w:t>
      </w:r>
    </w:p>
    <w:p w14:paraId="4BDEB08F" w14:textId="77777777" w:rsidR="00166B99" w:rsidRDefault="001A0AEF">
      <w:pPr>
        <w:jc w:val="center"/>
      </w:pPr>
      <w:r>
        <w:rPr>
          <w:color w:val="595959"/>
          <w:sz w:val="21"/>
          <w:szCs w:val="21"/>
        </w:rPr>
        <w:t>Python   •   Pandas   •   NumPy   •   SQLite   •   SQL   •   Power BI   •   Matplotlib   •   Jupyter Notebook</w:t>
      </w:r>
    </w:p>
    <w:p w14:paraId="39283BAF" w14:textId="77777777" w:rsidR="00166B99" w:rsidRDefault="001A0AEF">
      <w:r>
        <w:br w:type="page"/>
      </w:r>
    </w:p>
    <w:p w14:paraId="624082DF" w14:textId="77777777" w:rsidR="00166B99" w:rsidRDefault="001A0AEF">
      <w:pPr>
        <w:pStyle w:val="Heading1"/>
        <w:pBdr>
          <w:bottom w:val="single" w:sz="8" w:space="4" w:color="1F4E79"/>
        </w:pBdr>
        <w:spacing w:before="400" w:after="200"/>
      </w:pPr>
      <w:r>
        <w:rPr>
          <w:b/>
          <w:bCs/>
          <w:color w:val="1F4E79"/>
        </w:rPr>
        <w:lastRenderedPageBreak/>
        <w:t>Table of Contents</w:t>
      </w:r>
    </w:p>
    <w:p w14:paraId="20CD4828" w14:textId="557C5BDC" w:rsidR="00166B99" w:rsidRDefault="001A0AEF">
      <w:pPr>
        <w:tabs>
          <w:tab w:val="right" w:leader="dot" w:pos="9026"/>
        </w:tabs>
        <w:spacing w:after="140"/>
      </w:pPr>
      <w:r>
        <w:rPr>
          <w:b/>
          <w:bCs/>
          <w:color w:val="1F4E79"/>
          <w:sz w:val="22"/>
          <w:szCs w:val="22"/>
        </w:rPr>
        <w:t>1. Introduction</w:t>
      </w:r>
      <w:r>
        <w:ptab w:relativeTo="margin" w:alignment="right" w:leader="dot"/>
      </w:r>
      <w:r w:rsidR="003725FF">
        <w:rPr>
          <w:sz w:val="22"/>
          <w:szCs w:val="22"/>
        </w:rPr>
        <w:t>3</w:t>
      </w:r>
    </w:p>
    <w:p w14:paraId="7E55E265" w14:textId="1C791590" w:rsidR="00166B99" w:rsidRDefault="001A0AEF">
      <w:pPr>
        <w:tabs>
          <w:tab w:val="right" w:leader="dot" w:pos="9026"/>
        </w:tabs>
        <w:spacing w:after="140"/>
      </w:pPr>
      <w:r>
        <w:rPr>
          <w:b/>
          <w:bCs/>
          <w:color w:val="1F4E79"/>
          <w:sz w:val="22"/>
          <w:szCs w:val="22"/>
        </w:rPr>
        <w:t>2. Objectives</w:t>
      </w:r>
      <w:r>
        <w:ptab w:relativeTo="margin" w:alignment="right" w:leader="dot"/>
      </w:r>
      <w:r w:rsidR="003725FF">
        <w:rPr>
          <w:sz w:val="22"/>
          <w:szCs w:val="22"/>
        </w:rPr>
        <w:t>3</w:t>
      </w:r>
    </w:p>
    <w:p w14:paraId="3FDB41EA" w14:textId="7B19B841" w:rsidR="00166B99" w:rsidRDefault="001A0AEF">
      <w:pPr>
        <w:tabs>
          <w:tab w:val="right" w:leader="dot" w:pos="9026"/>
        </w:tabs>
        <w:spacing w:after="140"/>
      </w:pPr>
      <w:r>
        <w:rPr>
          <w:b/>
          <w:bCs/>
          <w:color w:val="1F4E79"/>
          <w:sz w:val="22"/>
          <w:szCs w:val="22"/>
        </w:rPr>
        <w:t>3. Technology Stack</w:t>
      </w:r>
      <w:r>
        <w:ptab w:relativeTo="margin" w:alignment="right" w:leader="dot"/>
      </w:r>
      <w:r w:rsidR="003725FF">
        <w:rPr>
          <w:sz w:val="22"/>
          <w:szCs w:val="22"/>
        </w:rPr>
        <w:t>3</w:t>
      </w:r>
    </w:p>
    <w:p w14:paraId="597C8659" w14:textId="76DFF183" w:rsidR="00166B99" w:rsidRDefault="001A0AEF">
      <w:pPr>
        <w:tabs>
          <w:tab w:val="right" w:leader="dot" w:pos="9026"/>
        </w:tabs>
        <w:spacing w:after="140"/>
      </w:pPr>
      <w:r>
        <w:rPr>
          <w:b/>
          <w:bCs/>
          <w:color w:val="1F4E79"/>
          <w:sz w:val="22"/>
          <w:szCs w:val="22"/>
        </w:rPr>
        <w:t>4. Dataset Description</w:t>
      </w:r>
      <w:r>
        <w:ptab w:relativeTo="margin" w:alignment="right" w:leader="dot"/>
      </w:r>
      <w:r w:rsidR="00D859DF">
        <w:rPr>
          <w:sz w:val="22"/>
          <w:szCs w:val="22"/>
        </w:rPr>
        <w:t>4</w:t>
      </w:r>
    </w:p>
    <w:p w14:paraId="193AE418" w14:textId="45E113B9" w:rsidR="00166B99" w:rsidRDefault="001A0AEF">
      <w:pPr>
        <w:tabs>
          <w:tab w:val="right" w:leader="dot" w:pos="9026"/>
        </w:tabs>
        <w:spacing w:after="140"/>
      </w:pPr>
      <w:r>
        <w:rPr>
          <w:b/>
          <w:bCs/>
          <w:color w:val="1F4E79"/>
          <w:sz w:val="22"/>
          <w:szCs w:val="22"/>
        </w:rPr>
        <w:t>5. ETL Pipeline</w:t>
      </w:r>
      <w:r>
        <w:ptab w:relativeTo="margin" w:alignment="right" w:leader="dot"/>
      </w:r>
      <w:r w:rsidR="00D859DF">
        <w:rPr>
          <w:sz w:val="22"/>
          <w:szCs w:val="22"/>
        </w:rPr>
        <w:t>4</w:t>
      </w:r>
    </w:p>
    <w:p w14:paraId="034D2572" w14:textId="3642BA2D" w:rsidR="00166B99" w:rsidRDefault="001A0AEF">
      <w:pPr>
        <w:tabs>
          <w:tab w:val="right" w:leader="dot" w:pos="9026"/>
        </w:tabs>
        <w:spacing w:after="140"/>
      </w:pPr>
      <w:r>
        <w:rPr>
          <w:b/>
          <w:bCs/>
          <w:color w:val="1F4E79"/>
          <w:sz w:val="22"/>
          <w:szCs w:val="22"/>
        </w:rPr>
        <w:t>6. SQLite Database</w:t>
      </w:r>
      <w:r>
        <w:ptab w:relativeTo="margin" w:alignment="right" w:leader="dot"/>
      </w:r>
      <w:r w:rsidR="00D859DF">
        <w:rPr>
          <w:sz w:val="22"/>
          <w:szCs w:val="22"/>
        </w:rPr>
        <w:t>4</w:t>
      </w:r>
    </w:p>
    <w:p w14:paraId="41A226C9" w14:textId="6EB9759B" w:rsidR="00166B99" w:rsidRDefault="001A0AEF">
      <w:pPr>
        <w:tabs>
          <w:tab w:val="right" w:leader="dot" w:pos="9026"/>
        </w:tabs>
        <w:spacing w:after="140"/>
      </w:pPr>
      <w:r>
        <w:rPr>
          <w:b/>
          <w:bCs/>
          <w:color w:val="1F4E79"/>
          <w:sz w:val="22"/>
          <w:szCs w:val="22"/>
        </w:rPr>
        <w:t>7. Exploratory Data Analysis</w:t>
      </w:r>
      <w:r>
        <w:ptab w:relativeTo="margin" w:alignment="right" w:leader="dot"/>
      </w:r>
      <w:r w:rsidR="00F77566">
        <w:rPr>
          <w:sz w:val="22"/>
          <w:szCs w:val="22"/>
        </w:rPr>
        <w:t>5</w:t>
      </w:r>
    </w:p>
    <w:p w14:paraId="04B6B27C" w14:textId="7B0C2321" w:rsidR="00166B99" w:rsidRDefault="001A0AEF">
      <w:pPr>
        <w:tabs>
          <w:tab w:val="right" w:leader="dot" w:pos="9026"/>
        </w:tabs>
        <w:spacing w:after="140"/>
      </w:pPr>
      <w:r>
        <w:rPr>
          <w:b/>
          <w:bCs/>
          <w:color w:val="1F4E79"/>
          <w:sz w:val="22"/>
          <w:szCs w:val="22"/>
        </w:rPr>
        <w:t>8. Performance Analytics</w:t>
      </w:r>
      <w:r>
        <w:ptab w:relativeTo="margin" w:alignment="right" w:leader="dot"/>
      </w:r>
      <w:r w:rsidR="00F77566">
        <w:rPr>
          <w:sz w:val="22"/>
          <w:szCs w:val="22"/>
        </w:rPr>
        <w:t>7</w:t>
      </w:r>
    </w:p>
    <w:p w14:paraId="6FE9F1C5" w14:textId="4F3BF2D5" w:rsidR="00166B99" w:rsidRDefault="001A0AEF">
      <w:pPr>
        <w:tabs>
          <w:tab w:val="right" w:leader="dot" w:pos="9026"/>
        </w:tabs>
        <w:spacing w:after="140"/>
      </w:pPr>
      <w:r>
        <w:rPr>
          <w:b/>
          <w:bCs/>
          <w:color w:val="1F4E79"/>
          <w:sz w:val="22"/>
          <w:szCs w:val="22"/>
        </w:rPr>
        <w:t>9. Power BI Dashboard</w:t>
      </w:r>
      <w:r>
        <w:ptab w:relativeTo="margin" w:alignment="right" w:leader="dot"/>
      </w:r>
      <w:r w:rsidR="009C4DBD">
        <w:rPr>
          <w:sz w:val="22"/>
          <w:szCs w:val="22"/>
        </w:rPr>
        <w:t>8</w:t>
      </w:r>
    </w:p>
    <w:p w14:paraId="7CED11A4" w14:textId="279F0E81" w:rsidR="00166B99" w:rsidRDefault="001A0AEF">
      <w:pPr>
        <w:tabs>
          <w:tab w:val="right" w:leader="dot" w:pos="9026"/>
        </w:tabs>
        <w:spacing w:after="80"/>
        <w:ind w:left="360"/>
      </w:pPr>
      <w:proofErr w:type="gramStart"/>
      <w:r>
        <w:rPr>
          <w:color w:val="000000"/>
        </w:rPr>
        <w:t>9.1  Page</w:t>
      </w:r>
      <w:proofErr w:type="gramEnd"/>
      <w:r>
        <w:rPr>
          <w:color w:val="000000"/>
        </w:rPr>
        <w:t xml:space="preserve"> 1: Industry Overview</w:t>
      </w:r>
      <w:r>
        <w:ptab w:relativeTo="margin" w:alignment="right" w:leader="dot"/>
      </w:r>
      <w:r w:rsidR="009C4DBD">
        <w:t>8</w:t>
      </w:r>
    </w:p>
    <w:p w14:paraId="2DCAC32E" w14:textId="32C2216A" w:rsidR="00166B99" w:rsidRDefault="001A0AEF">
      <w:pPr>
        <w:tabs>
          <w:tab w:val="right" w:leader="dot" w:pos="9026"/>
        </w:tabs>
        <w:spacing w:after="80"/>
        <w:ind w:left="360"/>
      </w:pPr>
      <w:proofErr w:type="gramStart"/>
      <w:r>
        <w:rPr>
          <w:color w:val="000000"/>
        </w:rPr>
        <w:t>9.2  Page</w:t>
      </w:r>
      <w:proofErr w:type="gramEnd"/>
      <w:r>
        <w:rPr>
          <w:color w:val="000000"/>
        </w:rPr>
        <w:t xml:space="preserve"> 2: Fund Performance</w:t>
      </w:r>
      <w:r>
        <w:ptab w:relativeTo="margin" w:alignment="right" w:leader="dot"/>
      </w:r>
      <w:r w:rsidR="00332968">
        <w:t>9</w:t>
      </w:r>
    </w:p>
    <w:p w14:paraId="56AE8643" w14:textId="5011DFAB" w:rsidR="00166B99" w:rsidRDefault="001A0AEF">
      <w:pPr>
        <w:tabs>
          <w:tab w:val="right" w:leader="dot" w:pos="9026"/>
        </w:tabs>
        <w:spacing w:after="80"/>
        <w:ind w:left="360"/>
      </w:pPr>
      <w:proofErr w:type="gramStart"/>
      <w:r>
        <w:rPr>
          <w:color w:val="000000"/>
        </w:rPr>
        <w:t>9.3  Page</w:t>
      </w:r>
      <w:proofErr w:type="gramEnd"/>
      <w:r>
        <w:rPr>
          <w:color w:val="000000"/>
        </w:rPr>
        <w:t xml:space="preserve"> 3: Investor Analytics</w:t>
      </w:r>
      <w:r>
        <w:ptab w:relativeTo="margin" w:alignment="right" w:leader="dot"/>
      </w:r>
      <w:r w:rsidR="009C4DBD">
        <w:t>9</w:t>
      </w:r>
    </w:p>
    <w:p w14:paraId="0061AE48" w14:textId="77777777" w:rsidR="00166B99" w:rsidRDefault="001A0AEF">
      <w:pPr>
        <w:tabs>
          <w:tab w:val="right" w:leader="dot" w:pos="9026"/>
        </w:tabs>
        <w:spacing w:after="80"/>
        <w:ind w:left="360"/>
      </w:pPr>
      <w:proofErr w:type="gramStart"/>
      <w:r>
        <w:rPr>
          <w:color w:val="000000"/>
        </w:rPr>
        <w:t>9.4  Page</w:t>
      </w:r>
      <w:proofErr w:type="gramEnd"/>
      <w:r>
        <w:rPr>
          <w:color w:val="000000"/>
        </w:rPr>
        <w:t xml:space="preserve"> 4: SIP &amp; Market Trends</w:t>
      </w:r>
      <w:r>
        <w:ptab w:relativeTo="margin" w:alignment="right" w:leader="dot"/>
      </w:r>
      <w:r>
        <w:t>10</w:t>
      </w:r>
    </w:p>
    <w:p w14:paraId="3E67AFE3" w14:textId="77777777" w:rsidR="00166B99" w:rsidRDefault="001A0AEF">
      <w:pPr>
        <w:tabs>
          <w:tab w:val="right" w:leader="dot" w:pos="9026"/>
        </w:tabs>
        <w:spacing w:after="140"/>
      </w:pPr>
      <w:r>
        <w:rPr>
          <w:b/>
          <w:bCs/>
          <w:color w:val="1F4E79"/>
          <w:sz w:val="22"/>
          <w:szCs w:val="22"/>
        </w:rPr>
        <w:t>10. Advanced Analytics</w:t>
      </w:r>
      <w:r>
        <w:ptab w:relativeTo="margin" w:alignment="right" w:leader="dot"/>
      </w:r>
      <w:r>
        <w:rPr>
          <w:sz w:val="22"/>
          <w:szCs w:val="22"/>
        </w:rPr>
        <w:t>11</w:t>
      </w:r>
    </w:p>
    <w:p w14:paraId="2AD365FE" w14:textId="77777777" w:rsidR="00166B99" w:rsidRDefault="001A0AEF">
      <w:pPr>
        <w:tabs>
          <w:tab w:val="right" w:leader="dot" w:pos="9026"/>
        </w:tabs>
        <w:spacing w:after="80"/>
        <w:ind w:left="360"/>
      </w:pPr>
      <w:proofErr w:type="gramStart"/>
      <w:r>
        <w:rPr>
          <w:color w:val="000000"/>
        </w:rPr>
        <w:t>10.1  Historical</w:t>
      </w:r>
      <w:proofErr w:type="gramEnd"/>
      <w:r>
        <w:rPr>
          <w:color w:val="000000"/>
        </w:rPr>
        <w:t xml:space="preserve"> Value at Risk (</w:t>
      </w:r>
      <w:proofErr w:type="spellStart"/>
      <w:r>
        <w:rPr>
          <w:color w:val="000000"/>
        </w:rPr>
        <w:t>VaR</w:t>
      </w:r>
      <w:proofErr w:type="spellEnd"/>
      <w:r>
        <w:rPr>
          <w:color w:val="000000"/>
        </w:rPr>
        <w:t>)</w:t>
      </w:r>
      <w:r>
        <w:ptab w:relativeTo="margin" w:alignment="right" w:leader="dot"/>
      </w:r>
      <w:r>
        <w:t>11</w:t>
      </w:r>
    </w:p>
    <w:p w14:paraId="0AFC90ED" w14:textId="77777777" w:rsidR="00166B99" w:rsidRDefault="001A0AEF">
      <w:pPr>
        <w:tabs>
          <w:tab w:val="right" w:leader="dot" w:pos="9026"/>
        </w:tabs>
        <w:spacing w:after="80"/>
        <w:ind w:left="360"/>
      </w:pPr>
      <w:proofErr w:type="gramStart"/>
      <w:r>
        <w:rPr>
          <w:color w:val="000000"/>
        </w:rPr>
        <w:t>10.2  Rolling</w:t>
      </w:r>
      <w:proofErr w:type="gramEnd"/>
      <w:r>
        <w:rPr>
          <w:color w:val="000000"/>
        </w:rPr>
        <w:t xml:space="preserve"> Sharpe Ratio</w:t>
      </w:r>
      <w:r>
        <w:ptab w:relativeTo="margin" w:alignment="right" w:leader="dot"/>
      </w:r>
      <w:r>
        <w:t>11</w:t>
      </w:r>
    </w:p>
    <w:p w14:paraId="16508ACC" w14:textId="77777777" w:rsidR="00166B99" w:rsidRDefault="001A0AEF">
      <w:pPr>
        <w:tabs>
          <w:tab w:val="right" w:leader="dot" w:pos="9026"/>
        </w:tabs>
        <w:spacing w:after="80"/>
        <w:ind w:left="360"/>
      </w:pPr>
      <w:proofErr w:type="gramStart"/>
      <w:r>
        <w:rPr>
          <w:color w:val="000000"/>
        </w:rPr>
        <w:t>10.3  Investor</w:t>
      </w:r>
      <w:proofErr w:type="gramEnd"/>
      <w:r>
        <w:rPr>
          <w:color w:val="000000"/>
        </w:rPr>
        <w:t xml:space="preserve"> Cohort Analysis</w:t>
      </w:r>
      <w:r>
        <w:ptab w:relativeTo="margin" w:alignment="right" w:leader="dot"/>
      </w:r>
      <w:r>
        <w:t>11</w:t>
      </w:r>
    </w:p>
    <w:p w14:paraId="2AE97E84" w14:textId="77777777" w:rsidR="00166B99" w:rsidRDefault="001A0AEF">
      <w:pPr>
        <w:tabs>
          <w:tab w:val="right" w:leader="dot" w:pos="9026"/>
        </w:tabs>
        <w:spacing w:after="80"/>
        <w:ind w:left="360"/>
      </w:pPr>
      <w:proofErr w:type="gramStart"/>
      <w:r>
        <w:rPr>
          <w:color w:val="000000"/>
        </w:rPr>
        <w:t>10.4  SIP</w:t>
      </w:r>
      <w:proofErr w:type="gramEnd"/>
      <w:r>
        <w:rPr>
          <w:color w:val="000000"/>
        </w:rPr>
        <w:t xml:space="preserve"> Continuity Analysis</w:t>
      </w:r>
      <w:r>
        <w:ptab w:relativeTo="margin" w:alignment="right" w:leader="dot"/>
      </w:r>
      <w:r>
        <w:t>11</w:t>
      </w:r>
    </w:p>
    <w:p w14:paraId="5AA74F97" w14:textId="77777777" w:rsidR="00166B99" w:rsidRDefault="001A0AEF">
      <w:pPr>
        <w:tabs>
          <w:tab w:val="right" w:leader="dot" w:pos="9026"/>
        </w:tabs>
        <w:spacing w:after="80"/>
        <w:ind w:left="360"/>
      </w:pPr>
      <w:proofErr w:type="gramStart"/>
      <w:r>
        <w:rPr>
          <w:color w:val="000000"/>
        </w:rPr>
        <w:t>10.5  Fund</w:t>
      </w:r>
      <w:proofErr w:type="gramEnd"/>
      <w:r>
        <w:rPr>
          <w:color w:val="000000"/>
        </w:rPr>
        <w:t xml:space="preserve"> Recommendation System</w:t>
      </w:r>
      <w:r>
        <w:ptab w:relativeTo="margin" w:alignment="right" w:leader="dot"/>
      </w:r>
      <w:r>
        <w:t>11</w:t>
      </w:r>
    </w:p>
    <w:p w14:paraId="5FA53230" w14:textId="7AC6B432" w:rsidR="00166B99" w:rsidRDefault="001A0AEF">
      <w:pPr>
        <w:tabs>
          <w:tab w:val="right" w:leader="dot" w:pos="9026"/>
        </w:tabs>
        <w:spacing w:after="80"/>
        <w:ind w:left="360"/>
      </w:pPr>
      <w:proofErr w:type="gramStart"/>
      <w:r>
        <w:rPr>
          <w:color w:val="000000"/>
        </w:rPr>
        <w:t>10.6  Sector</w:t>
      </w:r>
      <w:proofErr w:type="gramEnd"/>
      <w:r>
        <w:rPr>
          <w:color w:val="000000"/>
        </w:rPr>
        <w:t xml:space="preserve"> Concentration (HHI)</w:t>
      </w:r>
      <w:r>
        <w:ptab w:relativeTo="margin" w:alignment="right" w:leader="dot"/>
      </w:r>
      <w:r>
        <w:t>1</w:t>
      </w:r>
      <w:r w:rsidR="00332968">
        <w:t>1</w:t>
      </w:r>
    </w:p>
    <w:p w14:paraId="5F834F93" w14:textId="1985F5C5" w:rsidR="00166B99" w:rsidRDefault="001A0AEF">
      <w:pPr>
        <w:tabs>
          <w:tab w:val="right" w:leader="dot" w:pos="9026"/>
        </w:tabs>
        <w:spacing w:after="140"/>
      </w:pPr>
      <w:r>
        <w:rPr>
          <w:b/>
          <w:bCs/>
          <w:color w:val="1F4E79"/>
          <w:sz w:val="22"/>
          <w:szCs w:val="22"/>
        </w:rPr>
        <w:t>11. Key Findings</w:t>
      </w:r>
      <w:r>
        <w:ptab w:relativeTo="margin" w:alignment="right" w:leader="dot"/>
      </w:r>
      <w:r>
        <w:rPr>
          <w:sz w:val="22"/>
          <w:szCs w:val="22"/>
        </w:rPr>
        <w:t>1</w:t>
      </w:r>
      <w:r w:rsidR="00332968">
        <w:rPr>
          <w:sz w:val="22"/>
          <w:szCs w:val="22"/>
        </w:rPr>
        <w:t>2</w:t>
      </w:r>
    </w:p>
    <w:p w14:paraId="4B90A912" w14:textId="03892507" w:rsidR="00166B99" w:rsidRDefault="001A0AEF">
      <w:pPr>
        <w:tabs>
          <w:tab w:val="right" w:leader="dot" w:pos="9026"/>
        </w:tabs>
        <w:spacing w:after="140"/>
      </w:pPr>
      <w:r>
        <w:rPr>
          <w:b/>
          <w:bCs/>
          <w:color w:val="1F4E79"/>
          <w:sz w:val="22"/>
          <w:szCs w:val="22"/>
        </w:rPr>
        <w:t>12. Challenges Faced</w:t>
      </w:r>
      <w:r>
        <w:ptab w:relativeTo="margin" w:alignment="right" w:leader="dot"/>
      </w:r>
      <w:r>
        <w:rPr>
          <w:sz w:val="22"/>
          <w:szCs w:val="22"/>
        </w:rPr>
        <w:t>1</w:t>
      </w:r>
      <w:r w:rsidR="00332968">
        <w:rPr>
          <w:sz w:val="22"/>
          <w:szCs w:val="22"/>
        </w:rPr>
        <w:t>2</w:t>
      </w:r>
    </w:p>
    <w:p w14:paraId="07B2FC3F" w14:textId="620DF78C" w:rsidR="00166B99" w:rsidRDefault="001A0AEF">
      <w:pPr>
        <w:tabs>
          <w:tab w:val="right" w:leader="dot" w:pos="9026"/>
        </w:tabs>
        <w:spacing w:after="140"/>
      </w:pPr>
      <w:r>
        <w:rPr>
          <w:b/>
          <w:bCs/>
          <w:color w:val="1F4E79"/>
          <w:sz w:val="22"/>
          <w:szCs w:val="22"/>
        </w:rPr>
        <w:t>13. Conclusion</w:t>
      </w:r>
      <w:r>
        <w:ptab w:relativeTo="margin" w:alignment="right" w:leader="dot"/>
      </w:r>
      <w:r>
        <w:rPr>
          <w:sz w:val="22"/>
          <w:szCs w:val="22"/>
        </w:rPr>
        <w:t>1</w:t>
      </w:r>
      <w:r w:rsidR="00332968">
        <w:rPr>
          <w:sz w:val="22"/>
          <w:szCs w:val="22"/>
        </w:rPr>
        <w:t>3</w:t>
      </w:r>
    </w:p>
    <w:p w14:paraId="7883B528" w14:textId="148B918D" w:rsidR="00166B99" w:rsidRDefault="001A0AEF">
      <w:pPr>
        <w:tabs>
          <w:tab w:val="right" w:leader="dot" w:pos="9026"/>
        </w:tabs>
        <w:spacing w:after="140"/>
      </w:pPr>
      <w:r>
        <w:rPr>
          <w:b/>
          <w:bCs/>
          <w:color w:val="1F4E79"/>
          <w:sz w:val="22"/>
          <w:szCs w:val="22"/>
        </w:rPr>
        <w:t>14. Future Scope</w:t>
      </w:r>
      <w:r>
        <w:ptab w:relativeTo="margin" w:alignment="right" w:leader="dot"/>
      </w:r>
      <w:r>
        <w:rPr>
          <w:sz w:val="22"/>
          <w:szCs w:val="22"/>
        </w:rPr>
        <w:t>1</w:t>
      </w:r>
      <w:r w:rsidR="00332968">
        <w:rPr>
          <w:sz w:val="22"/>
          <w:szCs w:val="22"/>
        </w:rPr>
        <w:t>3</w:t>
      </w:r>
    </w:p>
    <w:p w14:paraId="6FC9A92D" w14:textId="58434DE9" w:rsidR="00166B99" w:rsidRDefault="001A0AEF">
      <w:pPr>
        <w:tabs>
          <w:tab w:val="right" w:leader="dot" w:pos="9026"/>
        </w:tabs>
        <w:spacing w:after="140"/>
      </w:pPr>
      <w:r>
        <w:rPr>
          <w:b/>
          <w:bCs/>
          <w:color w:val="1F4E79"/>
          <w:sz w:val="22"/>
          <w:szCs w:val="22"/>
        </w:rPr>
        <w:t>Appendix</w:t>
      </w:r>
      <w:r>
        <w:ptab w:relativeTo="margin" w:alignment="right" w:leader="dot"/>
      </w:r>
      <w:r>
        <w:rPr>
          <w:sz w:val="22"/>
          <w:szCs w:val="22"/>
        </w:rPr>
        <w:t>1</w:t>
      </w:r>
      <w:r w:rsidR="00332968">
        <w:rPr>
          <w:sz w:val="22"/>
          <w:szCs w:val="22"/>
        </w:rPr>
        <w:t>4</w:t>
      </w:r>
    </w:p>
    <w:p w14:paraId="266C280C" w14:textId="056F8B20" w:rsidR="00166B99" w:rsidRDefault="001A0AEF">
      <w:pPr>
        <w:tabs>
          <w:tab w:val="right" w:leader="dot" w:pos="9026"/>
        </w:tabs>
        <w:spacing w:after="80"/>
        <w:ind w:left="360"/>
      </w:pPr>
      <w:proofErr w:type="gramStart"/>
      <w:r>
        <w:rPr>
          <w:color w:val="000000"/>
        </w:rPr>
        <w:t>A.1  Folder</w:t>
      </w:r>
      <w:proofErr w:type="gramEnd"/>
      <w:r>
        <w:rPr>
          <w:color w:val="000000"/>
        </w:rPr>
        <w:t xml:space="preserve"> Structure</w:t>
      </w:r>
      <w:r>
        <w:ptab w:relativeTo="margin" w:alignment="right" w:leader="dot"/>
      </w:r>
      <w:r>
        <w:t>1</w:t>
      </w:r>
      <w:r w:rsidR="00332968">
        <w:t>4</w:t>
      </w:r>
    </w:p>
    <w:p w14:paraId="1E492236" w14:textId="5A1A7867" w:rsidR="00166B99" w:rsidRDefault="001A0AEF">
      <w:pPr>
        <w:tabs>
          <w:tab w:val="right" w:leader="dot" w:pos="9026"/>
        </w:tabs>
        <w:spacing w:after="80"/>
        <w:ind w:left="360"/>
      </w:pPr>
      <w:proofErr w:type="gramStart"/>
      <w:r>
        <w:rPr>
          <w:color w:val="000000"/>
        </w:rPr>
        <w:t>A.2  SQL</w:t>
      </w:r>
      <w:proofErr w:type="gramEnd"/>
      <w:r>
        <w:rPr>
          <w:color w:val="000000"/>
        </w:rPr>
        <w:t xml:space="preserve"> Queries</w:t>
      </w:r>
      <w:r>
        <w:ptab w:relativeTo="margin" w:alignment="right" w:leader="dot"/>
      </w:r>
      <w:r>
        <w:t>1</w:t>
      </w:r>
      <w:r w:rsidR="00332968">
        <w:t>4</w:t>
      </w:r>
    </w:p>
    <w:p w14:paraId="76B240E3" w14:textId="7C566752" w:rsidR="00166B99" w:rsidRDefault="001A0AEF">
      <w:pPr>
        <w:tabs>
          <w:tab w:val="right" w:leader="dot" w:pos="9026"/>
        </w:tabs>
        <w:spacing w:after="80"/>
        <w:ind w:left="360"/>
      </w:pPr>
      <w:proofErr w:type="gramStart"/>
      <w:r>
        <w:rPr>
          <w:color w:val="000000"/>
        </w:rPr>
        <w:t>A.3  Data</w:t>
      </w:r>
      <w:proofErr w:type="gramEnd"/>
      <w:r>
        <w:rPr>
          <w:color w:val="000000"/>
        </w:rPr>
        <w:t xml:space="preserve"> Dictionary</w:t>
      </w:r>
      <w:r>
        <w:ptab w:relativeTo="margin" w:alignment="right" w:leader="dot"/>
      </w:r>
      <w:r>
        <w:t>1</w:t>
      </w:r>
      <w:r w:rsidR="00332968">
        <w:t>4</w:t>
      </w:r>
    </w:p>
    <w:p w14:paraId="2F704B69" w14:textId="771D25D0" w:rsidR="00166B99" w:rsidRDefault="001A0AEF">
      <w:pPr>
        <w:tabs>
          <w:tab w:val="right" w:leader="dot" w:pos="9026"/>
        </w:tabs>
        <w:spacing w:after="80"/>
        <w:ind w:left="360"/>
      </w:pPr>
      <w:proofErr w:type="gramStart"/>
      <w:r>
        <w:rPr>
          <w:color w:val="000000"/>
        </w:rPr>
        <w:t>A.4  GitHub</w:t>
      </w:r>
      <w:proofErr w:type="gramEnd"/>
      <w:r>
        <w:rPr>
          <w:color w:val="000000"/>
        </w:rPr>
        <w:t xml:space="preserve"> Repository</w:t>
      </w:r>
      <w:r>
        <w:ptab w:relativeTo="margin" w:alignment="right" w:leader="dot"/>
      </w:r>
      <w:r>
        <w:t>1</w:t>
      </w:r>
      <w:r w:rsidR="00332968">
        <w:t>4</w:t>
      </w:r>
    </w:p>
    <w:p w14:paraId="0209DA3C" w14:textId="77777777" w:rsidR="00166B99" w:rsidRDefault="001A0AEF">
      <w:r>
        <w:br w:type="page"/>
      </w:r>
    </w:p>
    <w:p w14:paraId="4F05D02A" w14:textId="77777777" w:rsidR="00166B99" w:rsidRDefault="001A0AEF">
      <w:pPr>
        <w:pStyle w:val="Heading1"/>
        <w:pBdr>
          <w:bottom w:val="single" w:sz="8" w:space="4" w:color="1F4E79"/>
        </w:pBdr>
        <w:spacing w:before="400" w:after="200"/>
      </w:pPr>
      <w:r>
        <w:rPr>
          <w:b/>
          <w:bCs/>
          <w:color w:val="1F4E79"/>
        </w:rPr>
        <w:lastRenderedPageBreak/>
        <w:t>1. Introduction</w:t>
      </w:r>
    </w:p>
    <w:p w14:paraId="2D0FC715" w14:textId="77777777" w:rsidR="00166B99" w:rsidRDefault="001A0AEF">
      <w:pPr>
        <w:spacing w:after="160" w:line="276" w:lineRule="auto"/>
      </w:pPr>
      <w:r>
        <w:t>Mutual funds have become one of the most popular investment options for retail investors because they provide diversification and professional portfolio management. However, analysing multiple schemes, investor behaviour, and market performance requires effective data processing and visualization.</w:t>
      </w:r>
    </w:p>
    <w:p w14:paraId="515549B8" w14:textId="77777777" w:rsidR="00166B99" w:rsidRDefault="001A0AEF">
      <w:pPr>
        <w:spacing w:after="160" w:line="276" w:lineRule="auto"/>
      </w:pPr>
      <w:r>
        <w:t>This project develops a complete mutual fund analytics platform using Python, SQLite, and Power BI. The project covers data ingestion, cleaning, performance metric computation, dashboard development, and advanced analytical techniques including Value at Risk (</w:t>
      </w:r>
      <w:proofErr w:type="spellStart"/>
      <w:r>
        <w:t>VaR</w:t>
      </w:r>
      <w:proofErr w:type="spellEnd"/>
      <w:r>
        <w:t>), cohort analysis, SIP continuity analysis, and a rule-based fund recommendation system.</w:t>
      </w:r>
    </w:p>
    <w:p w14:paraId="4FF9F08F" w14:textId="77777777" w:rsidR="00166B99" w:rsidRDefault="001A0AEF">
      <w:pPr>
        <w:spacing w:after="160" w:line="276" w:lineRule="auto"/>
      </w:pPr>
      <w:r>
        <w:t>The end-to-end pipeline transforms raw, disparate financial datasets into a unified, analysis-ready data store, upon which performance metrics and interactive dashboards are built to support data-driven investment decision-making.</w:t>
      </w:r>
    </w:p>
    <w:p w14:paraId="428E7A30" w14:textId="77777777" w:rsidR="00166B99" w:rsidRDefault="001A0AEF">
      <w:pPr>
        <w:pStyle w:val="Heading1"/>
        <w:pBdr>
          <w:bottom w:val="single" w:sz="8" w:space="4" w:color="1F4E79"/>
        </w:pBdr>
        <w:spacing w:before="400" w:after="200"/>
      </w:pPr>
      <w:r>
        <w:rPr>
          <w:b/>
          <w:bCs/>
          <w:color w:val="1F4E79"/>
        </w:rPr>
        <w:t>2. Objectives</w:t>
      </w:r>
    </w:p>
    <w:p w14:paraId="6EF24DEA" w14:textId="77777777" w:rsidR="00166B99" w:rsidRDefault="001A0AEF">
      <w:pPr>
        <w:spacing w:after="160" w:line="276" w:lineRule="auto"/>
      </w:pPr>
      <w:r>
        <w:t>The key objectives of this capstone project are:</w:t>
      </w:r>
    </w:p>
    <w:p w14:paraId="60A3F8FA" w14:textId="77777777" w:rsidR="00166B99" w:rsidRDefault="001A0AEF">
      <w:pPr>
        <w:pStyle w:val="ListParagraph"/>
        <w:numPr>
          <w:ilvl w:val="0"/>
          <w:numId w:val="2"/>
        </w:numPr>
        <w:spacing w:after="80"/>
      </w:pPr>
      <w:r>
        <w:t>Build an automated ETL (Extract, Transform, Load) pipeline for mutual fund data</w:t>
      </w:r>
    </w:p>
    <w:p w14:paraId="0D93691D" w14:textId="77777777" w:rsidR="00166B99" w:rsidRDefault="001A0AEF">
      <w:pPr>
        <w:pStyle w:val="ListParagraph"/>
        <w:numPr>
          <w:ilvl w:val="0"/>
          <w:numId w:val="2"/>
        </w:numPr>
        <w:spacing w:after="80"/>
      </w:pPr>
      <w:r>
        <w:t>Store cleaned and standardized data in a structured SQLite database</w:t>
      </w:r>
    </w:p>
    <w:p w14:paraId="6B342C4A" w14:textId="77777777" w:rsidR="00166B99" w:rsidRDefault="001A0AEF">
      <w:pPr>
        <w:pStyle w:val="ListParagraph"/>
        <w:numPr>
          <w:ilvl w:val="0"/>
          <w:numId w:val="2"/>
        </w:numPr>
        <w:spacing w:after="80"/>
      </w:pPr>
      <w:r>
        <w:t>Perform exploratory data analysis (EDA) to understand fund and investor trends</w:t>
      </w:r>
    </w:p>
    <w:p w14:paraId="4B93F9E9" w14:textId="77777777" w:rsidR="00166B99" w:rsidRDefault="001A0AEF">
      <w:pPr>
        <w:pStyle w:val="ListParagraph"/>
        <w:numPr>
          <w:ilvl w:val="0"/>
          <w:numId w:val="2"/>
        </w:numPr>
        <w:spacing w:after="80"/>
      </w:pPr>
      <w:r>
        <w:t>Compute advanced fund performance metrics such as CAGR, Sharpe Ratio, Alpha, and Beta</w:t>
      </w:r>
    </w:p>
    <w:p w14:paraId="06E73032" w14:textId="77777777" w:rsidR="00166B99" w:rsidRDefault="001A0AEF">
      <w:pPr>
        <w:pStyle w:val="ListParagraph"/>
        <w:numPr>
          <w:ilvl w:val="0"/>
          <w:numId w:val="2"/>
        </w:numPr>
        <w:spacing w:after="80"/>
      </w:pPr>
      <w:r>
        <w:t>Build an interactive, multi-page Power BI dashboard</w:t>
      </w:r>
    </w:p>
    <w:p w14:paraId="6E30ABC1" w14:textId="77777777" w:rsidR="00166B99" w:rsidRDefault="001A0AEF">
      <w:pPr>
        <w:pStyle w:val="ListParagraph"/>
        <w:numPr>
          <w:ilvl w:val="0"/>
          <w:numId w:val="2"/>
        </w:numPr>
        <w:spacing w:after="80"/>
      </w:pPr>
      <w:r>
        <w:t>Develop investor behaviour analytics, including cohort and SIP continuity analysis</w:t>
      </w:r>
    </w:p>
    <w:p w14:paraId="5C39F0CA" w14:textId="77777777" w:rsidR="00166B99" w:rsidRDefault="001A0AEF">
      <w:pPr>
        <w:pStyle w:val="ListParagraph"/>
        <w:numPr>
          <w:ilvl w:val="0"/>
          <w:numId w:val="2"/>
        </w:numPr>
        <w:spacing w:after="80"/>
      </w:pPr>
      <w:r>
        <w:t>Generate actionable investment insights and fund recommendations</w:t>
      </w:r>
    </w:p>
    <w:p w14:paraId="35D761F4" w14:textId="77777777" w:rsidR="00166B99" w:rsidRDefault="001A0AEF">
      <w:pPr>
        <w:pStyle w:val="Heading1"/>
        <w:pBdr>
          <w:bottom w:val="single" w:sz="8" w:space="4" w:color="1F4E79"/>
        </w:pBdr>
        <w:spacing w:before="400" w:after="200"/>
      </w:pPr>
      <w:r>
        <w:rPr>
          <w:b/>
          <w:bCs/>
          <w:color w:val="1F4E79"/>
        </w:rPr>
        <w:t>3. Technology Stack</w:t>
      </w:r>
    </w:p>
    <w:p w14:paraId="22D5AF0D" w14:textId="77777777" w:rsidR="00166B99" w:rsidRDefault="001A0AEF">
      <w:pPr>
        <w:spacing w:after="160" w:line="276" w:lineRule="auto"/>
      </w:pPr>
      <w:r>
        <w:t>The following tools and technologies were used throughout the project lifecycle, from data engineering to visualization: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166B99" w14:paraId="0AAE3DA3" w14:textId="77777777">
        <w:trPr>
          <w:tblHeader/>
        </w:trPr>
        <w:tc>
          <w:tcPr>
            <w:tcW w:w="3000" w:type="dxa"/>
            <w:shd w:val="clear" w:color="auto" w:fill="1F4E79"/>
            <w:tcMar>
              <w:top w:w="80" w:type="dxa"/>
              <w:left w:w="120" w:type="dxa"/>
              <w:bottom w:w="80" w:type="dxa"/>
              <w:right w:w="120" w:type="dxa"/>
            </w:tcMar>
            <w:vAlign w:val="center"/>
          </w:tcPr>
          <w:p w14:paraId="7AA93E4A" w14:textId="77777777" w:rsidR="00166B99" w:rsidRDefault="001A0AEF">
            <w:r>
              <w:rPr>
                <w:b/>
                <w:bCs/>
                <w:color w:val="FFFFFF"/>
              </w:rPr>
              <w:t>Tool</w:t>
            </w:r>
          </w:p>
        </w:tc>
        <w:tc>
          <w:tcPr>
            <w:tcW w:w="6300" w:type="dxa"/>
            <w:shd w:val="clear" w:color="auto" w:fill="1F4E79"/>
            <w:tcMar>
              <w:top w:w="80" w:type="dxa"/>
              <w:left w:w="120" w:type="dxa"/>
              <w:bottom w:w="80" w:type="dxa"/>
              <w:right w:w="120" w:type="dxa"/>
            </w:tcMar>
            <w:vAlign w:val="center"/>
          </w:tcPr>
          <w:p w14:paraId="49C7A268" w14:textId="77777777" w:rsidR="00166B99" w:rsidRDefault="001A0AEF">
            <w:r>
              <w:rPr>
                <w:b/>
                <w:bCs/>
                <w:color w:val="FFFFFF"/>
              </w:rPr>
              <w:t>Purpose</w:t>
            </w:r>
          </w:p>
        </w:tc>
      </w:tr>
      <w:tr w:rsidR="00166B99" w14:paraId="4773C343" w14:textId="77777777">
        <w:tc>
          <w:tcPr>
            <w:tcW w:w="3000" w:type="dxa"/>
            <w:shd w:val="clear" w:color="auto" w:fill="FFFFFF"/>
            <w:tcMar>
              <w:top w:w="80" w:type="dxa"/>
              <w:left w:w="120" w:type="dxa"/>
              <w:bottom w:w="80" w:type="dxa"/>
              <w:right w:w="120" w:type="dxa"/>
            </w:tcMar>
          </w:tcPr>
          <w:p w14:paraId="597F3F20" w14:textId="77777777" w:rsidR="00166B99" w:rsidRDefault="001A0AEF">
            <w:r>
              <w:t>Python</w:t>
            </w:r>
          </w:p>
        </w:tc>
        <w:tc>
          <w:tcPr>
            <w:tcW w:w="6300" w:type="dxa"/>
            <w:shd w:val="clear" w:color="auto" w:fill="FFFFFF"/>
            <w:tcMar>
              <w:top w:w="80" w:type="dxa"/>
              <w:left w:w="120" w:type="dxa"/>
              <w:bottom w:w="80" w:type="dxa"/>
              <w:right w:w="120" w:type="dxa"/>
            </w:tcMar>
          </w:tcPr>
          <w:p w14:paraId="01A58F36" w14:textId="77777777" w:rsidR="00166B99" w:rsidRDefault="001A0AEF">
            <w:r>
              <w:t>Core data processing and scripting</w:t>
            </w:r>
          </w:p>
        </w:tc>
      </w:tr>
      <w:tr w:rsidR="00166B99" w14:paraId="5B041C46" w14:textId="77777777">
        <w:tc>
          <w:tcPr>
            <w:tcW w:w="3000" w:type="dxa"/>
            <w:shd w:val="clear" w:color="auto" w:fill="DCE6F1"/>
            <w:tcMar>
              <w:top w:w="80" w:type="dxa"/>
              <w:left w:w="120" w:type="dxa"/>
              <w:bottom w:w="80" w:type="dxa"/>
              <w:right w:w="120" w:type="dxa"/>
            </w:tcMar>
          </w:tcPr>
          <w:p w14:paraId="3F16C778" w14:textId="77777777" w:rsidR="00166B99" w:rsidRDefault="001A0AEF">
            <w:r>
              <w:t>Pandas</w:t>
            </w:r>
          </w:p>
        </w:tc>
        <w:tc>
          <w:tcPr>
            <w:tcW w:w="6300" w:type="dxa"/>
            <w:shd w:val="clear" w:color="auto" w:fill="DCE6F1"/>
            <w:tcMar>
              <w:top w:w="80" w:type="dxa"/>
              <w:left w:w="120" w:type="dxa"/>
              <w:bottom w:w="80" w:type="dxa"/>
              <w:right w:w="120" w:type="dxa"/>
            </w:tcMar>
          </w:tcPr>
          <w:p w14:paraId="67EF1BA3" w14:textId="77777777" w:rsidR="00166B99" w:rsidRDefault="001A0AEF">
            <w:r>
              <w:t>Data cleaning, transformation, and manipulation</w:t>
            </w:r>
          </w:p>
        </w:tc>
      </w:tr>
      <w:tr w:rsidR="00166B99" w14:paraId="35C49AB4" w14:textId="77777777">
        <w:tc>
          <w:tcPr>
            <w:tcW w:w="3000" w:type="dxa"/>
            <w:shd w:val="clear" w:color="auto" w:fill="FFFFFF"/>
            <w:tcMar>
              <w:top w:w="80" w:type="dxa"/>
              <w:left w:w="120" w:type="dxa"/>
              <w:bottom w:w="80" w:type="dxa"/>
              <w:right w:w="120" w:type="dxa"/>
            </w:tcMar>
          </w:tcPr>
          <w:p w14:paraId="47BD7E06" w14:textId="77777777" w:rsidR="00166B99" w:rsidRDefault="001A0AEF">
            <w:r>
              <w:t>NumPy</w:t>
            </w:r>
          </w:p>
        </w:tc>
        <w:tc>
          <w:tcPr>
            <w:tcW w:w="6300" w:type="dxa"/>
            <w:shd w:val="clear" w:color="auto" w:fill="FFFFFF"/>
            <w:tcMar>
              <w:top w:w="80" w:type="dxa"/>
              <w:left w:w="120" w:type="dxa"/>
              <w:bottom w:w="80" w:type="dxa"/>
              <w:right w:w="120" w:type="dxa"/>
            </w:tcMar>
          </w:tcPr>
          <w:p w14:paraId="4B9888CA" w14:textId="77777777" w:rsidR="00166B99" w:rsidRDefault="001A0AEF">
            <w:r>
              <w:t>Numerical calculations and statistical operations</w:t>
            </w:r>
          </w:p>
        </w:tc>
      </w:tr>
      <w:tr w:rsidR="00166B99" w14:paraId="6624DC6E" w14:textId="77777777">
        <w:tc>
          <w:tcPr>
            <w:tcW w:w="3000" w:type="dxa"/>
            <w:shd w:val="clear" w:color="auto" w:fill="DCE6F1"/>
            <w:tcMar>
              <w:top w:w="80" w:type="dxa"/>
              <w:left w:w="120" w:type="dxa"/>
              <w:bottom w:w="80" w:type="dxa"/>
              <w:right w:w="120" w:type="dxa"/>
            </w:tcMar>
          </w:tcPr>
          <w:p w14:paraId="526FC5C1" w14:textId="77777777" w:rsidR="00166B99" w:rsidRDefault="001A0AEF">
            <w:r>
              <w:t>SQLite</w:t>
            </w:r>
          </w:p>
        </w:tc>
        <w:tc>
          <w:tcPr>
            <w:tcW w:w="6300" w:type="dxa"/>
            <w:shd w:val="clear" w:color="auto" w:fill="DCE6F1"/>
            <w:tcMar>
              <w:top w:w="80" w:type="dxa"/>
              <w:left w:w="120" w:type="dxa"/>
              <w:bottom w:w="80" w:type="dxa"/>
              <w:right w:w="120" w:type="dxa"/>
            </w:tcMar>
          </w:tcPr>
          <w:p w14:paraId="25025934" w14:textId="77777777" w:rsidR="00166B99" w:rsidRDefault="001A0AEF">
            <w:r>
              <w:t>Lightweight relational database for storage</w:t>
            </w:r>
          </w:p>
        </w:tc>
      </w:tr>
      <w:tr w:rsidR="00166B99" w14:paraId="4792B4F8" w14:textId="77777777">
        <w:tc>
          <w:tcPr>
            <w:tcW w:w="3000" w:type="dxa"/>
            <w:shd w:val="clear" w:color="auto" w:fill="FFFFFF"/>
            <w:tcMar>
              <w:top w:w="80" w:type="dxa"/>
              <w:left w:w="120" w:type="dxa"/>
              <w:bottom w:w="80" w:type="dxa"/>
              <w:right w:w="120" w:type="dxa"/>
            </w:tcMar>
          </w:tcPr>
          <w:p w14:paraId="2F295F2C" w14:textId="77777777" w:rsidR="00166B99" w:rsidRDefault="001A0AEF">
            <w:r>
              <w:t>SQL</w:t>
            </w:r>
          </w:p>
        </w:tc>
        <w:tc>
          <w:tcPr>
            <w:tcW w:w="6300" w:type="dxa"/>
            <w:shd w:val="clear" w:color="auto" w:fill="FFFFFF"/>
            <w:tcMar>
              <w:top w:w="80" w:type="dxa"/>
              <w:left w:w="120" w:type="dxa"/>
              <w:bottom w:w="80" w:type="dxa"/>
              <w:right w:w="120" w:type="dxa"/>
            </w:tcMar>
          </w:tcPr>
          <w:p w14:paraId="6134F472" w14:textId="77777777" w:rsidR="00166B99" w:rsidRDefault="001A0AEF">
            <w:r>
              <w:t>Querying and aggregating structured data</w:t>
            </w:r>
          </w:p>
        </w:tc>
      </w:tr>
      <w:tr w:rsidR="00166B99" w14:paraId="75CCDF1D" w14:textId="77777777">
        <w:tc>
          <w:tcPr>
            <w:tcW w:w="3000" w:type="dxa"/>
            <w:shd w:val="clear" w:color="auto" w:fill="DCE6F1"/>
            <w:tcMar>
              <w:top w:w="80" w:type="dxa"/>
              <w:left w:w="120" w:type="dxa"/>
              <w:bottom w:w="80" w:type="dxa"/>
              <w:right w:w="120" w:type="dxa"/>
            </w:tcMar>
          </w:tcPr>
          <w:p w14:paraId="62357C16" w14:textId="77777777" w:rsidR="00166B99" w:rsidRDefault="001A0AEF">
            <w:r>
              <w:t>Power BI</w:t>
            </w:r>
          </w:p>
        </w:tc>
        <w:tc>
          <w:tcPr>
            <w:tcW w:w="6300" w:type="dxa"/>
            <w:shd w:val="clear" w:color="auto" w:fill="DCE6F1"/>
            <w:tcMar>
              <w:top w:w="80" w:type="dxa"/>
              <w:left w:w="120" w:type="dxa"/>
              <w:bottom w:w="80" w:type="dxa"/>
              <w:right w:w="120" w:type="dxa"/>
            </w:tcMar>
          </w:tcPr>
          <w:p w14:paraId="38E64AB5" w14:textId="77777777" w:rsidR="00166B99" w:rsidRDefault="001A0AEF">
            <w:r>
              <w:t>Interactive dashboard and visualization</w:t>
            </w:r>
          </w:p>
        </w:tc>
      </w:tr>
      <w:tr w:rsidR="00166B99" w14:paraId="6809DEF8" w14:textId="77777777">
        <w:tc>
          <w:tcPr>
            <w:tcW w:w="3000" w:type="dxa"/>
            <w:shd w:val="clear" w:color="auto" w:fill="FFFFFF"/>
            <w:tcMar>
              <w:top w:w="80" w:type="dxa"/>
              <w:left w:w="120" w:type="dxa"/>
              <w:bottom w:w="80" w:type="dxa"/>
              <w:right w:w="120" w:type="dxa"/>
            </w:tcMar>
          </w:tcPr>
          <w:p w14:paraId="4F9841D0" w14:textId="77777777" w:rsidR="00166B99" w:rsidRDefault="001A0AEF">
            <w:r>
              <w:t>Matplotlib</w:t>
            </w:r>
          </w:p>
        </w:tc>
        <w:tc>
          <w:tcPr>
            <w:tcW w:w="6300" w:type="dxa"/>
            <w:shd w:val="clear" w:color="auto" w:fill="FFFFFF"/>
            <w:tcMar>
              <w:top w:w="80" w:type="dxa"/>
              <w:left w:w="120" w:type="dxa"/>
              <w:bottom w:w="80" w:type="dxa"/>
              <w:right w:w="120" w:type="dxa"/>
            </w:tcMar>
          </w:tcPr>
          <w:p w14:paraId="1F21A028" w14:textId="77777777" w:rsidR="00166B99" w:rsidRDefault="001A0AEF">
            <w:r>
              <w:t>Static charts for analytical notebooks</w:t>
            </w:r>
          </w:p>
        </w:tc>
      </w:tr>
      <w:tr w:rsidR="00166B99" w14:paraId="74A818B7" w14:textId="77777777">
        <w:tc>
          <w:tcPr>
            <w:tcW w:w="3000" w:type="dxa"/>
            <w:shd w:val="clear" w:color="auto" w:fill="DCE6F1"/>
            <w:tcMar>
              <w:top w:w="80" w:type="dxa"/>
              <w:left w:w="120" w:type="dxa"/>
              <w:bottom w:w="80" w:type="dxa"/>
              <w:right w:w="120" w:type="dxa"/>
            </w:tcMar>
          </w:tcPr>
          <w:p w14:paraId="5DBBB206" w14:textId="77777777" w:rsidR="00166B99" w:rsidRDefault="001A0AEF">
            <w:r>
              <w:t>Jupyter Notebook</w:t>
            </w:r>
          </w:p>
        </w:tc>
        <w:tc>
          <w:tcPr>
            <w:tcW w:w="6300" w:type="dxa"/>
            <w:shd w:val="clear" w:color="auto" w:fill="DCE6F1"/>
            <w:tcMar>
              <w:top w:w="80" w:type="dxa"/>
              <w:left w:w="120" w:type="dxa"/>
              <w:bottom w:w="80" w:type="dxa"/>
              <w:right w:w="120" w:type="dxa"/>
            </w:tcMar>
          </w:tcPr>
          <w:p w14:paraId="04A97988" w14:textId="77777777" w:rsidR="00166B99" w:rsidRDefault="001A0AEF">
            <w:r>
              <w:t>Exploratory analysis and prototyping</w:t>
            </w:r>
          </w:p>
        </w:tc>
      </w:tr>
    </w:tbl>
    <w:p w14:paraId="6FC91B2A" w14:textId="77777777" w:rsidR="00166B99" w:rsidRDefault="001A0AEF">
      <w:r>
        <w:br w:type="page"/>
      </w:r>
    </w:p>
    <w:p w14:paraId="11240FAC" w14:textId="77777777" w:rsidR="00166B99" w:rsidRDefault="001A0AEF">
      <w:pPr>
        <w:pStyle w:val="Heading1"/>
        <w:pBdr>
          <w:bottom w:val="single" w:sz="8" w:space="4" w:color="1F4E79"/>
        </w:pBdr>
        <w:spacing w:before="400" w:after="200"/>
      </w:pPr>
      <w:r>
        <w:rPr>
          <w:b/>
          <w:bCs/>
          <w:color w:val="1F4E79"/>
        </w:rPr>
        <w:lastRenderedPageBreak/>
        <w:t>4. Dataset Description</w:t>
      </w:r>
    </w:p>
    <w:p w14:paraId="2F7A053D" w14:textId="77777777" w:rsidR="00166B99" w:rsidRDefault="001A0AEF">
      <w:pPr>
        <w:spacing w:after="160" w:line="276" w:lineRule="auto"/>
      </w:pPr>
      <w:r>
        <w:t>The project uses seven interconnected datasets that together capture fund-level, market-level, and investor-level information: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00"/>
      </w:tblGrid>
      <w:tr w:rsidR="00166B99" w14:paraId="08068E2E" w14:textId="77777777">
        <w:trPr>
          <w:tblHeader/>
        </w:trPr>
        <w:tc>
          <w:tcPr>
            <w:tcW w:w="2800" w:type="dxa"/>
            <w:shd w:val="clear" w:color="auto" w:fill="1F4E79"/>
            <w:tcMar>
              <w:top w:w="80" w:type="dxa"/>
              <w:left w:w="120" w:type="dxa"/>
              <w:bottom w:w="80" w:type="dxa"/>
              <w:right w:w="120" w:type="dxa"/>
            </w:tcMar>
            <w:vAlign w:val="center"/>
          </w:tcPr>
          <w:p w14:paraId="7727C122" w14:textId="77777777" w:rsidR="00166B99" w:rsidRDefault="001A0AEF">
            <w:r>
              <w:rPr>
                <w:b/>
                <w:bCs/>
                <w:color w:val="FFFFFF"/>
              </w:rPr>
              <w:t>Dataset</w:t>
            </w:r>
          </w:p>
        </w:tc>
        <w:tc>
          <w:tcPr>
            <w:tcW w:w="6500" w:type="dxa"/>
            <w:shd w:val="clear" w:color="auto" w:fill="1F4E79"/>
            <w:tcMar>
              <w:top w:w="80" w:type="dxa"/>
              <w:left w:w="120" w:type="dxa"/>
              <w:bottom w:w="80" w:type="dxa"/>
              <w:right w:w="120" w:type="dxa"/>
            </w:tcMar>
            <w:vAlign w:val="center"/>
          </w:tcPr>
          <w:p w14:paraId="4B293C99" w14:textId="77777777" w:rsidR="00166B99" w:rsidRDefault="001A0AEF">
            <w:r>
              <w:rPr>
                <w:b/>
                <w:bCs/>
                <w:color w:val="FFFFFF"/>
              </w:rPr>
              <w:t>Description</w:t>
            </w:r>
          </w:p>
        </w:tc>
      </w:tr>
      <w:tr w:rsidR="00166B99" w14:paraId="4CA08E97" w14:textId="77777777">
        <w:tc>
          <w:tcPr>
            <w:tcW w:w="2800" w:type="dxa"/>
            <w:shd w:val="clear" w:color="auto" w:fill="FFFFFF"/>
            <w:tcMar>
              <w:top w:w="80" w:type="dxa"/>
              <w:left w:w="120" w:type="dxa"/>
              <w:bottom w:w="80" w:type="dxa"/>
              <w:right w:w="120" w:type="dxa"/>
            </w:tcMar>
          </w:tcPr>
          <w:p w14:paraId="7E8930F5" w14:textId="77777777" w:rsidR="00166B99" w:rsidRDefault="001A0AEF">
            <w:r>
              <w:t>Fund Master</w:t>
            </w:r>
          </w:p>
        </w:tc>
        <w:tc>
          <w:tcPr>
            <w:tcW w:w="6500" w:type="dxa"/>
            <w:shd w:val="clear" w:color="auto" w:fill="FFFFFF"/>
            <w:tcMar>
              <w:top w:w="80" w:type="dxa"/>
              <w:left w:w="120" w:type="dxa"/>
              <w:bottom w:w="80" w:type="dxa"/>
              <w:right w:w="120" w:type="dxa"/>
            </w:tcMar>
          </w:tcPr>
          <w:p w14:paraId="70281452" w14:textId="77777777" w:rsidR="00166B99" w:rsidRDefault="001A0AEF">
            <w:r>
              <w:t>Scheme-level details such as fund name, category, fund house, and inception date</w:t>
            </w:r>
          </w:p>
        </w:tc>
      </w:tr>
      <w:tr w:rsidR="00166B99" w14:paraId="3D415D13" w14:textId="77777777">
        <w:tc>
          <w:tcPr>
            <w:tcW w:w="2800" w:type="dxa"/>
            <w:shd w:val="clear" w:color="auto" w:fill="DCE6F1"/>
            <w:tcMar>
              <w:top w:w="80" w:type="dxa"/>
              <w:left w:w="120" w:type="dxa"/>
              <w:bottom w:w="80" w:type="dxa"/>
              <w:right w:w="120" w:type="dxa"/>
            </w:tcMar>
          </w:tcPr>
          <w:p w14:paraId="468B19FC" w14:textId="77777777" w:rsidR="00166B99" w:rsidRDefault="001A0AEF">
            <w:r>
              <w:t>NAV History</w:t>
            </w:r>
          </w:p>
        </w:tc>
        <w:tc>
          <w:tcPr>
            <w:tcW w:w="6500" w:type="dxa"/>
            <w:shd w:val="clear" w:color="auto" w:fill="DCE6F1"/>
            <w:tcMar>
              <w:top w:w="80" w:type="dxa"/>
              <w:left w:w="120" w:type="dxa"/>
              <w:bottom w:w="80" w:type="dxa"/>
              <w:right w:w="120" w:type="dxa"/>
            </w:tcMar>
          </w:tcPr>
          <w:p w14:paraId="6170BE4C" w14:textId="77777777" w:rsidR="00166B99" w:rsidRDefault="001A0AEF">
            <w:r>
              <w:t>Daily Net Asset Value records for each scheme</w:t>
            </w:r>
          </w:p>
        </w:tc>
      </w:tr>
      <w:tr w:rsidR="00166B99" w14:paraId="68E18A31" w14:textId="77777777">
        <w:tc>
          <w:tcPr>
            <w:tcW w:w="2800" w:type="dxa"/>
            <w:shd w:val="clear" w:color="auto" w:fill="FFFFFF"/>
            <w:tcMar>
              <w:top w:w="80" w:type="dxa"/>
              <w:left w:w="120" w:type="dxa"/>
              <w:bottom w:w="80" w:type="dxa"/>
              <w:right w:w="120" w:type="dxa"/>
            </w:tcMar>
          </w:tcPr>
          <w:p w14:paraId="0F9C7839" w14:textId="77777777" w:rsidR="00166B99" w:rsidRDefault="001A0AEF">
            <w:r>
              <w:t>Monthly SIP</w:t>
            </w:r>
          </w:p>
        </w:tc>
        <w:tc>
          <w:tcPr>
            <w:tcW w:w="6500" w:type="dxa"/>
            <w:shd w:val="clear" w:color="auto" w:fill="FFFFFF"/>
            <w:tcMar>
              <w:top w:w="80" w:type="dxa"/>
              <w:left w:w="120" w:type="dxa"/>
              <w:bottom w:w="80" w:type="dxa"/>
              <w:right w:w="120" w:type="dxa"/>
            </w:tcMar>
          </w:tcPr>
          <w:p w14:paraId="00BCDFC7" w14:textId="77777777" w:rsidR="00166B99" w:rsidRDefault="001A0AEF">
            <w:r>
              <w:t>Industry-wide monthly SIP inflow figures</w:t>
            </w:r>
          </w:p>
        </w:tc>
      </w:tr>
      <w:tr w:rsidR="00166B99" w14:paraId="4C2F8F83" w14:textId="77777777">
        <w:tc>
          <w:tcPr>
            <w:tcW w:w="2800" w:type="dxa"/>
            <w:shd w:val="clear" w:color="auto" w:fill="DCE6F1"/>
            <w:tcMar>
              <w:top w:w="80" w:type="dxa"/>
              <w:left w:w="120" w:type="dxa"/>
              <w:bottom w:w="80" w:type="dxa"/>
              <w:right w:w="120" w:type="dxa"/>
            </w:tcMar>
          </w:tcPr>
          <w:p w14:paraId="2F7F5CC9" w14:textId="77777777" w:rsidR="00166B99" w:rsidRDefault="001A0AEF">
            <w:r>
              <w:t>Category Inflows</w:t>
            </w:r>
          </w:p>
        </w:tc>
        <w:tc>
          <w:tcPr>
            <w:tcW w:w="6500" w:type="dxa"/>
            <w:shd w:val="clear" w:color="auto" w:fill="DCE6F1"/>
            <w:tcMar>
              <w:top w:w="80" w:type="dxa"/>
              <w:left w:w="120" w:type="dxa"/>
              <w:bottom w:w="80" w:type="dxa"/>
              <w:right w:w="120" w:type="dxa"/>
            </w:tcMar>
          </w:tcPr>
          <w:p w14:paraId="441747F0" w14:textId="77777777" w:rsidR="00166B99" w:rsidRDefault="001A0AEF">
            <w:r>
              <w:t>Net inflows/outflows aggregated by fund category</w:t>
            </w:r>
          </w:p>
        </w:tc>
      </w:tr>
      <w:tr w:rsidR="00166B99" w14:paraId="4BFD6DE0" w14:textId="77777777">
        <w:tc>
          <w:tcPr>
            <w:tcW w:w="2800" w:type="dxa"/>
            <w:shd w:val="clear" w:color="auto" w:fill="FFFFFF"/>
            <w:tcMar>
              <w:top w:w="80" w:type="dxa"/>
              <w:left w:w="120" w:type="dxa"/>
              <w:bottom w:w="80" w:type="dxa"/>
              <w:right w:w="120" w:type="dxa"/>
            </w:tcMar>
          </w:tcPr>
          <w:p w14:paraId="57A17FD0" w14:textId="77777777" w:rsidR="00166B99" w:rsidRDefault="001A0AEF">
            <w:r>
              <w:t>Portfolio Holdings</w:t>
            </w:r>
          </w:p>
        </w:tc>
        <w:tc>
          <w:tcPr>
            <w:tcW w:w="6500" w:type="dxa"/>
            <w:shd w:val="clear" w:color="auto" w:fill="FFFFFF"/>
            <w:tcMar>
              <w:top w:w="80" w:type="dxa"/>
              <w:left w:w="120" w:type="dxa"/>
              <w:bottom w:w="80" w:type="dxa"/>
              <w:right w:w="120" w:type="dxa"/>
            </w:tcMar>
          </w:tcPr>
          <w:p w14:paraId="69B125A1" w14:textId="77777777" w:rsidR="00166B99" w:rsidRDefault="001A0AEF">
            <w:r>
              <w:t>Sector and instrument-level portfolio allocation per scheme</w:t>
            </w:r>
          </w:p>
        </w:tc>
      </w:tr>
      <w:tr w:rsidR="00166B99" w14:paraId="24589B23" w14:textId="77777777">
        <w:tc>
          <w:tcPr>
            <w:tcW w:w="2800" w:type="dxa"/>
            <w:shd w:val="clear" w:color="auto" w:fill="DCE6F1"/>
            <w:tcMar>
              <w:top w:w="80" w:type="dxa"/>
              <w:left w:w="120" w:type="dxa"/>
              <w:bottom w:w="80" w:type="dxa"/>
              <w:right w:w="120" w:type="dxa"/>
            </w:tcMar>
          </w:tcPr>
          <w:p w14:paraId="546D02CA" w14:textId="77777777" w:rsidR="00166B99" w:rsidRDefault="001A0AEF">
            <w:r>
              <w:t>Investor Transactions</w:t>
            </w:r>
          </w:p>
        </w:tc>
        <w:tc>
          <w:tcPr>
            <w:tcW w:w="6500" w:type="dxa"/>
            <w:shd w:val="clear" w:color="auto" w:fill="DCE6F1"/>
            <w:tcMar>
              <w:top w:w="80" w:type="dxa"/>
              <w:left w:w="120" w:type="dxa"/>
              <w:bottom w:w="80" w:type="dxa"/>
              <w:right w:w="120" w:type="dxa"/>
            </w:tcMar>
          </w:tcPr>
          <w:p w14:paraId="7510E61B" w14:textId="77777777" w:rsidR="00166B99" w:rsidRDefault="001A0AEF">
            <w:r>
              <w:t>Individual SIP, lumpsum, and redemption transaction records</w:t>
            </w:r>
          </w:p>
        </w:tc>
      </w:tr>
      <w:tr w:rsidR="00166B99" w14:paraId="66B91CA1" w14:textId="77777777">
        <w:tc>
          <w:tcPr>
            <w:tcW w:w="2800" w:type="dxa"/>
            <w:shd w:val="clear" w:color="auto" w:fill="FFFFFF"/>
            <w:tcMar>
              <w:top w:w="80" w:type="dxa"/>
              <w:left w:w="120" w:type="dxa"/>
              <w:bottom w:w="80" w:type="dxa"/>
              <w:right w:w="120" w:type="dxa"/>
            </w:tcMar>
          </w:tcPr>
          <w:p w14:paraId="764454F8" w14:textId="77777777" w:rsidR="00166B99" w:rsidRDefault="001A0AEF">
            <w:r>
              <w:t>Benchmark Indices</w:t>
            </w:r>
          </w:p>
        </w:tc>
        <w:tc>
          <w:tcPr>
            <w:tcW w:w="6500" w:type="dxa"/>
            <w:shd w:val="clear" w:color="auto" w:fill="FFFFFF"/>
            <w:tcMar>
              <w:top w:w="80" w:type="dxa"/>
              <w:left w:w="120" w:type="dxa"/>
              <w:bottom w:w="80" w:type="dxa"/>
              <w:right w:w="120" w:type="dxa"/>
            </w:tcMar>
          </w:tcPr>
          <w:p w14:paraId="367CA455" w14:textId="77777777" w:rsidR="00166B99" w:rsidRDefault="001A0AEF">
            <w:r>
              <w:t>Nifty index values used for relative performance comparison</w:t>
            </w:r>
          </w:p>
        </w:tc>
      </w:tr>
    </w:tbl>
    <w:p w14:paraId="2D532BE6" w14:textId="0A0673DF" w:rsidR="00166B99" w:rsidRDefault="001A0AEF">
      <w:pPr>
        <w:pStyle w:val="Heading1"/>
        <w:pBdr>
          <w:bottom w:val="single" w:sz="8" w:space="4" w:color="1F4E79"/>
        </w:pBdr>
        <w:spacing w:before="400" w:after="200"/>
      </w:pPr>
      <w:r>
        <w:rPr>
          <w:b/>
          <w:bCs/>
          <w:color w:val="1F4E79"/>
        </w:rPr>
        <w:t>5. ETL Pipeline</w:t>
      </w:r>
    </w:p>
    <w:p w14:paraId="6AC7EB12" w14:textId="77777777" w:rsidR="00166B99" w:rsidRDefault="001A0AEF">
      <w:pPr>
        <w:spacing w:after="160" w:line="276" w:lineRule="auto"/>
      </w:pPr>
      <w:r>
        <w:t>The ETL (Extract, Transform, Load) pipeline automates the conversion of raw, inconsistent source files into a clean, analysis-ready dataset. The pipeline performs the following steps:</w:t>
      </w:r>
    </w:p>
    <w:p w14:paraId="12920D8C" w14:textId="77777777" w:rsidR="00166B99" w:rsidRDefault="001A0AEF">
      <w:pPr>
        <w:pStyle w:val="ListParagraph"/>
        <w:numPr>
          <w:ilvl w:val="0"/>
          <w:numId w:val="2"/>
        </w:numPr>
        <w:spacing w:after="80"/>
      </w:pPr>
      <w:r>
        <w:t>Raw CSV files are imported from the source data folder</w:t>
      </w:r>
    </w:p>
    <w:p w14:paraId="081E7F04" w14:textId="77777777" w:rsidR="00166B99" w:rsidRDefault="001A0AEF">
      <w:pPr>
        <w:pStyle w:val="ListParagraph"/>
        <w:numPr>
          <w:ilvl w:val="0"/>
          <w:numId w:val="2"/>
        </w:numPr>
        <w:spacing w:after="80"/>
      </w:pPr>
      <w:r>
        <w:t>Missing values are identified and handled using appropriate imputation or removal strategies</w:t>
      </w:r>
    </w:p>
    <w:p w14:paraId="14FB770D" w14:textId="77777777" w:rsidR="00166B99" w:rsidRDefault="001A0AEF">
      <w:pPr>
        <w:pStyle w:val="ListParagraph"/>
        <w:numPr>
          <w:ilvl w:val="0"/>
          <w:numId w:val="2"/>
        </w:numPr>
        <w:spacing w:after="80"/>
      </w:pPr>
      <w:r>
        <w:t>Duplicate records are detected and removed</w:t>
      </w:r>
    </w:p>
    <w:p w14:paraId="0E12E2DA" w14:textId="77777777" w:rsidR="00166B99" w:rsidRDefault="001A0AEF">
      <w:pPr>
        <w:pStyle w:val="ListParagraph"/>
        <w:numPr>
          <w:ilvl w:val="0"/>
          <w:numId w:val="2"/>
        </w:numPr>
        <w:spacing w:after="80"/>
      </w:pPr>
      <w:r>
        <w:t>Fund categories and naming conventions are standardized across datasets</w:t>
      </w:r>
    </w:p>
    <w:p w14:paraId="0595705C" w14:textId="77777777" w:rsidR="00166B99" w:rsidRDefault="001A0AEF">
      <w:pPr>
        <w:pStyle w:val="ListParagraph"/>
        <w:numPr>
          <w:ilvl w:val="0"/>
          <w:numId w:val="2"/>
        </w:numPr>
        <w:spacing w:after="80"/>
      </w:pPr>
      <w:r>
        <w:t>Cleaned data is loaded into the SQLite database for downstream analysis</w:t>
      </w:r>
    </w:p>
    <w:p w14:paraId="26135E0F" w14:textId="77777777" w:rsidR="00166B99" w:rsidRDefault="001A0AEF">
      <w:pPr>
        <w:pStyle w:val="Heading1"/>
        <w:pBdr>
          <w:bottom w:val="single" w:sz="8" w:space="4" w:color="1F4E79"/>
        </w:pBdr>
        <w:spacing w:before="400" w:after="200"/>
      </w:pPr>
      <w:r>
        <w:rPr>
          <w:b/>
          <w:bCs/>
          <w:color w:val="1F4E79"/>
        </w:rPr>
        <w:t>6. SQLite Database</w:t>
      </w:r>
    </w:p>
    <w:p w14:paraId="500C3074" w14:textId="77777777" w:rsidR="00166B99" w:rsidRDefault="001A0AEF">
      <w:pPr>
        <w:spacing w:after="160" w:line="276" w:lineRule="auto"/>
      </w:pPr>
      <w:r>
        <w:t>A normalized SQLite database schema was designed to store the cleaned datasets efficiently, with primary and foreign key relationships linking fund master data to NAV history, holdings, and transactions. This enables fast, reliable SQL querying for downstream analytics.</w:t>
      </w:r>
    </w:p>
    <w:p w14:paraId="7EABA528" w14:textId="77777777" w:rsidR="00166B99" w:rsidRDefault="001A0AEF">
      <w:pPr>
        <w:pStyle w:val="Heading3"/>
        <w:spacing w:before="200" w:after="100"/>
      </w:pPr>
      <w:r>
        <w:rPr>
          <w:b/>
          <w:bCs/>
          <w:color w:val="2E75B6"/>
        </w:rPr>
        <w:t>6.1 Schema Files</w:t>
      </w:r>
    </w:p>
    <w:p w14:paraId="19EBF9A0" w14:textId="77777777" w:rsidR="00166B99" w:rsidRDefault="001A0AEF">
      <w:pPr>
        <w:pStyle w:val="ListParagraph"/>
        <w:numPr>
          <w:ilvl w:val="0"/>
          <w:numId w:val="2"/>
        </w:numPr>
        <w:spacing w:after="80"/>
      </w:pPr>
      <w:proofErr w:type="spellStart"/>
      <w:r>
        <w:t>schema.sql</w:t>
      </w:r>
      <w:proofErr w:type="spellEnd"/>
      <w:r>
        <w:t xml:space="preserve"> – defines table structures, keys, and relationships</w:t>
      </w:r>
    </w:p>
    <w:p w14:paraId="45A70CEC" w14:textId="53424EE8" w:rsidR="00166B99" w:rsidRDefault="001A0AEF" w:rsidP="00D463E5">
      <w:pPr>
        <w:pStyle w:val="ListParagraph"/>
        <w:numPr>
          <w:ilvl w:val="0"/>
          <w:numId w:val="2"/>
        </w:numPr>
        <w:spacing w:after="80"/>
      </w:pPr>
      <w:proofErr w:type="spellStart"/>
      <w:r>
        <w:t>queries.sql</w:t>
      </w:r>
      <w:proofErr w:type="spellEnd"/>
      <w:r>
        <w:t xml:space="preserve"> – contains reusable SQL queries for analytics and reporting</w:t>
      </w:r>
    </w:p>
    <w:p w14:paraId="34A78EEE" w14:textId="77777777" w:rsidR="00166B99" w:rsidRDefault="001A0AEF">
      <w:r>
        <w:br w:type="page"/>
      </w:r>
    </w:p>
    <w:p w14:paraId="1B230818" w14:textId="77777777" w:rsidR="00166B99" w:rsidRDefault="001A0AEF">
      <w:pPr>
        <w:pStyle w:val="Heading1"/>
        <w:pBdr>
          <w:bottom w:val="single" w:sz="8" w:space="4" w:color="1F4E79"/>
        </w:pBdr>
        <w:spacing w:before="400" w:after="200"/>
      </w:pPr>
      <w:r>
        <w:rPr>
          <w:b/>
          <w:bCs/>
          <w:color w:val="1F4E79"/>
        </w:rPr>
        <w:lastRenderedPageBreak/>
        <w:t>7. Exploratory Data Analysis</w:t>
      </w:r>
    </w:p>
    <w:p w14:paraId="29FA4D13" w14:textId="3A375B0D" w:rsidR="00166B99" w:rsidRDefault="001A0AEF">
      <w:pPr>
        <w:spacing w:after="160" w:line="276" w:lineRule="auto"/>
      </w:pPr>
      <w:r>
        <w:t>Exploratory Data Analysis (EDA) was performed to uncover patterns and trends within the mutual fund ecosystem. Key findings include a concentration of Assets Under Management (AUM) among a handful of large fund houses, a strong tilt of investor money toward equity categories, and clearly distinguishable NAV growth trajectories across risk categories.</w:t>
      </w:r>
    </w:p>
    <w:p w14:paraId="026B88E7" w14:textId="77777777" w:rsidR="00166B99" w:rsidRDefault="001A0AEF">
      <w:pPr>
        <w:pStyle w:val="Heading3"/>
        <w:spacing w:before="200" w:after="100"/>
      </w:pPr>
      <w:r>
        <w:rPr>
          <w:b/>
          <w:bCs/>
          <w:color w:val="2E75B6"/>
        </w:rPr>
        <w:t>7.1 Fund House Distribution</w:t>
      </w:r>
    </w:p>
    <w:p w14:paraId="726FC5D4" w14:textId="77777777" w:rsidR="00166B99" w:rsidRDefault="001A0AEF">
      <w:pPr>
        <w:spacing w:after="160" w:line="276" w:lineRule="auto"/>
      </w:pPr>
      <w:r>
        <w:t>Analysis of scheme counts and AUM share across fund houses to identify market concentration.</w:t>
      </w:r>
    </w:p>
    <w:p w14:paraId="72E625ED" w14:textId="339D2631" w:rsidR="00B4701D" w:rsidRDefault="001A0AEF" w:rsidP="002F7180">
      <w:pPr>
        <w:pBdr>
          <w:top w:val="dashed" w:sz="6" w:space="0" w:color="8FAADC"/>
          <w:left w:val="dashed" w:sz="6" w:space="0" w:color="8FAADC"/>
          <w:bottom w:val="dashed" w:sz="6" w:space="0" w:color="8FAADC"/>
          <w:right w:val="dashed" w:sz="6" w:space="0" w:color="8FAADC"/>
        </w:pBdr>
        <w:shd w:val="clear" w:color="auto" w:fill="F7F9FC"/>
        <w:spacing w:before="120" w:after="240"/>
        <w:jc w:val="center"/>
        <w:rPr>
          <w:i/>
          <w:iCs/>
          <w:color w:val="595959"/>
        </w:rPr>
      </w:pPr>
      <w:r>
        <w:rPr>
          <w:i/>
          <w:iCs/>
          <w:color w:val="2E75B6"/>
        </w:rPr>
        <w:br/>
      </w:r>
      <w:r w:rsidR="002F7180" w:rsidRPr="002F7180">
        <w:rPr>
          <w:i/>
          <w:iCs/>
          <w:color w:val="595959"/>
        </w:rPr>
        <w:drawing>
          <wp:inline distT="0" distB="0" distL="0" distR="0" wp14:anchorId="33A230BD" wp14:editId="2A0CDF8D">
            <wp:extent cx="5471160" cy="2636520"/>
            <wp:effectExtent l="0" t="0" r="0" b="0"/>
            <wp:docPr id="1725539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1160" cy="2636520"/>
                    </a:xfrm>
                    <a:prstGeom prst="rect">
                      <a:avLst/>
                    </a:prstGeom>
                    <a:noFill/>
                    <a:ln>
                      <a:noFill/>
                    </a:ln>
                  </pic:spPr>
                </pic:pic>
              </a:graphicData>
            </a:graphic>
          </wp:inline>
        </w:drawing>
      </w:r>
    </w:p>
    <w:p w14:paraId="450553E6" w14:textId="6021271B" w:rsidR="00166B99" w:rsidRDefault="001A0AEF">
      <w:pPr>
        <w:pBdr>
          <w:top w:val="dashed" w:sz="6" w:space="0" w:color="8FAADC"/>
          <w:left w:val="dashed" w:sz="6" w:space="0" w:color="8FAADC"/>
          <w:bottom w:val="dashed" w:sz="6" w:space="0" w:color="8FAADC"/>
          <w:right w:val="dashed" w:sz="6" w:space="0" w:color="8FAADC"/>
        </w:pBdr>
        <w:shd w:val="clear" w:color="auto" w:fill="F7F9FC"/>
        <w:spacing w:before="120" w:after="240"/>
        <w:jc w:val="center"/>
      </w:pPr>
      <w:r>
        <w:rPr>
          <w:i/>
          <w:iCs/>
          <w:color w:val="595959"/>
        </w:rPr>
        <w:br/>
        <w:t>Figure 7.1: Fund house distribution</w:t>
      </w:r>
    </w:p>
    <w:p w14:paraId="78706F19" w14:textId="77777777" w:rsidR="00166B99" w:rsidRDefault="001A0AEF">
      <w:pPr>
        <w:pStyle w:val="Heading3"/>
        <w:spacing w:before="200" w:after="100"/>
      </w:pPr>
      <w:r>
        <w:rPr>
          <w:b/>
          <w:bCs/>
          <w:color w:val="2E75B6"/>
        </w:rPr>
        <w:t>7.2 Category Distribution</w:t>
      </w:r>
    </w:p>
    <w:p w14:paraId="0C631C67" w14:textId="77777777" w:rsidR="00166B99" w:rsidRDefault="001A0AEF">
      <w:pPr>
        <w:spacing w:after="160" w:line="276" w:lineRule="auto"/>
      </w:pPr>
      <w:r>
        <w:t>Breakdown of schemes and inflows across Equity, Debt, Hybrid, and other categories.</w:t>
      </w:r>
    </w:p>
    <w:p w14:paraId="51455AE2" w14:textId="53E7E3F6" w:rsidR="00166B99" w:rsidRPr="0089606C" w:rsidRDefault="001A0AEF" w:rsidP="0089606C">
      <w:pPr>
        <w:pBdr>
          <w:top w:val="dashed" w:sz="6" w:space="0" w:color="8FAADC"/>
          <w:left w:val="dashed" w:sz="6" w:space="0" w:color="8FAADC"/>
          <w:bottom w:val="dashed" w:sz="6" w:space="0" w:color="8FAADC"/>
          <w:right w:val="dashed" w:sz="6" w:space="0" w:color="8FAADC"/>
        </w:pBdr>
        <w:shd w:val="clear" w:color="auto" w:fill="F7F9FC"/>
        <w:spacing w:before="120" w:after="240"/>
        <w:jc w:val="center"/>
        <w:rPr>
          <w:i/>
          <w:iCs/>
          <w:color w:val="595959"/>
        </w:rPr>
      </w:pPr>
      <w:r>
        <w:rPr>
          <w:i/>
          <w:iCs/>
          <w:color w:val="2E75B6"/>
        </w:rPr>
        <w:br/>
      </w:r>
      <w:r w:rsidR="0089606C" w:rsidRPr="0089606C">
        <w:rPr>
          <w:i/>
          <w:iCs/>
          <w:color w:val="595959"/>
        </w:rPr>
        <w:drawing>
          <wp:inline distT="0" distB="0" distL="0" distR="0" wp14:anchorId="1317B10B" wp14:editId="5AB9C733">
            <wp:extent cx="4381500" cy="2217420"/>
            <wp:effectExtent l="0" t="0" r="0" b="0"/>
            <wp:docPr id="1544484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2217420"/>
                    </a:xfrm>
                    <a:prstGeom prst="rect">
                      <a:avLst/>
                    </a:prstGeom>
                    <a:noFill/>
                    <a:ln>
                      <a:noFill/>
                    </a:ln>
                  </pic:spPr>
                </pic:pic>
              </a:graphicData>
            </a:graphic>
          </wp:inline>
        </w:drawing>
      </w:r>
      <w:r>
        <w:rPr>
          <w:i/>
          <w:iCs/>
          <w:color w:val="595959"/>
        </w:rPr>
        <w:br/>
        <w:t>Figure 7.2: Category distribution</w:t>
      </w:r>
    </w:p>
    <w:p w14:paraId="6CBC642B" w14:textId="77777777" w:rsidR="00166B99" w:rsidRDefault="001A0AEF">
      <w:pPr>
        <w:pStyle w:val="Heading3"/>
        <w:spacing w:before="200" w:after="100"/>
      </w:pPr>
      <w:r>
        <w:rPr>
          <w:b/>
          <w:bCs/>
          <w:color w:val="2E75B6"/>
        </w:rPr>
        <w:lastRenderedPageBreak/>
        <w:t>7.3 NAV Trend</w:t>
      </w:r>
    </w:p>
    <w:p w14:paraId="125BBE2F" w14:textId="77777777" w:rsidR="00166B99" w:rsidRDefault="001A0AEF">
      <w:pPr>
        <w:spacing w:after="160" w:line="276" w:lineRule="auto"/>
      </w:pPr>
      <w:r>
        <w:t>Time-series visualization of NAV movement for representative schemes across categories.</w:t>
      </w:r>
    </w:p>
    <w:p w14:paraId="5BEDEA45" w14:textId="406AB9AE" w:rsidR="001941D7" w:rsidRPr="001941D7" w:rsidRDefault="001A0AEF" w:rsidP="001941D7">
      <w:pPr>
        <w:pBdr>
          <w:top w:val="dashed" w:sz="6" w:space="0" w:color="8FAADC"/>
          <w:left w:val="dashed" w:sz="6" w:space="0" w:color="8FAADC"/>
          <w:bottom w:val="dashed" w:sz="6" w:space="0" w:color="8FAADC"/>
          <w:right w:val="dashed" w:sz="6" w:space="0" w:color="8FAADC"/>
        </w:pBdr>
        <w:shd w:val="clear" w:color="auto" w:fill="F7F9FC"/>
        <w:spacing w:before="120" w:after="240"/>
        <w:jc w:val="center"/>
        <w:rPr>
          <w:i/>
          <w:iCs/>
          <w:color w:val="2E75B6"/>
        </w:rPr>
      </w:pPr>
      <w:r>
        <w:rPr>
          <w:i/>
          <w:iCs/>
          <w:color w:val="2E75B6"/>
        </w:rPr>
        <w:br/>
      </w:r>
      <w:r w:rsidR="001941D7" w:rsidRPr="001941D7">
        <w:rPr>
          <w:i/>
          <w:iCs/>
          <w:color w:val="2E75B6"/>
        </w:rPr>
        <w:drawing>
          <wp:inline distT="0" distB="0" distL="0" distR="0" wp14:anchorId="7D2A5438" wp14:editId="01DEE0E0">
            <wp:extent cx="5189220" cy="2796540"/>
            <wp:effectExtent l="0" t="0" r="0" b="3810"/>
            <wp:docPr id="8896324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9220" cy="2796540"/>
                    </a:xfrm>
                    <a:prstGeom prst="rect">
                      <a:avLst/>
                    </a:prstGeom>
                    <a:noFill/>
                    <a:ln>
                      <a:noFill/>
                    </a:ln>
                  </pic:spPr>
                </pic:pic>
              </a:graphicData>
            </a:graphic>
          </wp:inline>
        </w:drawing>
      </w:r>
    </w:p>
    <w:p w14:paraId="649BCE97" w14:textId="514131B5" w:rsidR="00166B99" w:rsidRDefault="001A0AEF">
      <w:pPr>
        <w:pBdr>
          <w:top w:val="dashed" w:sz="6" w:space="0" w:color="8FAADC"/>
          <w:left w:val="dashed" w:sz="6" w:space="0" w:color="8FAADC"/>
          <w:bottom w:val="dashed" w:sz="6" w:space="0" w:color="8FAADC"/>
          <w:right w:val="dashed" w:sz="6" w:space="0" w:color="8FAADC"/>
        </w:pBdr>
        <w:shd w:val="clear" w:color="auto" w:fill="F7F9FC"/>
        <w:spacing w:before="120" w:after="240"/>
        <w:jc w:val="center"/>
      </w:pPr>
      <w:r>
        <w:rPr>
          <w:i/>
          <w:iCs/>
          <w:color w:val="595959"/>
        </w:rPr>
        <w:t>Figure 7.3: NAV trend over time</w:t>
      </w:r>
    </w:p>
    <w:p w14:paraId="48515591" w14:textId="77777777" w:rsidR="00166B99" w:rsidRDefault="001A0AEF">
      <w:pPr>
        <w:pStyle w:val="Heading3"/>
        <w:spacing w:before="200" w:after="100"/>
      </w:pPr>
      <w:r>
        <w:rPr>
          <w:b/>
          <w:bCs/>
          <w:color w:val="2E75B6"/>
        </w:rPr>
        <w:t>7.4 Risk Distribution</w:t>
      </w:r>
    </w:p>
    <w:p w14:paraId="734C65ED" w14:textId="77777777" w:rsidR="00166B99" w:rsidRDefault="001A0AEF">
      <w:pPr>
        <w:spacing w:after="160" w:line="276" w:lineRule="auto"/>
      </w:pPr>
      <w:r>
        <w:t>Distribution of volatility and risk-grade classification across the fund universe.</w:t>
      </w:r>
    </w:p>
    <w:p w14:paraId="65053E34" w14:textId="08E8CFC7" w:rsidR="00FA071C" w:rsidRPr="00FA071C" w:rsidRDefault="001A0AEF" w:rsidP="002A7456">
      <w:pPr>
        <w:pBdr>
          <w:top w:val="dashed" w:sz="6" w:space="0" w:color="8FAADC"/>
          <w:left w:val="dashed" w:sz="6" w:space="0" w:color="8FAADC"/>
          <w:bottom w:val="dashed" w:sz="6" w:space="1" w:color="8FAADC"/>
          <w:right w:val="dashed" w:sz="6" w:space="0" w:color="8FAADC"/>
        </w:pBdr>
        <w:shd w:val="clear" w:color="auto" w:fill="F7F9FC"/>
        <w:spacing w:before="120" w:after="240"/>
        <w:jc w:val="center"/>
        <w:rPr>
          <w:i/>
          <w:iCs/>
          <w:color w:val="2E75B6"/>
        </w:rPr>
      </w:pPr>
      <w:r>
        <w:rPr>
          <w:i/>
          <w:iCs/>
          <w:color w:val="2E75B6"/>
        </w:rPr>
        <w:br/>
      </w:r>
      <w:r w:rsidR="00FA071C" w:rsidRPr="00FA071C">
        <w:rPr>
          <w:i/>
          <w:iCs/>
          <w:color w:val="2E75B6"/>
        </w:rPr>
        <w:drawing>
          <wp:inline distT="0" distB="0" distL="0" distR="0" wp14:anchorId="2DC7CCB6" wp14:editId="6E450B29">
            <wp:extent cx="5318760" cy="2948940"/>
            <wp:effectExtent l="0" t="0" r="0" b="3810"/>
            <wp:docPr id="6983965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8760" cy="2948940"/>
                    </a:xfrm>
                    <a:prstGeom prst="rect">
                      <a:avLst/>
                    </a:prstGeom>
                    <a:noFill/>
                    <a:ln>
                      <a:noFill/>
                    </a:ln>
                  </pic:spPr>
                </pic:pic>
              </a:graphicData>
            </a:graphic>
          </wp:inline>
        </w:drawing>
      </w:r>
    </w:p>
    <w:p w14:paraId="54EF3586" w14:textId="153033CD" w:rsidR="00166B99" w:rsidRDefault="001A0AEF" w:rsidP="002A7456">
      <w:pPr>
        <w:pBdr>
          <w:top w:val="dashed" w:sz="6" w:space="0" w:color="8FAADC"/>
          <w:left w:val="dashed" w:sz="6" w:space="0" w:color="8FAADC"/>
          <w:bottom w:val="dashed" w:sz="6" w:space="1" w:color="8FAADC"/>
          <w:right w:val="dashed" w:sz="6" w:space="0" w:color="8FAADC"/>
        </w:pBdr>
        <w:shd w:val="clear" w:color="auto" w:fill="F7F9FC"/>
        <w:spacing w:before="120" w:after="240"/>
        <w:jc w:val="center"/>
      </w:pPr>
      <w:r>
        <w:rPr>
          <w:i/>
          <w:iCs/>
          <w:color w:val="595959"/>
        </w:rPr>
        <w:t>Figure 7.4: Risk distribution across schemes</w:t>
      </w:r>
    </w:p>
    <w:p w14:paraId="77E53C67" w14:textId="77777777" w:rsidR="00166B99" w:rsidRDefault="001A0AEF">
      <w:r>
        <w:br w:type="page"/>
      </w:r>
    </w:p>
    <w:p w14:paraId="304B3CBF" w14:textId="77777777" w:rsidR="00166B99" w:rsidRDefault="001A0AEF">
      <w:pPr>
        <w:pStyle w:val="Heading1"/>
        <w:pBdr>
          <w:bottom w:val="single" w:sz="8" w:space="4" w:color="1F4E79"/>
        </w:pBdr>
        <w:spacing w:before="400" w:after="200"/>
      </w:pPr>
      <w:r>
        <w:rPr>
          <w:b/>
          <w:bCs/>
          <w:color w:val="1F4E79"/>
        </w:rPr>
        <w:lastRenderedPageBreak/>
        <w:t>8. Performance Analytics</w:t>
      </w:r>
    </w:p>
    <w:p w14:paraId="495D7007" w14:textId="77777777" w:rsidR="007F6B43" w:rsidRDefault="001A0AEF" w:rsidP="004B2E56">
      <w:pPr>
        <w:spacing w:after="160" w:line="276" w:lineRule="auto"/>
      </w:pPr>
      <w:r>
        <w:t>A set of standard financial metrics was computed for each scheme to enable objective, risk-adjusted comparison of fund performance.</w:t>
      </w:r>
    </w:p>
    <w:p w14:paraId="58B1B3D0" w14:textId="3187FF64" w:rsidR="00166B99" w:rsidRDefault="001A0AEF" w:rsidP="004B2E56">
      <w:pPr>
        <w:spacing w:after="160" w:line="276" w:lineRule="auto"/>
      </w:pPr>
      <w:r>
        <w:rPr>
          <w:b/>
          <w:bCs/>
          <w:i/>
          <w:iCs/>
        </w:rPr>
        <w:t>Compound Annual Growth Rate (CAGR)</w:t>
      </w:r>
    </w:p>
    <w:p w14:paraId="344C2488" w14:textId="77777777" w:rsidR="00166B99" w:rsidRDefault="001A0AEF">
      <w:pPr>
        <w:pBdr>
          <w:top w:val="single" w:sz="4" w:space="0" w:color="BFBFBF"/>
          <w:left w:val="single" w:sz="4" w:space="0" w:color="BFBFBF"/>
          <w:bottom w:val="single" w:sz="4" w:space="0" w:color="BFBFBF"/>
          <w:right w:val="single" w:sz="4" w:space="0" w:color="BFBFBF"/>
        </w:pBdr>
        <w:shd w:val="clear" w:color="auto" w:fill="F2F2F2"/>
        <w:spacing w:after="60"/>
        <w:jc w:val="center"/>
      </w:pPr>
      <w:r>
        <w:rPr>
          <w:i/>
          <w:iCs/>
          <w:sz w:val="26"/>
          <w:szCs w:val="26"/>
        </w:rPr>
        <w:t xml:space="preserve">CAGR = (Ending Value / Beginning </w:t>
      </w:r>
      <w:proofErr w:type="gramStart"/>
      <w:r>
        <w:rPr>
          <w:i/>
          <w:iCs/>
          <w:sz w:val="26"/>
          <w:szCs w:val="26"/>
        </w:rPr>
        <w:t>Value)^</w:t>
      </w:r>
      <w:proofErr w:type="gramEnd"/>
      <w:r>
        <w:rPr>
          <w:i/>
          <w:iCs/>
          <w:sz w:val="26"/>
          <w:szCs w:val="26"/>
        </w:rPr>
        <w:t>(1/n) − 1</w:t>
      </w:r>
    </w:p>
    <w:p w14:paraId="42116CCE" w14:textId="77777777" w:rsidR="007F6B43" w:rsidRDefault="001A0AEF" w:rsidP="004B2E56">
      <w:pPr>
        <w:spacing w:after="160"/>
      </w:pPr>
      <w:r>
        <w:rPr>
          <w:color w:val="595959"/>
        </w:rPr>
        <w:t>where n = number of years over which the investment is held</w:t>
      </w:r>
    </w:p>
    <w:p w14:paraId="031C858B" w14:textId="27A00CA2" w:rsidR="00166B99" w:rsidRDefault="001A0AEF" w:rsidP="004B2E56">
      <w:pPr>
        <w:spacing w:after="160"/>
      </w:pPr>
      <w:r>
        <w:rPr>
          <w:b/>
          <w:bCs/>
          <w:i/>
          <w:iCs/>
        </w:rPr>
        <w:t>Sharpe Ratio</w:t>
      </w:r>
    </w:p>
    <w:p w14:paraId="783BD2E6" w14:textId="77777777" w:rsidR="00166B99" w:rsidRDefault="001A0AEF">
      <w:pPr>
        <w:pBdr>
          <w:top w:val="single" w:sz="4" w:space="0" w:color="BFBFBF"/>
          <w:left w:val="single" w:sz="4" w:space="0" w:color="BFBFBF"/>
          <w:bottom w:val="single" w:sz="4" w:space="0" w:color="BFBFBF"/>
          <w:right w:val="single" w:sz="4" w:space="0" w:color="BFBFBF"/>
        </w:pBdr>
        <w:shd w:val="clear" w:color="auto" w:fill="F2F2F2"/>
        <w:spacing w:after="60"/>
        <w:jc w:val="center"/>
      </w:pPr>
      <w:r>
        <w:rPr>
          <w:i/>
          <w:iCs/>
          <w:sz w:val="26"/>
          <w:szCs w:val="26"/>
        </w:rPr>
        <w:t xml:space="preserve">Sharpe = (Rp − Rf) / </w:t>
      </w:r>
      <w:proofErr w:type="spellStart"/>
      <w:r>
        <w:rPr>
          <w:i/>
          <w:iCs/>
          <w:sz w:val="26"/>
          <w:szCs w:val="26"/>
        </w:rPr>
        <w:t>σp</w:t>
      </w:r>
      <w:proofErr w:type="spellEnd"/>
    </w:p>
    <w:p w14:paraId="2A16C49C" w14:textId="77777777" w:rsidR="00166B99" w:rsidRDefault="001A0AEF">
      <w:pPr>
        <w:spacing w:after="160"/>
      </w:pPr>
      <w:r>
        <w:rPr>
          <w:color w:val="595959"/>
        </w:rPr>
        <w:t xml:space="preserve">where Rp = portfolio return, Rf = risk-free rate, </w:t>
      </w:r>
      <w:proofErr w:type="spellStart"/>
      <w:r>
        <w:rPr>
          <w:color w:val="595959"/>
        </w:rPr>
        <w:t>σp</w:t>
      </w:r>
      <w:proofErr w:type="spellEnd"/>
      <w:r>
        <w:rPr>
          <w:color w:val="595959"/>
        </w:rPr>
        <w:t xml:space="preserve"> = standard deviation of portfolio return</w:t>
      </w:r>
    </w:p>
    <w:p w14:paraId="4681533D" w14:textId="77777777" w:rsidR="00166B99" w:rsidRDefault="001A0AEF">
      <w:pPr>
        <w:spacing w:before="150" w:after="60"/>
      </w:pPr>
      <w:r>
        <w:rPr>
          <w:b/>
          <w:bCs/>
          <w:i/>
          <w:iCs/>
        </w:rPr>
        <w:t>Beta</w:t>
      </w:r>
    </w:p>
    <w:p w14:paraId="6A631856" w14:textId="77777777" w:rsidR="00166B99" w:rsidRDefault="001A0AEF">
      <w:pPr>
        <w:pBdr>
          <w:top w:val="single" w:sz="4" w:space="0" w:color="BFBFBF"/>
          <w:left w:val="single" w:sz="4" w:space="0" w:color="BFBFBF"/>
          <w:bottom w:val="single" w:sz="4" w:space="0" w:color="BFBFBF"/>
          <w:right w:val="single" w:sz="4" w:space="0" w:color="BFBFBF"/>
        </w:pBdr>
        <w:shd w:val="clear" w:color="auto" w:fill="F2F2F2"/>
        <w:spacing w:after="60"/>
        <w:jc w:val="center"/>
      </w:pPr>
      <w:r>
        <w:rPr>
          <w:i/>
          <w:iCs/>
          <w:sz w:val="26"/>
          <w:szCs w:val="26"/>
        </w:rPr>
        <w:t xml:space="preserve">β = </w:t>
      </w:r>
      <w:proofErr w:type="gramStart"/>
      <w:r>
        <w:rPr>
          <w:i/>
          <w:iCs/>
          <w:sz w:val="26"/>
          <w:szCs w:val="26"/>
        </w:rPr>
        <w:t>Covariance(</w:t>
      </w:r>
      <w:proofErr w:type="gramEnd"/>
      <w:r>
        <w:rPr>
          <w:i/>
          <w:iCs/>
          <w:sz w:val="26"/>
          <w:szCs w:val="26"/>
        </w:rPr>
        <w:t xml:space="preserve">Rp, Rm) / </w:t>
      </w:r>
      <w:proofErr w:type="gramStart"/>
      <w:r>
        <w:rPr>
          <w:i/>
          <w:iCs/>
          <w:sz w:val="26"/>
          <w:szCs w:val="26"/>
        </w:rPr>
        <w:t>Variance(</w:t>
      </w:r>
      <w:proofErr w:type="gramEnd"/>
      <w:r>
        <w:rPr>
          <w:i/>
          <w:iCs/>
          <w:sz w:val="26"/>
          <w:szCs w:val="26"/>
        </w:rPr>
        <w:t>Rm)</w:t>
      </w:r>
    </w:p>
    <w:p w14:paraId="76A97886" w14:textId="77777777" w:rsidR="00166B99" w:rsidRDefault="001A0AEF">
      <w:pPr>
        <w:spacing w:after="160"/>
      </w:pPr>
      <w:r>
        <w:rPr>
          <w:color w:val="595959"/>
        </w:rPr>
        <w:t>where Rp = portfolio return, Rm = market (benchmark) return</w:t>
      </w:r>
    </w:p>
    <w:p w14:paraId="5E81B25A" w14:textId="77777777" w:rsidR="00166B99" w:rsidRDefault="001A0AEF">
      <w:pPr>
        <w:spacing w:before="150" w:after="60"/>
      </w:pPr>
      <w:r>
        <w:rPr>
          <w:b/>
          <w:bCs/>
          <w:i/>
          <w:iCs/>
        </w:rPr>
        <w:t>Alpha</w:t>
      </w:r>
    </w:p>
    <w:p w14:paraId="30A40255" w14:textId="77777777" w:rsidR="00166B99" w:rsidRDefault="001A0AEF">
      <w:pPr>
        <w:pBdr>
          <w:top w:val="single" w:sz="4" w:space="0" w:color="BFBFBF"/>
          <w:left w:val="single" w:sz="4" w:space="0" w:color="BFBFBF"/>
          <w:bottom w:val="single" w:sz="4" w:space="0" w:color="BFBFBF"/>
          <w:right w:val="single" w:sz="4" w:space="0" w:color="BFBFBF"/>
        </w:pBdr>
        <w:shd w:val="clear" w:color="auto" w:fill="F2F2F2"/>
        <w:spacing w:after="60"/>
        <w:jc w:val="center"/>
      </w:pPr>
      <w:r>
        <w:rPr>
          <w:i/>
          <w:iCs/>
          <w:sz w:val="26"/>
          <w:szCs w:val="26"/>
        </w:rPr>
        <w:t xml:space="preserve">α = Rp − [Rf + </w:t>
      </w:r>
      <w:proofErr w:type="gramStart"/>
      <w:r>
        <w:rPr>
          <w:i/>
          <w:iCs/>
          <w:sz w:val="26"/>
          <w:szCs w:val="26"/>
        </w:rPr>
        <w:t>β(</w:t>
      </w:r>
      <w:proofErr w:type="gramEnd"/>
      <w:r>
        <w:rPr>
          <w:i/>
          <w:iCs/>
          <w:sz w:val="26"/>
          <w:szCs w:val="26"/>
        </w:rPr>
        <w:t>Rm − Rf)]</w:t>
      </w:r>
    </w:p>
    <w:p w14:paraId="1EFA5657" w14:textId="77777777" w:rsidR="00166B99" w:rsidRDefault="001A0AEF">
      <w:pPr>
        <w:spacing w:after="160"/>
      </w:pPr>
      <w:r>
        <w:rPr>
          <w:color w:val="595959"/>
        </w:rPr>
        <w:t>measures excess return of the portfolio relative to the return predicted by the Capital Asset Pricing Model (CAPM)</w:t>
      </w:r>
    </w:p>
    <w:p w14:paraId="04CF0AD2" w14:textId="77777777" w:rsidR="00166B99" w:rsidRDefault="001A0AEF">
      <w:pPr>
        <w:pStyle w:val="Heading3"/>
        <w:spacing w:before="200" w:after="100"/>
      </w:pPr>
      <w:r>
        <w:rPr>
          <w:b/>
          <w:bCs/>
          <w:color w:val="2E75B6"/>
        </w:rPr>
        <w:t>Maximum Drawdown</w:t>
      </w:r>
    </w:p>
    <w:p w14:paraId="3286B5CD" w14:textId="486907B6" w:rsidR="00166B99" w:rsidRDefault="001A0AEF" w:rsidP="00343B6C">
      <w:pPr>
        <w:spacing w:after="160" w:line="276" w:lineRule="auto"/>
      </w:pPr>
      <w:r>
        <w:t>Maximum Drawdown represents the largest percentage decline from a peak NAV to a subsequent trough, before a new peak is achieved. It is a key indicator of downside risk.</w:t>
      </w:r>
      <w:r>
        <w:br w:type="page"/>
      </w:r>
    </w:p>
    <w:p w14:paraId="74F93DBB" w14:textId="77777777" w:rsidR="00166B99" w:rsidRDefault="001A0AEF">
      <w:pPr>
        <w:pStyle w:val="Heading1"/>
        <w:pBdr>
          <w:bottom w:val="single" w:sz="8" w:space="4" w:color="1F4E79"/>
        </w:pBdr>
        <w:spacing w:before="400" w:after="200"/>
      </w:pPr>
      <w:r>
        <w:rPr>
          <w:b/>
          <w:bCs/>
          <w:color w:val="1F4E79"/>
        </w:rPr>
        <w:lastRenderedPageBreak/>
        <w:t>9. Power BI Dashboard</w:t>
      </w:r>
    </w:p>
    <w:p w14:paraId="18C21AFC" w14:textId="77777777" w:rsidR="00166B99" w:rsidRDefault="001A0AEF">
      <w:pPr>
        <w:spacing w:after="160" w:line="276" w:lineRule="auto"/>
      </w:pPr>
      <w:r>
        <w:t>An interactive, four-page Power BI dashboard was developed to present industry, performance, investor, and market trend insights in a single connected report, supporting filtering, drill-through, and cross-highlighting across visuals.</w:t>
      </w:r>
    </w:p>
    <w:p w14:paraId="6991E653" w14:textId="77777777" w:rsidR="00166B99" w:rsidRDefault="001A0AEF">
      <w:pPr>
        <w:pStyle w:val="Heading2"/>
        <w:spacing w:before="300" w:after="150"/>
      </w:pPr>
      <w:r>
        <w:rPr>
          <w:b/>
          <w:bCs/>
          <w:color w:val="1F4E79"/>
        </w:rPr>
        <w:t>9.1 Page 1: Industry Overview</w:t>
      </w:r>
    </w:p>
    <w:p w14:paraId="1D3DE182" w14:textId="2FEFE68B" w:rsidR="00166B99" w:rsidRDefault="001A0AEF">
      <w:pPr>
        <w:pBdr>
          <w:top w:val="dashed" w:sz="6" w:space="0" w:color="8FAADC"/>
          <w:left w:val="dashed" w:sz="6" w:space="0" w:color="8FAADC"/>
          <w:bottom w:val="dashed" w:sz="6" w:space="0" w:color="8FAADC"/>
          <w:right w:val="dashed" w:sz="6" w:space="0" w:color="8FAADC"/>
        </w:pBdr>
        <w:shd w:val="clear" w:color="auto" w:fill="F7F9FC"/>
        <w:spacing w:before="120" w:after="240"/>
        <w:jc w:val="center"/>
      </w:pPr>
      <w:r>
        <w:rPr>
          <w:i/>
          <w:iCs/>
          <w:color w:val="2E75B6"/>
        </w:rPr>
        <w:br/>
      </w:r>
      <w:r w:rsidR="00973A2C">
        <w:rPr>
          <w:noProof/>
        </w:rPr>
        <w:drawing>
          <wp:inline distT="0" distB="0" distL="0" distR="0" wp14:anchorId="0C57C5D8" wp14:editId="44204870">
            <wp:extent cx="5273040" cy="2842260"/>
            <wp:effectExtent l="0" t="0" r="3810" b="0"/>
            <wp:docPr id="18030315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040" cy="2842260"/>
                    </a:xfrm>
                    <a:prstGeom prst="rect">
                      <a:avLst/>
                    </a:prstGeom>
                    <a:noFill/>
                    <a:ln>
                      <a:noFill/>
                    </a:ln>
                  </pic:spPr>
                </pic:pic>
              </a:graphicData>
            </a:graphic>
          </wp:inline>
        </w:drawing>
      </w:r>
      <w:r>
        <w:rPr>
          <w:i/>
          <w:iCs/>
          <w:color w:val="595959"/>
        </w:rPr>
        <w:br/>
        <w:t>Figure 9.1: Industry Overview dashboard page</w:t>
      </w:r>
    </w:p>
    <w:p w14:paraId="6A010C85" w14:textId="77777777" w:rsidR="00166B99" w:rsidRDefault="001A0AEF">
      <w:pPr>
        <w:spacing w:after="160" w:line="276" w:lineRule="auto"/>
      </w:pPr>
      <w:r>
        <w:t>This page presents a high-level snapshot of the mutual fund industry, including:</w:t>
      </w:r>
    </w:p>
    <w:p w14:paraId="454A316B" w14:textId="77777777" w:rsidR="00166B99" w:rsidRDefault="001A0AEF">
      <w:pPr>
        <w:pStyle w:val="ListParagraph"/>
        <w:numPr>
          <w:ilvl w:val="0"/>
          <w:numId w:val="2"/>
        </w:numPr>
        <w:spacing w:after="80"/>
      </w:pPr>
      <w:r>
        <w:t>Total Assets Under Management (AUM)</w:t>
      </w:r>
    </w:p>
    <w:p w14:paraId="4A56AD50" w14:textId="77777777" w:rsidR="00166B99" w:rsidRDefault="001A0AEF">
      <w:pPr>
        <w:pStyle w:val="ListParagraph"/>
        <w:numPr>
          <w:ilvl w:val="0"/>
          <w:numId w:val="2"/>
        </w:numPr>
        <w:spacing w:after="80"/>
      </w:pPr>
      <w:r>
        <w:t>SIP inflow trends</w:t>
      </w:r>
    </w:p>
    <w:p w14:paraId="7A43AEED" w14:textId="77777777" w:rsidR="00166B99" w:rsidRDefault="001A0AEF">
      <w:pPr>
        <w:pStyle w:val="ListParagraph"/>
        <w:numPr>
          <w:ilvl w:val="0"/>
          <w:numId w:val="2"/>
        </w:numPr>
        <w:spacing w:after="80"/>
      </w:pPr>
      <w:r>
        <w:t>Total investor folios</w:t>
      </w:r>
    </w:p>
    <w:p w14:paraId="119AA446" w14:textId="77777777" w:rsidR="00166B99" w:rsidRDefault="001A0AEF">
      <w:pPr>
        <w:pStyle w:val="ListParagraph"/>
        <w:numPr>
          <w:ilvl w:val="0"/>
          <w:numId w:val="2"/>
        </w:numPr>
        <w:spacing w:after="80"/>
      </w:pPr>
      <w:r>
        <w:t>Number of active schemes</w:t>
      </w:r>
    </w:p>
    <w:p w14:paraId="749CD3BD" w14:textId="77777777" w:rsidR="00166B99" w:rsidRDefault="001A0AEF">
      <w:pPr>
        <w:pStyle w:val="ListParagraph"/>
        <w:numPr>
          <w:ilvl w:val="0"/>
          <w:numId w:val="2"/>
        </w:numPr>
        <w:spacing w:after="80"/>
      </w:pPr>
      <w:r>
        <w:t>AUM growth trend over time</w:t>
      </w:r>
    </w:p>
    <w:p w14:paraId="3F73F059" w14:textId="77777777" w:rsidR="00166B99" w:rsidRDefault="001A0AEF">
      <w:pPr>
        <w:pStyle w:val="ListParagraph"/>
        <w:numPr>
          <w:ilvl w:val="0"/>
          <w:numId w:val="2"/>
        </w:numPr>
        <w:spacing w:after="80"/>
      </w:pPr>
      <w:r>
        <w:t>Fund house comparison by AUM and scheme count</w:t>
      </w:r>
    </w:p>
    <w:p w14:paraId="5DD85561" w14:textId="77777777" w:rsidR="00166B99" w:rsidRDefault="001A0AEF">
      <w:pPr>
        <w:pStyle w:val="Heading2"/>
        <w:spacing w:before="300" w:after="150"/>
      </w:pPr>
      <w:r>
        <w:rPr>
          <w:b/>
          <w:bCs/>
          <w:color w:val="1F4E79"/>
        </w:rPr>
        <w:t>9.2 Page 2: Fund Performance</w:t>
      </w:r>
    </w:p>
    <w:p w14:paraId="4F505C47" w14:textId="0B1CC68C" w:rsidR="00166B99" w:rsidRDefault="001A0AEF">
      <w:pPr>
        <w:pBdr>
          <w:top w:val="dashed" w:sz="6" w:space="0" w:color="8FAADC"/>
          <w:left w:val="dashed" w:sz="6" w:space="0" w:color="8FAADC"/>
          <w:bottom w:val="dashed" w:sz="6" w:space="0" w:color="8FAADC"/>
          <w:right w:val="dashed" w:sz="6" w:space="0" w:color="8FAADC"/>
        </w:pBdr>
        <w:shd w:val="clear" w:color="auto" w:fill="F7F9FC"/>
        <w:spacing w:before="120" w:after="240"/>
        <w:jc w:val="center"/>
      </w:pPr>
      <w:r>
        <w:rPr>
          <w:i/>
          <w:iCs/>
          <w:color w:val="2E75B6"/>
        </w:rPr>
        <w:lastRenderedPageBreak/>
        <w:br/>
      </w:r>
      <w:r w:rsidR="00157520">
        <w:rPr>
          <w:noProof/>
        </w:rPr>
        <w:drawing>
          <wp:inline distT="0" distB="0" distL="0" distR="0" wp14:anchorId="08697783" wp14:editId="63E96694">
            <wp:extent cx="5623560" cy="2994660"/>
            <wp:effectExtent l="0" t="0" r="0" b="0"/>
            <wp:docPr id="120060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3560" cy="2994660"/>
                    </a:xfrm>
                    <a:prstGeom prst="rect">
                      <a:avLst/>
                    </a:prstGeom>
                    <a:noFill/>
                    <a:ln>
                      <a:noFill/>
                    </a:ln>
                  </pic:spPr>
                </pic:pic>
              </a:graphicData>
            </a:graphic>
          </wp:inline>
        </w:drawing>
      </w:r>
      <w:r>
        <w:rPr>
          <w:i/>
          <w:iCs/>
          <w:color w:val="595959"/>
        </w:rPr>
        <w:t>Figure 9.2: Fund Performance dashboard page</w:t>
      </w:r>
    </w:p>
    <w:p w14:paraId="58F0FB2A" w14:textId="77777777" w:rsidR="00166B99" w:rsidRDefault="001A0AEF">
      <w:pPr>
        <w:spacing w:after="160" w:line="276" w:lineRule="auto"/>
      </w:pPr>
      <w:r>
        <w:t>This page enables comparative fund analysis through:</w:t>
      </w:r>
    </w:p>
    <w:p w14:paraId="2FE05F43" w14:textId="77777777" w:rsidR="00166B99" w:rsidRDefault="001A0AEF">
      <w:pPr>
        <w:pStyle w:val="ListParagraph"/>
        <w:numPr>
          <w:ilvl w:val="0"/>
          <w:numId w:val="2"/>
        </w:numPr>
        <w:spacing w:after="80"/>
      </w:pPr>
      <w:r>
        <w:t>Risk-return scatter plot across schemes</w:t>
      </w:r>
    </w:p>
    <w:p w14:paraId="4DB3617C" w14:textId="77777777" w:rsidR="00166B99" w:rsidRDefault="001A0AEF">
      <w:pPr>
        <w:pStyle w:val="ListParagraph"/>
        <w:numPr>
          <w:ilvl w:val="0"/>
          <w:numId w:val="2"/>
        </w:numPr>
        <w:spacing w:after="80"/>
      </w:pPr>
      <w:r>
        <w:t>Fund score ranking table</w:t>
      </w:r>
    </w:p>
    <w:p w14:paraId="75AFAB35" w14:textId="77777777" w:rsidR="00166B99" w:rsidRDefault="001A0AEF">
      <w:pPr>
        <w:pStyle w:val="ListParagraph"/>
        <w:numPr>
          <w:ilvl w:val="0"/>
          <w:numId w:val="2"/>
        </w:numPr>
        <w:spacing w:after="80"/>
      </w:pPr>
      <w:r>
        <w:t>NAV trend visualization</w:t>
      </w:r>
    </w:p>
    <w:p w14:paraId="6F48164C" w14:textId="77777777" w:rsidR="00166B99" w:rsidRDefault="001A0AEF">
      <w:pPr>
        <w:pStyle w:val="ListParagraph"/>
        <w:numPr>
          <w:ilvl w:val="0"/>
          <w:numId w:val="2"/>
        </w:numPr>
        <w:spacing w:after="80"/>
      </w:pPr>
      <w:r>
        <w:t>Drill-through to scheme-level NAV detail</w:t>
      </w:r>
    </w:p>
    <w:p w14:paraId="3B8C602A" w14:textId="77777777" w:rsidR="00166B99" w:rsidRDefault="001A0AEF">
      <w:pPr>
        <w:pStyle w:val="Heading2"/>
        <w:spacing w:before="300" w:after="150"/>
      </w:pPr>
      <w:r>
        <w:rPr>
          <w:b/>
          <w:bCs/>
          <w:color w:val="1F4E79"/>
        </w:rPr>
        <w:t>9.3 Page 3: Investor Analytics</w:t>
      </w:r>
    </w:p>
    <w:p w14:paraId="6B0B1417" w14:textId="09E49430" w:rsidR="00477E47" w:rsidRDefault="001A0AEF" w:rsidP="00477E47">
      <w:pPr>
        <w:pBdr>
          <w:top w:val="dashed" w:sz="6" w:space="0" w:color="8FAADC"/>
          <w:left w:val="dashed" w:sz="6" w:space="0" w:color="8FAADC"/>
          <w:bottom w:val="dashed" w:sz="6" w:space="0" w:color="8FAADC"/>
          <w:right w:val="dashed" w:sz="6" w:space="0" w:color="8FAADC"/>
        </w:pBdr>
        <w:shd w:val="clear" w:color="auto" w:fill="F7F9FC"/>
        <w:spacing w:before="120" w:after="240"/>
        <w:jc w:val="center"/>
      </w:pPr>
      <w:r>
        <w:rPr>
          <w:i/>
          <w:iCs/>
          <w:color w:val="2E75B6"/>
        </w:rPr>
        <w:br/>
      </w:r>
      <w:r w:rsidR="00EB7A63">
        <w:rPr>
          <w:noProof/>
        </w:rPr>
        <w:drawing>
          <wp:inline distT="0" distB="0" distL="0" distR="0" wp14:anchorId="39E8C466" wp14:editId="76FD6949">
            <wp:extent cx="5326380" cy="2834640"/>
            <wp:effectExtent l="0" t="0" r="7620" b="3810"/>
            <wp:docPr id="888412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6380" cy="2834640"/>
                    </a:xfrm>
                    <a:prstGeom prst="rect">
                      <a:avLst/>
                    </a:prstGeom>
                    <a:noFill/>
                    <a:ln>
                      <a:noFill/>
                    </a:ln>
                  </pic:spPr>
                </pic:pic>
              </a:graphicData>
            </a:graphic>
          </wp:inline>
        </w:drawing>
      </w:r>
      <w:r>
        <w:rPr>
          <w:i/>
          <w:iCs/>
          <w:color w:val="595959"/>
        </w:rPr>
        <w:br/>
        <w:t>Figure 9.3: Investor Analytics dashboard page</w:t>
      </w:r>
    </w:p>
    <w:p w14:paraId="4B69AF76" w14:textId="2115A9F7" w:rsidR="00166B99" w:rsidRDefault="001A0AEF">
      <w:pPr>
        <w:spacing w:after="160" w:line="276" w:lineRule="auto"/>
      </w:pPr>
      <w:r>
        <w:lastRenderedPageBreak/>
        <w:t>This page focuses on investor behaviour, including:</w:t>
      </w:r>
    </w:p>
    <w:p w14:paraId="307D2A18" w14:textId="77777777" w:rsidR="00166B99" w:rsidRDefault="001A0AEF">
      <w:pPr>
        <w:pStyle w:val="ListParagraph"/>
        <w:numPr>
          <w:ilvl w:val="0"/>
          <w:numId w:val="2"/>
        </w:numPr>
        <w:spacing w:after="80"/>
      </w:pPr>
      <w:r>
        <w:t>Transaction type distribution (SIP / Lumpsum / Redemption)</w:t>
      </w:r>
    </w:p>
    <w:p w14:paraId="4CC4A798" w14:textId="77777777" w:rsidR="00166B99" w:rsidRDefault="001A0AEF">
      <w:pPr>
        <w:pStyle w:val="ListParagraph"/>
        <w:numPr>
          <w:ilvl w:val="0"/>
          <w:numId w:val="2"/>
        </w:numPr>
        <w:spacing w:after="80"/>
      </w:pPr>
      <w:r>
        <w:t>State-wise investor analysis</w:t>
      </w:r>
    </w:p>
    <w:p w14:paraId="2F5E59FF" w14:textId="77777777" w:rsidR="00166B99" w:rsidRDefault="001A0AEF">
      <w:pPr>
        <w:pStyle w:val="ListParagraph"/>
        <w:numPr>
          <w:ilvl w:val="0"/>
          <w:numId w:val="2"/>
        </w:numPr>
        <w:spacing w:after="80"/>
      </w:pPr>
      <w:r>
        <w:t>SIP amount distribution</w:t>
      </w:r>
    </w:p>
    <w:p w14:paraId="51AF5511" w14:textId="77777777" w:rsidR="00166B99" w:rsidRDefault="001A0AEF">
      <w:pPr>
        <w:pStyle w:val="ListParagraph"/>
        <w:numPr>
          <w:ilvl w:val="0"/>
          <w:numId w:val="2"/>
        </w:numPr>
        <w:spacing w:after="80"/>
      </w:pPr>
      <w:r>
        <w:t>Monthly transaction volume trends</w:t>
      </w:r>
    </w:p>
    <w:p w14:paraId="4E5F4750" w14:textId="77777777" w:rsidR="00166B99" w:rsidRDefault="001A0AEF">
      <w:pPr>
        <w:pStyle w:val="Heading2"/>
        <w:spacing w:before="300" w:after="150"/>
      </w:pPr>
      <w:r>
        <w:rPr>
          <w:b/>
          <w:bCs/>
          <w:color w:val="1F4E79"/>
        </w:rPr>
        <w:t>9.4 Page 4: SIP &amp; Market Trends</w:t>
      </w:r>
    </w:p>
    <w:p w14:paraId="383FB59C" w14:textId="2E7A48B4" w:rsidR="00166B99" w:rsidRDefault="001A0AEF">
      <w:pPr>
        <w:pBdr>
          <w:top w:val="dashed" w:sz="6" w:space="0" w:color="8FAADC"/>
          <w:left w:val="dashed" w:sz="6" w:space="0" w:color="8FAADC"/>
          <w:bottom w:val="dashed" w:sz="6" w:space="0" w:color="8FAADC"/>
          <w:right w:val="dashed" w:sz="6" w:space="0" w:color="8FAADC"/>
        </w:pBdr>
        <w:shd w:val="clear" w:color="auto" w:fill="F7F9FC"/>
        <w:spacing w:before="120" w:after="240"/>
        <w:jc w:val="center"/>
      </w:pPr>
      <w:r>
        <w:rPr>
          <w:i/>
          <w:iCs/>
          <w:color w:val="2E75B6"/>
        </w:rPr>
        <w:br/>
      </w:r>
      <w:r w:rsidR="004A67E6" w:rsidRPr="004A67E6">
        <w:rPr>
          <w:i/>
          <w:iCs/>
          <w:noProof/>
          <w:color w:val="2E75B6"/>
        </w:rPr>
        <w:drawing>
          <wp:inline distT="0" distB="0" distL="0" distR="0" wp14:anchorId="69FC75CC" wp14:editId="12BF72CC">
            <wp:extent cx="5433060" cy="2987040"/>
            <wp:effectExtent l="0" t="0" r="0" b="3810"/>
            <wp:docPr id="4414304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3060" cy="2987040"/>
                    </a:xfrm>
                    <a:prstGeom prst="rect">
                      <a:avLst/>
                    </a:prstGeom>
                    <a:noFill/>
                    <a:ln>
                      <a:noFill/>
                    </a:ln>
                  </pic:spPr>
                </pic:pic>
              </a:graphicData>
            </a:graphic>
          </wp:inline>
        </w:drawing>
      </w:r>
      <w:r>
        <w:rPr>
          <w:i/>
          <w:iCs/>
          <w:color w:val="595959"/>
        </w:rPr>
        <w:br/>
        <w:t>Figure 9.4: SIP &amp; Market Trends dashboard page</w:t>
      </w:r>
    </w:p>
    <w:p w14:paraId="7F26EA93" w14:textId="77777777" w:rsidR="00166B99" w:rsidRDefault="001A0AEF">
      <w:pPr>
        <w:spacing w:after="160" w:line="276" w:lineRule="auto"/>
      </w:pPr>
      <w:r>
        <w:t>This page correlates investor SIP behaviour with broader market movement:</w:t>
      </w:r>
    </w:p>
    <w:p w14:paraId="1301FF7E" w14:textId="77777777" w:rsidR="00166B99" w:rsidRDefault="001A0AEF">
      <w:pPr>
        <w:pStyle w:val="ListParagraph"/>
        <w:numPr>
          <w:ilvl w:val="0"/>
          <w:numId w:val="2"/>
        </w:numPr>
        <w:spacing w:after="80"/>
      </w:pPr>
      <w:r>
        <w:t>SIP inflows vs. market index performance</w:t>
      </w:r>
    </w:p>
    <w:p w14:paraId="4EB34270" w14:textId="77777777" w:rsidR="00166B99" w:rsidRDefault="001A0AEF">
      <w:pPr>
        <w:pStyle w:val="ListParagraph"/>
        <w:numPr>
          <w:ilvl w:val="0"/>
          <w:numId w:val="2"/>
        </w:numPr>
        <w:spacing w:after="80"/>
      </w:pPr>
      <w:r>
        <w:t>Category-wise inflow trends</w:t>
      </w:r>
    </w:p>
    <w:p w14:paraId="4E08AF55" w14:textId="77777777" w:rsidR="00166B99" w:rsidRDefault="001A0AEF">
      <w:pPr>
        <w:pStyle w:val="ListParagraph"/>
        <w:numPr>
          <w:ilvl w:val="0"/>
          <w:numId w:val="2"/>
        </w:numPr>
        <w:spacing w:after="80"/>
      </w:pPr>
      <w:r>
        <w:t>Top-performing categories by inflow</w:t>
      </w:r>
    </w:p>
    <w:p w14:paraId="3E3B3841" w14:textId="77777777" w:rsidR="00166B99" w:rsidRDefault="001A0AEF">
      <w:pPr>
        <w:pStyle w:val="ListParagraph"/>
        <w:numPr>
          <w:ilvl w:val="0"/>
          <w:numId w:val="2"/>
        </w:numPr>
        <w:spacing w:after="80"/>
      </w:pPr>
      <w:r>
        <w:t>Interactive filters for category, time period, and fund house</w:t>
      </w:r>
    </w:p>
    <w:p w14:paraId="00E9F06E" w14:textId="77777777" w:rsidR="00166B99" w:rsidRDefault="001A0AEF">
      <w:r>
        <w:br w:type="page"/>
      </w:r>
    </w:p>
    <w:p w14:paraId="29B96522" w14:textId="77777777" w:rsidR="00166B99" w:rsidRDefault="001A0AEF">
      <w:pPr>
        <w:pStyle w:val="Heading1"/>
        <w:pBdr>
          <w:bottom w:val="single" w:sz="8" w:space="4" w:color="1F4E79"/>
        </w:pBdr>
        <w:spacing w:before="400" w:after="200"/>
      </w:pPr>
      <w:r>
        <w:rPr>
          <w:b/>
          <w:bCs/>
          <w:color w:val="1F4E79"/>
        </w:rPr>
        <w:lastRenderedPageBreak/>
        <w:t>10. Advanced Analytics</w:t>
      </w:r>
    </w:p>
    <w:p w14:paraId="48699388" w14:textId="77777777" w:rsidR="00166B99" w:rsidRDefault="001A0AEF">
      <w:pPr>
        <w:spacing w:after="160" w:line="276" w:lineRule="auto"/>
      </w:pPr>
      <w:r>
        <w:t>Beyond standard performance metrics and dashboarding, several advanced analytical techniques were applied to deepen the risk and behavioural insights generated by the project.</w:t>
      </w:r>
    </w:p>
    <w:p w14:paraId="154DA702" w14:textId="77777777" w:rsidR="00166B99" w:rsidRDefault="001A0AEF">
      <w:pPr>
        <w:pStyle w:val="Heading2"/>
        <w:spacing w:before="300" w:after="150"/>
      </w:pPr>
      <w:r>
        <w:rPr>
          <w:b/>
          <w:bCs/>
          <w:color w:val="1F4E79"/>
        </w:rPr>
        <w:t>10.1 Historical Value at Risk (</w:t>
      </w:r>
      <w:proofErr w:type="spellStart"/>
      <w:r>
        <w:rPr>
          <w:b/>
          <w:bCs/>
          <w:color w:val="1F4E79"/>
        </w:rPr>
        <w:t>VaR</w:t>
      </w:r>
      <w:proofErr w:type="spellEnd"/>
      <w:r>
        <w:rPr>
          <w:b/>
          <w:bCs/>
          <w:color w:val="1F4E79"/>
        </w:rPr>
        <w:t>)</w:t>
      </w:r>
    </w:p>
    <w:p w14:paraId="5F0CA462" w14:textId="77777777" w:rsidR="00166B99" w:rsidRDefault="001A0AEF">
      <w:pPr>
        <w:spacing w:after="160" w:line="276" w:lineRule="auto"/>
      </w:pPr>
      <w:r>
        <w:t xml:space="preserve">Historical </w:t>
      </w:r>
      <w:proofErr w:type="spellStart"/>
      <w:r>
        <w:t>VaR</w:t>
      </w:r>
      <w:proofErr w:type="spellEnd"/>
      <w:r>
        <w:t xml:space="preserve"> estimates the maximum expected loss for a fund over a given time horizon at a specified confidence level, based on historical NAV return distributions. It helps quantify downside risk in a way that is intuitive for investors and fund analysts.</w:t>
      </w:r>
    </w:p>
    <w:p w14:paraId="5DF0B8A6" w14:textId="77777777" w:rsidR="00166B99" w:rsidRDefault="001A0AEF">
      <w:pPr>
        <w:pStyle w:val="Heading2"/>
        <w:spacing w:before="300" w:after="150"/>
      </w:pPr>
      <w:r>
        <w:rPr>
          <w:b/>
          <w:bCs/>
          <w:color w:val="1F4E79"/>
        </w:rPr>
        <w:t>10.2 Rolling Sharpe Ratio</w:t>
      </w:r>
    </w:p>
    <w:p w14:paraId="76E8B12A" w14:textId="77777777" w:rsidR="00166B99" w:rsidRDefault="001A0AEF">
      <w:pPr>
        <w:spacing w:after="160" w:line="276" w:lineRule="auto"/>
      </w:pPr>
      <w:r>
        <w:t>The Rolling Sharpe Ratio recalculates the Sharpe Ratio over a moving time window, revealing how a fund's risk-adjusted performance evolves over time rather than relying on a single static value.</w:t>
      </w:r>
    </w:p>
    <w:p w14:paraId="02415409" w14:textId="77777777" w:rsidR="00166B99" w:rsidRDefault="001A0AEF">
      <w:pPr>
        <w:pStyle w:val="Heading2"/>
        <w:spacing w:before="300" w:after="150"/>
      </w:pPr>
      <w:r>
        <w:rPr>
          <w:b/>
          <w:bCs/>
          <w:color w:val="1F4E79"/>
        </w:rPr>
        <w:t>10.3 Investor Cohort Analysis</w:t>
      </w:r>
    </w:p>
    <w:p w14:paraId="310764D0" w14:textId="5A741960" w:rsidR="00166B99" w:rsidRDefault="001A0AEF" w:rsidP="00FE4F21">
      <w:pPr>
        <w:spacing w:after="160" w:line="276" w:lineRule="auto"/>
      </w:pPr>
      <w:r>
        <w:t>Cohort analysis groups investors by the period in which they first invested, tracking retention and continued investment behaviour over time to reveal patterns in investor loyalty and engagement.</w:t>
      </w:r>
    </w:p>
    <w:p w14:paraId="03B34E04" w14:textId="77777777" w:rsidR="00166B99" w:rsidRDefault="001A0AEF">
      <w:pPr>
        <w:pStyle w:val="Heading2"/>
        <w:spacing w:before="300" w:after="150"/>
      </w:pPr>
      <w:r>
        <w:rPr>
          <w:b/>
          <w:bCs/>
          <w:color w:val="1F4E79"/>
        </w:rPr>
        <w:t>10.4 SIP Continuity Analysis</w:t>
      </w:r>
    </w:p>
    <w:p w14:paraId="10C4A9C0" w14:textId="77777777" w:rsidR="00166B99" w:rsidRDefault="001A0AEF">
      <w:pPr>
        <w:spacing w:after="160" w:line="276" w:lineRule="auto"/>
      </w:pPr>
      <w:r>
        <w:t>This analysis tracks the consistency of SIP contributions by investors over time, identifying rates of SIP discontinuation, pausing, and long-term continuity across different investor segments.</w:t>
      </w:r>
    </w:p>
    <w:p w14:paraId="151BD3CB" w14:textId="77777777" w:rsidR="00166B99" w:rsidRDefault="001A0AEF">
      <w:pPr>
        <w:pStyle w:val="Heading2"/>
        <w:spacing w:before="300" w:after="150"/>
      </w:pPr>
      <w:r>
        <w:rPr>
          <w:b/>
          <w:bCs/>
          <w:color w:val="1F4E79"/>
        </w:rPr>
        <w:t>10.5 Fund Recommendation System</w:t>
      </w:r>
    </w:p>
    <w:p w14:paraId="6E57A394" w14:textId="43BE88B5" w:rsidR="00166B99" w:rsidRDefault="001A0AEF" w:rsidP="00FE4F21">
      <w:pPr>
        <w:spacing w:after="160" w:line="276" w:lineRule="auto"/>
      </w:pPr>
      <w:r>
        <w:t>A rule-based recommendation engine was built to suggest suitable mutual fund schemes based on an investor's risk profile, matching conservative, moderate, and aggressive risk appetites to appropriate fund categories and risk-adjusted performance scores.</w:t>
      </w:r>
    </w:p>
    <w:p w14:paraId="332B5BD4" w14:textId="77777777" w:rsidR="00166B99" w:rsidRDefault="001A0AEF">
      <w:pPr>
        <w:pStyle w:val="Heading2"/>
        <w:spacing w:before="300" w:after="150"/>
      </w:pPr>
      <w:r>
        <w:rPr>
          <w:b/>
          <w:bCs/>
          <w:color w:val="1F4E79"/>
        </w:rPr>
        <w:t>10.6 Sector Concentration (HHI)</w:t>
      </w:r>
    </w:p>
    <w:p w14:paraId="71382598" w14:textId="3994C80B" w:rsidR="00166B99" w:rsidRDefault="001A0AEF" w:rsidP="00FE4F21">
      <w:pPr>
        <w:spacing w:after="160" w:line="276" w:lineRule="auto"/>
      </w:pPr>
      <w:r>
        <w:t>The Herfindahl-Hirschman Index (HHI) was used to measure sector concentration within fund portfolios, flagging schemes with high concentration risk in a small number of sectors versus well-diversified schemes.</w:t>
      </w:r>
      <w:r>
        <w:br w:type="page"/>
      </w:r>
    </w:p>
    <w:p w14:paraId="1207325B" w14:textId="77777777" w:rsidR="00166B99" w:rsidRDefault="001A0AEF">
      <w:pPr>
        <w:pStyle w:val="Heading1"/>
        <w:pBdr>
          <w:bottom w:val="single" w:sz="8" w:space="4" w:color="1F4E79"/>
        </w:pBdr>
        <w:spacing w:before="400" w:after="200"/>
      </w:pPr>
      <w:r>
        <w:rPr>
          <w:b/>
          <w:bCs/>
          <w:color w:val="1F4E79"/>
        </w:rPr>
        <w:lastRenderedPageBreak/>
        <w:t>11. Key Findings</w:t>
      </w:r>
    </w:p>
    <w:p w14:paraId="39238388" w14:textId="77777777" w:rsidR="00166B99" w:rsidRDefault="001A0AEF">
      <w:pPr>
        <w:pStyle w:val="Heading3"/>
        <w:spacing w:before="200" w:after="100"/>
      </w:pPr>
      <w:r>
        <w:rPr>
          <w:b/>
          <w:bCs/>
          <w:color w:val="2E75B6"/>
        </w:rPr>
        <w:t>Finding 1</w:t>
      </w:r>
    </w:p>
    <w:p w14:paraId="2279D445" w14:textId="77777777" w:rsidR="00166B99" w:rsidRDefault="001A0AEF">
      <w:pPr>
        <w:spacing w:after="160" w:line="276" w:lineRule="auto"/>
      </w:pPr>
      <w:r>
        <w:t>Liquid funds received the highest net inflows during FY25, reflecting investor preference for low-risk, highly liquid instruments amid market uncertainty.</w:t>
      </w:r>
    </w:p>
    <w:p w14:paraId="36D12911" w14:textId="77777777" w:rsidR="00166B99" w:rsidRDefault="001A0AEF">
      <w:pPr>
        <w:pStyle w:val="Heading3"/>
        <w:spacing w:before="200" w:after="100"/>
      </w:pPr>
      <w:r>
        <w:rPr>
          <w:b/>
          <w:bCs/>
          <w:color w:val="2E75B6"/>
        </w:rPr>
        <w:t>Finding 2</w:t>
      </w:r>
    </w:p>
    <w:p w14:paraId="11214E64" w14:textId="77777777" w:rsidR="00166B99" w:rsidRDefault="001A0AEF">
      <w:pPr>
        <w:spacing w:after="160" w:line="276" w:lineRule="auto"/>
      </w:pPr>
      <w:r>
        <w:t>Large Cap funds consistently achieved higher Fund Scores, driven by stable risk-adjusted returns and lower volatility relative to Mid Cap and Small Cap peers.</w:t>
      </w:r>
    </w:p>
    <w:p w14:paraId="45C9044E" w14:textId="77777777" w:rsidR="00166B99" w:rsidRDefault="001A0AEF">
      <w:pPr>
        <w:pStyle w:val="Heading3"/>
        <w:spacing w:before="200" w:after="100"/>
      </w:pPr>
      <w:r>
        <w:rPr>
          <w:b/>
          <w:bCs/>
          <w:color w:val="2E75B6"/>
        </w:rPr>
        <w:t>Finding 3</w:t>
      </w:r>
    </w:p>
    <w:p w14:paraId="4BB70418" w14:textId="77777777" w:rsidR="00166B99" w:rsidRDefault="001A0AEF">
      <w:pPr>
        <w:spacing w:after="160" w:line="276" w:lineRule="auto"/>
      </w:pPr>
      <w:r>
        <w:t>Most investor transactions were SIPs, confirming that systematic, disciplined investing is the dominant mode of participation among retail investors in the dataset.</w:t>
      </w:r>
    </w:p>
    <w:p w14:paraId="4724EBCD" w14:textId="77777777" w:rsidR="00166B99" w:rsidRDefault="001A0AEF">
      <w:pPr>
        <w:pStyle w:val="Heading3"/>
        <w:spacing w:before="200" w:after="100"/>
      </w:pPr>
      <w:r>
        <w:rPr>
          <w:b/>
          <w:bCs/>
          <w:color w:val="2E75B6"/>
        </w:rPr>
        <w:t>Finding 4</w:t>
      </w:r>
    </w:p>
    <w:p w14:paraId="6E770491" w14:textId="77777777" w:rsidR="00166B99" w:rsidRDefault="001A0AEF">
      <w:pPr>
        <w:spacing w:after="160" w:line="276" w:lineRule="auto"/>
      </w:pPr>
      <w:r>
        <w:t>Investors aged 26–35 invested the largest average SIP amounts, suggesting this age group represents a key segment for targeted product design and engagement.</w:t>
      </w:r>
    </w:p>
    <w:p w14:paraId="66F71A7F" w14:textId="77777777" w:rsidR="00166B99" w:rsidRDefault="001A0AEF">
      <w:pPr>
        <w:pStyle w:val="Heading3"/>
        <w:spacing w:before="200" w:after="100"/>
      </w:pPr>
      <w:r>
        <w:rPr>
          <w:b/>
          <w:bCs/>
          <w:color w:val="2E75B6"/>
        </w:rPr>
        <w:t>Finding 5</w:t>
      </w:r>
    </w:p>
    <w:p w14:paraId="30C062AA" w14:textId="77777777" w:rsidR="00166B99" w:rsidRDefault="001A0AEF">
      <w:pPr>
        <w:spacing w:after="160" w:line="276" w:lineRule="auto"/>
      </w:pPr>
      <w:r>
        <w:t>Several funds exhibited low Value at Risk while maintaining strong Sharpe Ratios, indicating attractive risk-adjusted performance and making them strong candidates for conservative-to-moderate investor recommendations.</w:t>
      </w:r>
    </w:p>
    <w:p w14:paraId="5F95D625" w14:textId="77777777" w:rsidR="00166B99" w:rsidRDefault="001A0AEF">
      <w:pPr>
        <w:pStyle w:val="Heading1"/>
        <w:pBdr>
          <w:bottom w:val="single" w:sz="8" w:space="4" w:color="1F4E79"/>
        </w:pBdr>
        <w:spacing w:before="400" w:after="200"/>
      </w:pPr>
      <w:r>
        <w:rPr>
          <w:b/>
          <w:bCs/>
          <w:color w:val="1F4E79"/>
        </w:rPr>
        <w:t>12. Challenges Faced</w:t>
      </w:r>
    </w:p>
    <w:p w14:paraId="124520BC" w14:textId="77777777" w:rsidR="00166B99" w:rsidRDefault="001A0AEF">
      <w:pPr>
        <w:spacing w:after="160" w:line="276" w:lineRule="auto"/>
      </w:pPr>
      <w:r>
        <w:t>Several practical challenges were encountered and resolved during the course of this project:</w:t>
      </w:r>
    </w:p>
    <w:p w14:paraId="0105973B" w14:textId="77777777" w:rsidR="00166B99" w:rsidRDefault="001A0AEF">
      <w:pPr>
        <w:pStyle w:val="ListParagraph"/>
        <w:numPr>
          <w:ilvl w:val="0"/>
          <w:numId w:val="2"/>
        </w:numPr>
        <w:spacing w:after="80"/>
      </w:pPr>
      <w:r>
        <w:t>Missing NAV values across certain schemes and date ranges, requiring careful imputation</w:t>
      </w:r>
    </w:p>
    <w:p w14:paraId="4E87581F" w14:textId="77777777" w:rsidR="00166B99" w:rsidRDefault="001A0AEF">
      <w:pPr>
        <w:pStyle w:val="ListParagraph"/>
        <w:numPr>
          <w:ilvl w:val="0"/>
          <w:numId w:val="2"/>
        </w:numPr>
        <w:spacing w:after="80"/>
      </w:pPr>
      <w:r>
        <w:t>Category inconsistencies across datasets originating from different sources</w:t>
      </w:r>
    </w:p>
    <w:p w14:paraId="394C851D" w14:textId="77777777" w:rsidR="00166B99" w:rsidRDefault="001A0AEF">
      <w:pPr>
        <w:pStyle w:val="ListParagraph"/>
        <w:numPr>
          <w:ilvl w:val="0"/>
          <w:numId w:val="2"/>
        </w:numPr>
        <w:spacing w:after="80"/>
      </w:pPr>
      <w:r>
        <w:t>Establishing correct relationships between tables within the Power BI data model</w:t>
      </w:r>
    </w:p>
    <w:p w14:paraId="479B8566" w14:textId="77777777" w:rsidR="00166B99" w:rsidRDefault="001A0AEF">
      <w:pPr>
        <w:pStyle w:val="ListParagraph"/>
        <w:numPr>
          <w:ilvl w:val="0"/>
          <w:numId w:val="2"/>
        </w:numPr>
        <w:spacing w:after="80"/>
      </w:pPr>
      <w:r>
        <w:t>Implementing drill-through navigation from summary to scheme-level detail</w:t>
      </w:r>
    </w:p>
    <w:p w14:paraId="3459680E" w14:textId="77777777" w:rsidR="00166B99" w:rsidRDefault="001A0AEF">
      <w:pPr>
        <w:pStyle w:val="ListParagraph"/>
        <w:numPr>
          <w:ilvl w:val="0"/>
          <w:numId w:val="2"/>
        </w:numPr>
        <w:spacing w:after="80"/>
      </w:pPr>
      <w:r>
        <w:t>Reconciling multiple datasets with different levels of granularity (daily, monthly, transaction-level)</w:t>
      </w:r>
    </w:p>
    <w:p w14:paraId="64F9BE4B" w14:textId="77777777" w:rsidR="00166B99" w:rsidRDefault="001A0AEF">
      <w:r>
        <w:br w:type="page"/>
      </w:r>
    </w:p>
    <w:p w14:paraId="5C0641F3" w14:textId="77777777" w:rsidR="00166B99" w:rsidRDefault="001A0AEF">
      <w:pPr>
        <w:pStyle w:val="Heading1"/>
        <w:pBdr>
          <w:bottom w:val="single" w:sz="8" w:space="4" w:color="1F4E79"/>
        </w:pBdr>
        <w:spacing w:before="400" w:after="200"/>
      </w:pPr>
      <w:r>
        <w:rPr>
          <w:b/>
          <w:bCs/>
          <w:color w:val="1F4E79"/>
        </w:rPr>
        <w:lastRenderedPageBreak/>
        <w:t>13. Conclusion</w:t>
      </w:r>
    </w:p>
    <w:p w14:paraId="771CE708" w14:textId="77777777" w:rsidR="00166B99" w:rsidRDefault="001A0AEF">
      <w:pPr>
        <w:spacing w:after="160" w:line="276" w:lineRule="auto"/>
      </w:pPr>
      <w:r>
        <w:t>This project successfully demonstrates an end-to-end mutual fund analytics solution using Python, SQLite, SQL, and Power BI. Beginning with raw financial datasets, an automated ETL pipeline was developed to clean and transform the data into an analysis-ready format. Performance metrics such as CAGR, Sharpe Ratio, Alpha, Beta, and Maximum Drawdown were computed to evaluate mutual fund performance.</w:t>
      </w:r>
    </w:p>
    <w:p w14:paraId="2AD8235B" w14:textId="77777777" w:rsidR="00166B99" w:rsidRDefault="001A0AEF">
      <w:pPr>
        <w:spacing w:after="160" w:line="276" w:lineRule="auto"/>
      </w:pPr>
      <w:r>
        <w:t xml:space="preserve">Interactive Power BI dashboards were designed to provide insights into industry trends, fund performance, investor behaviour, and SIP inflows. Advanced analytical techniques including Historical </w:t>
      </w:r>
      <w:proofErr w:type="spellStart"/>
      <w:r>
        <w:t>VaR</w:t>
      </w:r>
      <w:proofErr w:type="spellEnd"/>
      <w:r>
        <w:t>, Rolling Sharpe Ratio, Investor Cohort Analysis, SIP Continuity Analysis, Fund Recommendation, and Sector Concentration (HHI) further enhanced the analytical depth of the project.</w:t>
      </w:r>
    </w:p>
    <w:p w14:paraId="40D120DE" w14:textId="77777777" w:rsidR="00166B99" w:rsidRDefault="001A0AEF">
      <w:pPr>
        <w:spacing w:after="160" w:line="276" w:lineRule="auto"/>
      </w:pPr>
      <w:r>
        <w:t>Overall, the project demonstrates practical applications of data engineering, financial analytics, SQL querying, data visualization, and business intelligence, enabling data-driven investment analysis and supporting informed decision-making.</w:t>
      </w:r>
    </w:p>
    <w:p w14:paraId="31E6B114" w14:textId="77777777" w:rsidR="00166B99" w:rsidRDefault="001A0AEF">
      <w:pPr>
        <w:pStyle w:val="Heading1"/>
        <w:pBdr>
          <w:bottom w:val="single" w:sz="8" w:space="4" w:color="1F4E79"/>
        </w:pBdr>
        <w:spacing w:before="400" w:after="200"/>
      </w:pPr>
      <w:r>
        <w:rPr>
          <w:b/>
          <w:bCs/>
          <w:color w:val="1F4E79"/>
        </w:rPr>
        <w:t>14. Future Scope</w:t>
      </w:r>
    </w:p>
    <w:p w14:paraId="7A240A3A" w14:textId="77777777" w:rsidR="00166B99" w:rsidRDefault="001A0AEF">
      <w:pPr>
        <w:spacing w:after="160" w:line="276" w:lineRule="auto"/>
      </w:pPr>
      <w:r>
        <w:t>The current solution can be extended in several directions to increase its analytical depth and real-world usability:</w:t>
      </w:r>
    </w:p>
    <w:p w14:paraId="53A95B97" w14:textId="77777777" w:rsidR="00166B99" w:rsidRDefault="001A0AEF">
      <w:pPr>
        <w:pStyle w:val="ListParagraph"/>
        <w:numPr>
          <w:ilvl w:val="0"/>
          <w:numId w:val="2"/>
        </w:numPr>
        <w:spacing w:after="80"/>
      </w:pPr>
      <w:r>
        <w:t>Live NAV integration using the MFAPI public API for real-time data updates</w:t>
      </w:r>
    </w:p>
    <w:p w14:paraId="232B87E6" w14:textId="77777777" w:rsidR="00166B99" w:rsidRDefault="001A0AEF">
      <w:pPr>
        <w:pStyle w:val="ListParagraph"/>
        <w:numPr>
          <w:ilvl w:val="0"/>
          <w:numId w:val="2"/>
        </w:numPr>
        <w:spacing w:after="80"/>
      </w:pPr>
      <w:r>
        <w:t xml:space="preserve">A </w:t>
      </w:r>
      <w:proofErr w:type="spellStart"/>
      <w:r>
        <w:t>Streamlit</w:t>
      </w:r>
      <w:proofErr w:type="spellEnd"/>
      <w:r>
        <w:t>-based web application for interactive, self-service exploration</w:t>
      </w:r>
    </w:p>
    <w:p w14:paraId="58094670" w14:textId="77777777" w:rsidR="00166B99" w:rsidRDefault="001A0AEF">
      <w:pPr>
        <w:pStyle w:val="ListParagraph"/>
        <w:numPr>
          <w:ilvl w:val="0"/>
          <w:numId w:val="2"/>
        </w:numPr>
        <w:spacing w:after="80"/>
      </w:pPr>
      <w:r>
        <w:t>Monte Carlo simulation of NAV paths for probabilistic forecasting</w:t>
      </w:r>
    </w:p>
    <w:p w14:paraId="76E02641" w14:textId="77777777" w:rsidR="00166B99" w:rsidRDefault="001A0AEF">
      <w:pPr>
        <w:pStyle w:val="ListParagraph"/>
        <w:numPr>
          <w:ilvl w:val="0"/>
          <w:numId w:val="2"/>
        </w:numPr>
        <w:spacing w:after="80"/>
      </w:pPr>
      <w:r>
        <w:t>Portfolio optimization using the Markowitz Efficient Frontier</w:t>
      </w:r>
    </w:p>
    <w:p w14:paraId="10287737" w14:textId="77777777" w:rsidR="00166B99" w:rsidRDefault="001A0AEF">
      <w:pPr>
        <w:pStyle w:val="ListParagraph"/>
        <w:numPr>
          <w:ilvl w:val="0"/>
          <w:numId w:val="2"/>
        </w:numPr>
        <w:spacing w:after="80"/>
      </w:pPr>
      <w:r>
        <w:t>Automated, scheduled email reports for stakeholders</w:t>
      </w:r>
    </w:p>
    <w:p w14:paraId="7B722629" w14:textId="77777777" w:rsidR="00166B99" w:rsidRDefault="001A0AEF">
      <w:pPr>
        <w:pStyle w:val="ListParagraph"/>
        <w:numPr>
          <w:ilvl w:val="0"/>
          <w:numId w:val="2"/>
        </w:numPr>
        <w:spacing w:after="80"/>
      </w:pPr>
      <w:r>
        <w:t>A machine learning–based fund recommendation system to replace the current rule-based engine</w:t>
      </w:r>
    </w:p>
    <w:p w14:paraId="652EE10A" w14:textId="77777777" w:rsidR="00166B99" w:rsidRDefault="001A0AEF">
      <w:r>
        <w:br w:type="page"/>
      </w:r>
    </w:p>
    <w:p w14:paraId="527C1712" w14:textId="77777777" w:rsidR="00166B99" w:rsidRDefault="001A0AEF">
      <w:pPr>
        <w:pStyle w:val="Heading1"/>
        <w:pBdr>
          <w:bottom w:val="single" w:sz="8" w:space="4" w:color="1F4E79"/>
        </w:pBdr>
        <w:spacing w:before="400" w:after="200"/>
      </w:pPr>
      <w:r>
        <w:rPr>
          <w:b/>
          <w:bCs/>
          <w:color w:val="1F4E79"/>
        </w:rPr>
        <w:lastRenderedPageBreak/>
        <w:t>Appendix</w:t>
      </w:r>
    </w:p>
    <w:p w14:paraId="7D8DF097" w14:textId="77777777" w:rsidR="00166B99" w:rsidRDefault="001A0AEF">
      <w:pPr>
        <w:pStyle w:val="Heading2"/>
        <w:spacing w:before="300" w:after="150"/>
      </w:pPr>
      <w:r>
        <w:rPr>
          <w:b/>
          <w:bCs/>
          <w:color w:val="1F4E79"/>
        </w:rPr>
        <w:t>A.1 Folder Structure</w:t>
      </w:r>
    </w:p>
    <w:p w14:paraId="4953D601" w14:textId="333831E8" w:rsidR="00166B99" w:rsidRDefault="001A0AEF">
      <w:pPr>
        <w:pBdr>
          <w:top w:val="dashed" w:sz="6" w:space="0" w:color="8FAADC"/>
          <w:left w:val="dashed" w:sz="6" w:space="0" w:color="8FAADC"/>
          <w:bottom w:val="dashed" w:sz="6" w:space="0" w:color="8FAADC"/>
          <w:right w:val="dashed" w:sz="6" w:space="0" w:color="8FAADC"/>
        </w:pBdr>
        <w:shd w:val="clear" w:color="auto" w:fill="F7F9FC"/>
        <w:spacing w:before="120" w:after="240"/>
        <w:jc w:val="center"/>
      </w:pPr>
      <w:r>
        <w:rPr>
          <w:i/>
          <w:iCs/>
          <w:color w:val="2E75B6"/>
        </w:rPr>
        <w:br/>
      </w:r>
      <w:r w:rsidR="009E5876" w:rsidRPr="009E5876">
        <w:rPr>
          <w:i/>
          <w:iCs/>
          <w:noProof/>
          <w:color w:val="595959"/>
        </w:rPr>
        <w:drawing>
          <wp:inline distT="0" distB="0" distL="0" distR="0" wp14:anchorId="1F2A7292" wp14:editId="18898499">
            <wp:extent cx="1981200" cy="4821381"/>
            <wp:effectExtent l="0" t="0" r="0" b="0"/>
            <wp:docPr id="15363169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5956" cy="4954633"/>
                    </a:xfrm>
                    <a:prstGeom prst="rect">
                      <a:avLst/>
                    </a:prstGeom>
                    <a:noFill/>
                    <a:ln>
                      <a:noFill/>
                    </a:ln>
                  </pic:spPr>
                </pic:pic>
              </a:graphicData>
            </a:graphic>
          </wp:inline>
        </w:drawing>
      </w:r>
      <w:r>
        <w:rPr>
          <w:i/>
          <w:iCs/>
          <w:color w:val="595959"/>
        </w:rPr>
        <w:br/>
        <w:t>Figure A.1: Project folder structure (VS Code)</w:t>
      </w:r>
    </w:p>
    <w:p w14:paraId="3045B5A9" w14:textId="77777777" w:rsidR="00166B99" w:rsidRDefault="001A0AEF">
      <w:pPr>
        <w:pStyle w:val="Heading2"/>
        <w:spacing w:before="300" w:after="150"/>
      </w:pPr>
      <w:r>
        <w:rPr>
          <w:b/>
          <w:bCs/>
          <w:color w:val="1F4E79"/>
        </w:rPr>
        <w:t>A.2 SQL Queries</w:t>
      </w:r>
    </w:p>
    <w:p w14:paraId="7D56F14D" w14:textId="77777777" w:rsidR="00166B99" w:rsidRDefault="001A0AEF">
      <w:pPr>
        <w:spacing w:after="160" w:line="276" w:lineRule="auto"/>
      </w:pPr>
      <w:r>
        <w:t xml:space="preserve">Refer to </w:t>
      </w:r>
      <w:proofErr w:type="spellStart"/>
      <w:r>
        <w:t>queries.sql</w:t>
      </w:r>
      <w:proofErr w:type="spellEnd"/>
      <w:r>
        <w:t xml:space="preserve"> for the complete list of queries used for aggregation, ranking, and reporting throughout this project.</w:t>
      </w:r>
    </w:p>
    <w:p w14:paraId="0B74202B" w14:textId="77777777" w:rsidR="00166B99" w:rsidRDefault="001A0AEF">
      <w:pPr>
        <w:pStyle w:val="Heading2"/>
        <w:spacing w:before="300" w:after="150"/>
      </w:pPr>
      <w:r>
        <w:rPr>
          <w:b/>
          <w:bCs/>
          <w:color w:val="1F4E79"/>
        </w:rPr>
        <w:t>A.3 Data Dictionary</w:t>
      </w:r>
    </w:p>
    <w:p w14:paraId="0102DB94" w14:textId="77777777" w:rsidR="00166B99" w:rsidRDefault="001A0AEF">
      <w:pPr>
        <w:spacing w:after="160" w:line="276" w:lineRule="auto"/>
      </w:pPr>
      <w:r>
        <w:t>A complete field-level data dictionary describing each column across the seven datasets is maintained alongside the project source files.</w:t>
      </w:r>
    </w:p>
    <w:p w14:paraId="65AE7AF4" w14:textId="77777777" w:rsidR="00166B99" w:rsidRDefault="001A0AEF">
      <w:pPr>
        <w:pStyle w:val="Heading2"/>
        <w:spacing w:before="300" w:after="150"/>
      </w:pPr>
      <w:r>
        <w:rPr>
          <w:b/>
          <w:bCs/>
          <w:color w:val="1F4E79"/>
        </w:rPr>
        <w:t>A.4 GitHub Repository</w:t>
      </w:r>
    </w:p>
    <w:p w14:paraId="71AFD9B3" w14:textId="5881F438" w:rsidR="00166B99" w:rsidRDefault="00242893">
      <w:pPr>
        <w:spacing w:after="160" w:line="276" w:lineRule="auto"/>
      </w:pPr>
      <w:hyperlink r:id="rId16" w:history="1">
        <w:r w:rsidRPr="00242893">
          <w:rPr>
            <w:rStyle w:val="Hyperlink"/>
          </w:rPr>
          <w:t>https://github.com/SathvikaGNaik/mutual-fund-analytics</w:t>
        </w:r>
      </w:hyperlink>
    </w:p>
    <w:sectPr w:rsidR="00166B99">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4615A" w14:textId="77777777" w:rsidR="002267C3" w:rsidRDefault="002267C3">
      <w:r>
        <w:separator/>
      </w:r>
    </w:p>
  </w:endnote>
  <w:endnote w:type="continuationSeparator" w:id="0">
    <w:p w14:paraId="722360EB" w14:textId="77777777" w:rsidR="002267C3" w:rsidRDefault="00226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BAA04" w14:textId="77777777" w:rsidR="00166B99" w:rsidRDefault="001A0AEF">
    <w:pPr>
      <w:pBdr>
        <w:top w:val="single" w:sz="4" w:space="4" w:color="BFBFBF"/>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D70E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2D70E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20C10" w14:textId="77777777" w:rsidR="002267C3" w:rsidRDefault="002267C3">
      <w:r>
        <w:separator/>
      </w:r>
    </w:p>
  </w:footnote>
  <w:footnote w:type="continuationSeparator" w:id="0">
    <w:p w14:paraId="250C51B5" w14:textId="77777777" w:rsidR="002267C3" w:rsidRDefault="002267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233F4" w14:textId="77777777" w:rsidR="00166B99" w:rsidRDefault="001A0AEF">
    <w:pPr>
      <w:pBdr>
        <w:bottom w:val="single" w:sz="4" w:space="4" w:color="BFBFBF"/>
      </w:pBdr>
      <w:jc w:val="right"/>
    </w:pPr>
    <w:r>
      <w:rPr>
        <w:i/>
        <w:iCs/>
        <w:color w:val="595959"/>
        <w:sz w:val="18"/>
        <w:szCs w:val="18"/>
      </w:rPr>
      <w:t>Bluestock Mutual Fund Analytics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9700F"/>
    <w:multiLevelType w:val="hybridMultilevel"/>
    <w:tmpl w:val="6B0C2A50"/>
    <w:lvl w:ilvl="0" w:tplc="CA747038">
      <w:start w:val="1"/>
      <w:numFmt w:val="bullet"/>
      <w:lvlText w:val="•"/>
      <w:lvlJc w:val="left"/>
      <w:pPr>
        <w:ind w:left="720" w:hanging="360"/>
      </w:pPr>
    </w:lvl>
    <w:lvl w:ilvl="1" w:tplc="7BC6CA66">
      <w:numFmt w:val="decimal"/>
      <w:lvlText w:val=""/>
      <w:lvlJc w:val="left"/>
    </w:lvl>
    <w:lvl w:ilvl="2" w:tplc="55369008">
      <w:numFmt w:val="decimal"/>
      <w:lvlText w:val=""/>
      <w:lvlJc w:val="left"/>
    </w:lvl>
    <w:lvl w:ilvl="3" w:tplc="E9F87952">
      <w:numFmt w:val="decimal"/>
      <w:lvlText w:val=""/>
      <w:lvlJc w:val="left"/>
    </w:lvl>
    <w:lvl w:ilvl="4" w:tplc="B3400F1C">
      <w:numFmt w:val="decimal"/>
      <w:lvlText w:val=""/>
      <w:lvlJc w:val="left"/>
    </w:lvl>
    <w:lvl w:ilvl="5" w:tplc="0CDEE320">
      <w:numFmt w:val="decimal"/>
      <w:lvlText w:val=""/>
      <w:lvlJc w:val="left"/>
    </w:lvl>
    <w:lvl w:ilvl="6" w:tplc="FC6088AE">
      <w:numFmt w:val="decimal"/>
      <w:lvlText w:val=""/>
      <w:lvlJc w:val="left"/>
    </w:lvl>
    <w:lvl w:ilvl="7" w:tplc="1AA8EF4C">
      <w:numFmt w:val="decimal"/>
      <w:lvlText w:val=""/>
      <w:lvlJc w:val="left"/>
    </w:lvl>
    <w:lvl w:ilvl="8" w:tplc="DC344306">
      <w:numFmt w:val="decimal"/>
      <w:lvlText w:val=""/>
      <w:lvlJc w:val="left"/>
    </w:lvl>
  </w:abstractNum>
  <w:abstractNum w:abstractNumId="1" w15:restartNumberingAfterBreak="0">
    <w:nsid w:val="5E6B062D"/>
    <w:multiLevelType w:val="hybridMultilevel"/>
    <w:tmpl w:val="1ECA8664"/>
    <w:lvl w:ilvl="0" w:tplc="124C2E64">
      <w:start w:val="1"/>
      <w:numFmt w:val="bullet"/>
      <w:lvlText w:val="●"/>
      <w:lvlJc w:val="left"/>
      <w:pPr>
        <w:ind w:left="720" w:hanging="360"/>
      </w:pPr>
    </w:lvl>
    <w:lvl w:ilvl="1" w:tplc="F9421910">
      <w:start w:val="1"/>
      <w:numFmt w:val="bullet"/>
      <w:lvlText w:val="○"/>
      <w:lvlJc w:val="left"/>
      <w:pPr>
        <w:ind w:left="1440" w:hanging="360"/>
      </w:pPr>
    </w:lvl>
    <w:lvl w:ilvl="2" w:tplc="CAFCBB56">
      <w:start w:val="1"/>
      <w:numFmt w:val="bullet"/>
      <w:lvlText w:val="■"/>
      <w:lvlJc w:val="left"/>
      <w:pPr>
        <w:ind w:left="2160" w:hanging="360"/>
      </w:pPr>
    </w:lvl>
    <w:lvl w:ilvl="3" w:tplc="59F69B30">
      <w:start w:val="1"/>
      <w:numFmt w:val="bullet"/>
      <w:lvlText w:val="●"/>
      <w:lvlJc w:val="left"/>
      <w:pPr>
        <w:ind w:left="2880" w:hanging="360"/>
      </w:pPr>
    </w:lvl>
    <w:lvl w:ilvl="4" w:tplc="032AB366">
      <w:start w:val="1"/>
      <w:numFmt w:val="bullet"/>
      <w:lvlText w:val="○"/>
      <w:lvlJc w:val="left"/>
      <w:pPr>
        <w:ind w:left="3600" w:hanging="360"/>
      </w:pPr>
    </w:lvl>
    <w:lvl w:ilvl="5" w:tplc="E1A29AA0">
      <w:start w:val="1"/>
      <w:numFmt w:val="bullet"/>
      <w:lvlText w:val="■"/>
      <w:lvlJc w:val="left"/>
      <w:pPr>
        <w:ind w:left="4320" w:hanging="360"/>
      </w:pPr>
    </w:lvl>
    <w:lvl w:ilvl="6" w:tplc="863E7372">
      <w:start w:val="1"/>
      <w:numFmt w:val="bullet"/>
      <w:lvlText w:val="●"/>
      <w:lvlJc w:val="left"/>
      <w:pPr>
        <w:ind w:left="5040" w:hanging="360"/>
      </w:pPr>
    </w:lvl>
    <w:lvl w:ilvl="7" w:tplc="7BD0633C">
      <w:start w:val="1"/>
      <w:numFmt w:val="bullet"/>
      <w:lvlText w:val="●"/>
      <w:lvlJc w:val="left"/>
      <w:pPr>
        <w:ind w:left="5760" w:hanging="360"/>
      </w:pPr>
    </w:lvl>
    <w:lvl w:ilvl="8" w:tplc="7AB84CA2">
      <w:start w:val="1"/>
      <w:numFmt w:val="bullet"/>
      <w:lvlText w:val="●"/>
      <w:lvlJc w:val="left"/>
      <w:pPr>
        <w:ind w:left="6480" w:hanging="360"/>
      </w:pPr>
    </w:lvl>
  </w:abstractNum>
  <w:num w:numId="1" w16cid:durableId="701444301">
    <w:abstractNumId w:val="1"/>
    <w:lvlOverride w:ilvl="0">
      <w:startOverride w:val="1"/>
    </w:lvlOverride>
  </w:num>
  <w:num w:numId="2" w16cid:durableId="36510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B99"/>
    <w:rsid w:val="00157520"/>
    <w:rsid w:val="001644F2"/>
    <w:rsid w:val="00166B99"/>
    <w:rsid w:val="001941D7"/>
    <w:rsid w:val="001A0AEF"/>
    <w:rsid w:val="001E7063"/>
    <w:rsid w:val="002267C3"/>
    <w:rsid w:val="00242893"/>
    <w:rsid w:val="002A7456"/>
    <w:rsid w:val="002D70E4"/>
    <w:rsid w:val="002F7180"/>
    <w:rsid w:val="00332968"/>
    <w:rsid w:val="00343B6C"/>
    <w:rsid w:val="003725FF"/>
    <w:rsid w:val="00477E47"/>
    <w:rsid w:val="004A67E6"/>
    <w:rsid w:val="004B2E56"/>
    <w:rsid w:val="005711A7"/>
    <w:rsid w:val="005D6E21"/>
    <w:rsid w:val="006D5724"/>
    <w:rsid w:val="00715578"/>
    <w:rsid w:val="007C5448"/>
    <w:rsid w:val="007F09A0"/>
    <w:rsid w:val="007F6B43"/>
    <w:rsid w:val="0089606C"/>
    <w:rsid w:val="00973A2C"/>
    <w:rsid w:val="009C4DBD"/>
    <w:rsid w:val="009E5876"/>
    <w:rsid w:val="00A609B4"/>
    <w:rsid w:val="00A80D51"/>
    <w:rsid w:val="00B4701D"/>
    <w:rsid w:val="00C568DC"/>
    <w:rsid w:val="00D463E5"/>
    <w:rsid w:val="00D859DF"/>
    <w:rsid w:val="00DC11D7"/>
    <w:rsid w:val="00DE31BD"/>
    <w:rsid w:val="00DF2726"/>
    <w:rsid w:val="00DF5FB0"/>
    <w:rsid w:val="00E54791"/>
    <w:rsid w:val="00EB7A63"/>
    <w:rsid w:val="00F77566"/>
    <w:rsid w:val="00FA071C"/>
    <w:rsid w:val="00FE3126"/>
    <w:rsid w:val="00FE4F21"/>
    <w:rsid w:val="00FF1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7301"/>
  <w15:docId w15:val="{ADC93C22-EA9A-40E4-BDCB-1171FA37D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F7180"/>
    <w:rPr>
      <w:sz w:val="24"/>
      <w:szCs w:val="24"/>
    </w:rPr>
  </w:style>
  <w:style w:type="character" w:styleId="UnresolvedMention">
    <w:name w:val="Unresolved Mention"/>
    <w:basedOn w:val="DefaultParagraphFont"/>
    <w:uiPriority w:val="99"/>
    <w:semiHidden/>
    <w:unhideWhenUsed/>
    <w:rsid w:val="00DE3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SathvikaGNaik/mutual-fund-analyti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14</Pages>
  <Words>1998</Words>
  <Characters>11389</Characters>
  <Application>Microsoft Office Word</Application>
  <DocSecurity>0</DocSecurity>
  <Lines>94</Lines>
  <Paragraphs>26</Paragraphs>
  <ScaleCrop>false</ScaleCrop>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Bluestock Mutual Fund Analytics Capstone Project</dc:title>
  <dc:creator>Sathvika Naik</dc:creator>
  <cp:lastModifiedBy>Sathvika Naik</cp:lastModifiedBy>
  <cp:revision>39</cp:revision>
  <cp:lastPrinted>2026-07-13T16:43:00Z</cp:lastPrinted>
  <dcterms:created xsi:type="dcterms:W3CDTF">2026-07-12T07:49:00Z</dcterms:created>
  <dcterms:modified xsi:type="dcterms:W3CDTF">2026-07-13T16:50:00Z</dcterms:modified>
</cp:coreProperties>
</file>