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4F0F" w14:textId="77777777" w:rsidR="00E1163C" w:rsidRDefault="00000000">
      <w:pPr>
        <w:jc w:val="center"/>
      </w:pPr>
      <w:r>
        <w:rPr>
          <w:b/>
          <w:sz w:val="48"/>
        </w:rPr>
        <w:t>VOICEOVER SCRIPT</w:t>
      </w:r>
    </w:p>
    <w:p w14:paraId="1E2DE4CB" w14:textId="77777777" w:rsidR="00E1163C" w:rsidRDefault="00000000">
      <w:pPr>
        <w:jc w:val="center"/>
      </w:pPr>
      <w:r>
        <w:rPr>
          <w:b/>
          <w:sz w:val="32"/>
        </w:rPr>
        <w:t>Risk Factors for Diabetes – From Genetics to Lifestyle</w:t>
      </w:r>
    </w:p>
    <w:p w14:paraId="10C3D73A" w14:textId="77777777" w:rsidR="00E1163C" w:rsidRDefault="00E1163C"/>
    <w:p w14:paraId="469CF6C6" w14:textId="77777777" w:rsidR="00E1163C" w:rsidRDefault="00000000">
      <w:r>
        <w:br w:type="page"/>
      </w:r>
    </w:p>
    <w:p w14:paraId="0EB3E3EC" w14:textId="77777777" w:rsidR="00E1163C" w:rsidRDefault="00000000">
      <w:pPr>
        <w:pStyle w:val="Heading1"/>
      </w:pPr>
      <w:r>
        <w:lastRenderedPageBreak/>
        <w:t>Slide 01 — Risk Factors for Diabetes – From Genetics to Lifestyle</w:t>
      </w:r>
    </w:p>
    <w:p w14:paraId="263B8DFB" w14:textId="77777777" w:rsidR="00E1163C" w:rsidRDefault="00000000">
      <w:r>
        <w:rPr>
          <w:b/>
          <w:color w:val="188767"/>
          <w:sz w:val="18"/>
        </w:rPr>
        <w:t>VOICEOVER</w:t>
      </w:r>
    </w:p>
    <w:p w14:paraId="55C2A754" w14:textId="77777777" w:rsidR="00E1163C" w:rsidRDefault="00000000">
      <w:pPr>
        <w:spacing w:after="240"/>
      </w:pPr>
      <w:r>
        <w:t>Welcome to this module on risk factors for diabetes, from genetics to lifestyle. We will look at how genetic susceptibility, body composition, physical activity, diet, and metabolic factors contribute to diabetes risk, and how these factors can help us recognize metabolic vulnerability earlier.</w:t>
      </w:r>
    </w:p>
    <w:p w14:paraId="279A36DB" w14:textId="77777777" w:rsidR="00E1163C" w:rsidRDefault="00000000">
      <w:pPr>
        <w:spacing w:after="100"/>
      </w:pPr>
      <w:r>
        <w:rPr>
          <w:color w:val="D8E1E6"/>
        </w:rPr>
        <w:t>————————————————————————————————————————————————</w:t>
      </w:r>
    </w:p>
    <w:p w14:paraId="62373444" w14:textId="77777777" w:rsidR="00E1163C" w:rsidRDefault="00000000">
      <w:pPr>
        <w:pStyle w:val="Heading1"/>
      </w:pPr>
      <w:r>
        <w:t>Slide 02 — Why Risk Factor Assessment Is Critical</w:t>
      </w:r>
    </w:p>
    <w:p w14:paraId="7ADD0431" w14:textId="77777777" w:rsidR="00E1163C" w:rsidRDefault="00000000">
      <w:r>
        <w:rPr>
          <w:b/>
          <w:color w:val="188767"/>
          <w:sz w:val="18"/>
        </w:rPr>
        <w:t>VOICEOVER</w:t>
      </w:r>
    </w:p>
    <w:p w14:paraId="0BF6D6CC" w14:textId="77777777" w:rsidR="00E1163C" w:rsidRDefault="00000000">
      <w:pPr>
        <w:spacing w:after="240"/>
      </w:pPr>
      <w:r>
        <w:t>Diabetes is not an on-and-off disease. It is a progressive metabolic disorder that develops over many years. By the time fasting glucose crosses 126 milligrams per decilitre, about 50 percent of beta-cell function may already be lost. Microvascular injury may already have begun, and cardiovascular risk may already be elevated. Therefore, risk-factor assessment helps us identify metabolic vulnerability, detect early pathophysiological changes, and intervene before irreversible beta-cell loss.</w:t>
      </w:r>
    </w:p>
    <w:p w14:paraId="179B017D" w14:textId="77777777" w:rsidR="00E1163C" w:rsidRDefault="00000000">
      <w:pPr>
        <w:spacing w:after="100"/>
      </w:pPr>
      <w:r>
        <w:rPr>
          <w:color w:val="D8E1E6"/>
        </w:rPr>
        <w:t>————————————————————————————————————————————————</w:t>
      </w:r>
    </w:p>
    <w:p w14:paraId="3094E6C9" w14:textId="77777777" w:rsidR="00E1163C" w:rsidRDefault="00000000">
      <w:pPr>
        <w:pStyle w:val="Heading1"/>
      </w:pPr>
      <w:r>
        <w:t>Slide 03 — Diabetes as a Continuum</w:t>
      </w:r>
    </w:p>
    <w:p w14:paraId="5B6686B5" w14:textId="77777777" w:rsidR="00E1163C" w:rsidRDefault="00000000">
      <w:r>
        <w:rPr>
          <w:b/>
          <w:color w:val="188767"/>
          <w:sz w:val="18"/>
        </w:rPr>
        <w:t>VOICEOVER</w:t>
      </w:r>
    </w:p>
    <w:p w14:paraId="074AB7DB" w14:textId="77777777" w:rsidR="00E1163C" w:rsidRDefault="00000000">
      <w:pPr>
        <w:spacing w:after="240"/>
      </w:pPr>
      <w:r>
        <w:t>Diabetes progresses through a continuum of clinical stages: normal glucose tolerance, compensated insulin resistance, prediabetes, overt diabetes, and insulin-dependent diabetes. Each stage represents a different degree of metabolic progression, and each stage has distinct laboratory signatures.</w:t>
      </w:r>
    </w:p>
    <w:p w14:paraId="587C07D3" w14:textId="77777777" w:rsidR="00E1163C" w:rsidRDefault="00000000">
      <w:pPr>
        <w:spacing w:after="100"/>
      </w:pPr>
      <w:r>
        <w:rPr>
          <w:color w:val="D8E1E6"/>
        </w:rPr>
        <w:t>————————————————————————————————————————————————</w:t>
      </w:r>
    </w:p>
    <w:p w14:paraId="29451D7E" w14:textId="77777777" w:rsidR="00E1163C" w:rsidRDefault="00000000">
      <w:pPr>
        <w:pStyle w:val="Heading1"/>
      </w:pPr>
      <w:r>
        <w:t>Slide 04 — Two Biological Axes That Determine Risk</w:t>
      </w:r>
    </w:p>
    <w:p w14:paraId="5B893D91" w14:textId="77777777" w:rsidR="00E1163C" w:rsidRDefault="00000000">
      <w:r>
        <w:rPr>
          <w:b/>
          <w:color w:val="188767"/>
          <w:sz w:val="18"/>
        </w:rPr>
        <w:t>VOICEOVER</w:t>
      </w:r>
    </w:p>
    <w:p w14:paraId="3B0BD8DD" w14:textId="77777777" w:rsidR="00E1163C" w:rsidRDefault="00000000">
      <w:pPr>
        <w:spacing w:after="240"/>
      </w:pPr>
      <w:r>
        <w:t>Risk factors act through one or both of two biological axes: insulin resistance and beta-cell reserve. Insulin resistance involves the muscle, liver, and adipose tissue. Beta-cell reserve reflects the ability of the pancreas to compensate. Diabetes develops when insulin resistance exceeds the capacity of the beta cells to compensate.</w:t>
      </w:r>
    </w:p>
    <w:p w14:paraId="508B736C" w14:textId="77777777" w:rsidR="00E1163C" w:rsidRDefault="00000000">
      <w:pPr>
        <w:spacing w:after="100"/>
      </w:pPr>
      <w:r>
        <w:rPr>
          <w:color w:val="D8E1E6"/>
        </w:rPr>
        <w:t>————————————————————————————————————————————————</w:t>
      </w:r>
    </w:p>
    <w:p w14:paraId="10D7C79C" w14:textId="77777777" w:rsidR="00E1163C" w:rsidRDefault="00000000">
      <w:pPr>
        <w:pStyle w:val="Heading1"/>
      </w:pPr>
      <w:r>
        <w:t>Slide 05 — Clinical Meaning of Risk Factors</w:t>
      </w:r>
    </w:p>
    <w:p w14:paraId="41116930" w14:textId="77777777" w:rsidR="00E1163C" w:rsidRDefault="00000000">
      <w:r>
        <w:rPr>
          <w:b/>
          <w:color w:val="188767"/>
          <w:sz w:val="18"/>
        </w:rPr>
        <w:t>VOICEOVER</w:t>
      </w:r>
    </w:p>
    <w:p w14:paraId="53FD3525" w14:textId="77777777" w:rsidR="00E1163C" w:rsidRDefault="00000000">
      <w:pPr>
        <w:spacing w:after="240"/>
      </w:pPr>
      <w:r>
        <w:t>Risk factors are not equal. Some point toward insulin-resistance dominance, particularly obesity and sedentary behaviour. Others suggest beta-cell vulnerability, including family history, a lean Indian phenotype, gestational diabetes, and LADA. Correct interpretation helps determine which tests to order, which diabetes phenotype to expect, and how aggressively to intervene.</w:t>
      </w:r>
    </w:p>
    <w:p w14:paraId="33ECBD0F" w14:textId="77777777" w:rsidR="00E1163C" w:rsidRDefault="00000000">
      <w:pPr>
        <w:spacing w:after="100"/>
      </w:pPr>
      <w:r>
        <w:rPr>
          <w:color w:val="D8E1E6"/>
        </w:rPr>
        <w:lastRenderedPageBreak/>
        <w:t>————————————————————————————————————————————————</w:t>
      </w:r>
    </w:p>
    <w:p w14:paraId="1C1DC284" w14:textId="77777777" w:rsidR="00E1163C" w:rsidRDefault="00000000">
      <w:pPr>
        <w:pStyle w:val="Heading1"/>
      </w:pPr>
      <w:r>
        <w:t>Slide 06 — How Age Increases Diabetes Risk</w:t>
      </w:r>
    </w:p>
    <w:p w14:paraId="3CBC022B" w14:textId="77777777" w:rsidR="00E1163C" w:rsidRDefault="00000000">
      <w:r>
        <w:rPr>
          <w:b/>
          <w:color w:val="188767"/>
          <w:sz w:val="18"/>
        </w:rPr>
        <w:t>VOICEOVER</w:t>
      </w:r>
    </w:p>
    <w:p w14:paraId="13ABF8A7" w14:textId="77777777" w:rsidR="00E1163C" w:rsidRDefault="00000000">
      <w:pPr>
        <w:spacing w:after="240"/>
      </w:pPr>
      <w:r>
        <w:t>With increasing age, beta-cell replication declines, mitochondrial dysfunction increases, oxidative stress increases, and the insulin secretory response is reduced. The clinical implication is that older adults may tolerate metabolic stress poorly and can progress faster.</w:t>
      </w:r>
    </w:p>
    <w:p w14:paraId="476EC7A7" w14:textId="77777777" w:rsidR="00E1163C" w:rsidRDefault="00000000">
      <w:pPr>
        <w:spacing w:after="100"/>
      </w:pPr>
      <w:r>
        <w:rPr>
          <w:color w:val="D8E1E6"/>
        </w:rPr>
        <w:t>————————————————————————————————————————————————</w:t>
      </w:r>
    </w:p>
    <w:p w14:paraId="7FEE3937" w14:textId="77777777" w:rsidR="00E1163C" w:rsidRDefault="00000000">
      <w:pPr>
        <w:pStyle w:val="Heading1"/>
      </w:pPr>
      <w:r>
        <w:t>Slide 07 — Young Age of Onset = Aggressive Biology</w:t>
      </w:r>
    </w:p>
    <w:p w14:paraId="7115F43B" w14:textId="77777777" w:rsidR="00E1163C" w:rsidRDefault="00000000">
      <w:r>
        <w:rPr>
          <w:b/>
          <w:color w:val="188767"/>
          <w:sz w:val="18"/>
        </w:rPr>
        <w:t>VOICEOVER</w:t>
      </w:r>
    </w:p>
    <w:p w14:paraId="72476202" w14:textId="77777777" w:rsidR="00E1163C" w:rsidRDefault="00000000">
      <w:pPr>
        <w:spacing w:after="240"/>
      </w:pPr>
      <w:r>
        <w:t>Young patients with dysglycaemia may have a strong genetic load, early beta-cell vulnerability, and a higher lifetime complication burden. Therefore, dysglycaemia at a young age should never be dismissed.</w:t>
      </w:r>
    </w:p>
    <w:p w14:paraId="3787DA31" w14:textId="77777777" w:rsidR="00E1163C" w:rsidRDefault="00000000">
      <w:pPr>
        <w:spacing w:after="100"/>
      </w:pPr>
      <w:r>
        <w:rPr>
          <w:color w:val="D8E1E6"/>
        </w:rPr>
        <w:t>————————————————————————————————————————————————</w:t>
      </w:r>
    </w:p>
    <w:p w14:paraId="71CA6031" w14:textId="77777777" w:rsidR="00E1163C" w:rsidRDefault="00000000">
      <w:pPr>
        <w:pStyle w:val="Heading1"/>
      </w:pPr>
      <w:r>
        <w:t>Slide 08 — South Asian / Indian Diabetes Phenotype</w:t>
      </w:r>
    </w:p>
    <w:p w14:paraId="7BD92232" w14:textId="77777777" w:rsidR="00E1163C" w:rsidRDefault="00000000">
      <w:r>
        <w:rPr>
          <w:b/>
          <w:color w:val="188767"/>
          <w:sz w:val="18"/>
        </w:rPr>
        <w:t>VOICEOVER</w:t>
      </w:r>
    </w:p>
    <w:p w14:paraId="5401D5AB" w14:textId="77777777" w:rsidR="00E1163C" w:rsidRDefault="00000000">
      <w:pPr>
        <w:spacing w:after="240"/>
      </w:pPr>
      <w:r>
        <w:t>The South Asian or Indian phenotype is characterized by higher visceral fat at a lower BMI, lower skeletal muscle mass, higher hepatic fat, early insulin resistance, and limited beta-cell reserve. As a result, diabetes can develop at a lower BMI and at a younger age.</w:t>
      </w:r>
    </w:p>
    <w:p w14:paraId="656EE48D" w14:textId="77777777" w:rsidR="00E1163C" w:rsidRDefault="00000000">
      <w:pPr>
        <w:spacing w:after="100"/>
      </w:pPr>
      <w:r>
        <w:rPr>
          <w:color w:val="D8E1E6"/>
        </w:rPr>
        <w:t>————————————————————————————————————————————————</w:t>
      </w:r>
    </w:p>
    <w:p w14:paraId="6A42D07C" w14:textId="77777777" w:rsidR="00E1163C" w:rsidRDefault="00000000">
      <w:pPr>
        <w:pStyle w:val="Heading1"/>
      </w:pPr>
      <w:r>
        <w:t>Slide 09 — Clinical Consequence</w:t>
      </w:r>
    </w:p>
    <w:p w14:paraId="20450808" w14:textId="77777777" w:rsidR="00E1163C" w:rsidRDefault="00000000">
      <w:r>
        <w:rPr>
          <w:b/>
          <w:color w:val="188767"/>
          <w:sz w:val="18"/>
        </w:rPr>
        <w:t>VOICEOVER</w:t>
      </w:r>
    </w:p>
    <w:p w14:paraId="1351CC5D" w14:textId="77777777" w:rsidR="00E1163C" w:rsidRDefault="00000000">
      <w:pPr>
        <w:spacing w:after="240"/>
      </w:pPr>
      <w:r>
        <w:t>A lean Indian patient with hyperglycaemia should not automatically be considered to have mild diabetes. The patient may have significant beta-cell dysfunction and may progress rapidly. The clinical phenotype therefore matters, even when body weight appears normal.</w:t>
      </w:r>
    </w:p>
    <w:p w14:paraId="4419BAC4" w14:textId="77777777" w:rsidR="00E1163C" w:rsidRDefault="00000000">
      <w:pPr>
        <w:spacing w:after="100"/>
      </w:pPr>
      <w:r>
        <w:rPr>
          <w:color w:val="D8E1E6"/>
        </w:rPr>
        <w:t>————————————————————————————————————————————————</w:t>
      </w:r>
    </w:p>
    <w:p w14:paraId="2A1EC6C6" w14:textId="77777777" w:rsidR="00E1163C" w:rsidRDefault="00000000">
      <w:pPr>
        <w:pStyle w:val="Heading1"/>
      </w:pPr>
      <w:r>
        <w:t>Slide 10 — What Family History Truly Represents</w:t>
      </w:r>
    </w:p>
    <w:p w14:paraId="79BC5E09" w14:textId="77777777" w:rsidR="00E1163C" w:rsidRDefault="00000000">
      <w:r>
        <w:rPr>
          <w:b/>
          <w:color w:val="188767"/>
          <w:sz w:val="18"/>
        </w:rPr>
        <w:t>VOICEOVER</w:t>
      </w:r>
    </w:p>
    <w:p w14:paraId="4A7083BE" w14:textId="77777777" w:rsidR="00E1163C" w:rsidRDefault="00000000">
      <w:pPr>
        <w:spacing w:after="240"/>
      </w:pPr>
      <w:r>
        <w:t>Family history reflects several influences: polygenic inheritance, shared dietary habits, shared activity patterns, and epigenetic programming. A stronger family history lowers the threshold for developing disease and should increase clinical vigilance.</w:t>
      </w:r>
    </w:p>
    <w:p w14:paraId="597AEF42" w14:textId="77777777" w:rsidR="00E1163C" w:rsidRDefault="00000000">
      <w:pPr>
        <w:spacing w:after="100"/>
      </w:pPr>
      <w:r>
        <w:rPr>
          <w:color w:val="D8E1E6"/>
        </w:rPr>
        <w:t>————————————————————————————————————————————————</w:t>
      </w:r>
    </w:p>
    <w:p w14:paraId="5C398BA5" w14:textId="77777777" w:rsidR="00E1163C" w:rsidRDefault="00000000">
      <w:pPr>
        <w:pStyle w:val="Heading1"/>
      </w:pPr>
      <w:r>
        <w:lastRenderedPageBreak/>
        <w:t>Slide 11 — Laboratory Clue of Genetic β-Cell Weakness</w:t>
      </w:r>
    </w:p>
    <w:p w14:paraId="26AF1C86" w14:textId="77777777" w:rsidR="00E1163C" w:rsidRDefault="00000000">
      <w:r>
        <w:rPr>
          <w:b/>
          <w:color w:val="188767"/>
          <w:sz w:val="18"/>
        </w:rPr>
        <w:t>VOICEOVER</w:t>
      </w:r>
    </w:p>
    <w:p w14:paraId="26E60385" w14:textId="77777777" w:rsidR="00E1163C" w:rsidRDefault="00000000">
      <w:pPr>
        <w:spacing w:after="240"/>
      </w:pPr>
      <w:r>
        <w:t>In genetically susceptible individuals, early beta-cell weakness may appear as loss of the first-phase insulin response, lower fasting C-peptide for a given glucose level, and a rapid rise in post-prandial glucose. These changes can occur before fasting glucose rises.</w:t>
      </w:r>
    </w:p>
    <w:p w14:paraId="6121B9B1" w14:textId="77777777" w:rsidR="00E1163C" w:rsidRDefault="00000000">
      <w:pPr>
        <w:spacing w:after="100"/>
      </w:pPr>
      <w:r>
        <w:rPr>
          <w:color w:val="D8E1E6"/>
        </w:rPr>
        <w:t>————————————————————————————————————————————————</w:t>
      </w:r>
    </w:p>
    <w:p w14:paraId="65DD93DD" w14:textId="77777777" w:rsidR="00E1163C" w:rsidRDefault="00000000">
      <w:pPr>
        <w:pStyle w:val="Heading1"/>
      </w:pPr>
      <w:r>
        <w:t>Slide 12 — Why Visceral Fat Is More Dangerous Than BMI</w:t>
      </w:r>
    </w:p>
    <w:p w14:paraId="007E79F4" w14:textId="77777777" w:rsidR="00E1163C" w:rsidRDefault="00000000">
      <w:r>
        <w:rPr>
          <w:b/>
          <w:color w:val="188767"/>
          <w:sz w:val="18"/>
        </w:rPr>
        <w:t>VOICEOVER</w:t>
      </w:r>
    </w:p>
    <w:p w14:paraId="0F193200" w14:textId="77777777" w:rsidR="00E1163C" w:rsidRDefault="00000000">
      <w:pPr>
        <w:spacing w:after="240"/>
      </w:pPr>
      <w:r>
        <w:t>Visceral fat releases free fatty acids directly into the portal circulation, increases hepatic gluconeogenesis, and produces inflammatory cytokines. Together, these effects can produce profound insulin resistance. This is why central adiposity can carry metabolic risk that is not captured by BMI alone.</w:t>
      </w:r>
    </w:p>
    <w:p w14:paraId="549FF1DB" w14:textId="77777777" w:rsidR="00E1163C" w:rsidRDefault="00000000">
      <w:pPr>
        <w:spacing w:after="100"/>
      </w:pPr>
      <w:r>
        <w:rPr>
          <w:color w:val="D8E1E6"/>
        </w:rPr>
        <w:t>————————————————————————————————————————————————</w:t>
      </w:r>
    </w:p>
    <w:p w14:paraId="170E4B52" w14:textId="77777777" w:rsidR="00E1163C" w:rsidRDefault="00000000">
      <w:pPr>
        <w:pStyle w:val="Heading1"/>
      </w:pPr>
      <w:r>
        <w:t>Slide 13 — Clinical Measurement</w:t>
      </w:r>
    </w:p>
    <w:p w14:paraId="1A6C4209" w14:textId="77777777" w:rsidR="00E1163C" w:rsidRDefault="00000000">
      <w:r>
        <w:rPr>
          <w:b/>
          <w:color w:val="188767"/>
          <w:sz w:val="18"/>
        </w:rPr>
        <w:t>VOICEOVER</w:t>
      </w:r>
    </w:p>
    <w:p w14:paraId="462E246B" w14:textId="77777777" w:rsidR="00E1163C" w:rsidRDefault="00000000">
      <w:pPr>
        <w:spacing w:after="240"/>
      </w:pPr>
      <w:r>
        <w:t>Always record both BMI and waist circumference. A normal BMI does not exclude metabolic risk. A normal BMI combined with a high waist circumference should be recognized as a high-risk metabolic pattern.</w:t>
      </w:r>
    </w:p>
    <w:p w14:paraId="7337EBD8" w14:textId="77777777" w:rsidR="00E1163C" w:rsidRDefault="00000000">
      <w:pPr>
        <w:spacing w:after="100"/>
      </w:pPr>
      <w:r>
        <w:rPr>
          <w:color w:val="D8E1E6"/>
        </w:rPr>
        <w:t>————————————————————————————————————————————————</w:t>
      </w:r>
    </w:p>
    <w:p w14:paraId="435FA88B" w14:textId="77777777" w:rsidR="00E1163C" w:rsidRDefault="00000000">
      <w:pPr>
        <w:pStyle w:val="Heading1"/>
      </w:pPr>
      <w:r>
        <w:t>Slide 14 — Muscle = Primary Glucose Disposal Organ</w:t>
      </w:r>
    </w:p>
    <w:p w14:paraId="47D1A5B3" w14:textId="77777777" w:rsidR="00E1163C" w:rsidRDefault="00000000">
      <w:r>
        <w:rPr>
          <w:b/>
          <w:color w:val="188767"/>
          <w:sz w:val="18"/>
        </w:rPr>
        <w:t>VOICEOVER</w:t>
      </w:r>
    </w:p>
    <w:p w14:paraId="50CEAFA0" w14:textId="77777777" w:rsidR="00E1163C" w:rsidRDefault="00000000">
      <w:pPr>
        <w:spacing w:after="240"/>
      </w:pPr>
      <w:r>
        <w:t>Approximately 70 percent of post-meal glucose uptake occurs in skeletal muscle. When muscle mass is low, the glucose sink is reduced, post-prandial glucose can rise, and insulin demand increases.</w:t>
      </w:r>
    </w:p>
    <w:p w14:paraId="243460AC" w14:textId="77777777" w:rsidR="00E1163C" w:rsidRDefault="00000000">
      <w:pPr>
        <w:spacing w:after="100"/>
      </w:pPr>
      <w:r>
        <w:rPr>
          <w:color w:val="D8E1E6"/>
        </w:rPr>
        <w:t>————————————————————————————————————————————————</w:t>
      </w:r>
    </w:p>
    <w:p w14:paraId="086D6E45" w14:textId="77777777" w:rsidR="00E1163C" w:rsidRDefault="00000000">
      <w:pPr>
        <w:pStyle w:val="Heading1"/>
      </w:pPr>
      <w:r>
        <w:t>Slide 15 — Who Has Low Muscle Mass?</w:t>
      </w:r>
    </w:p>
    <w:p w14:paraId="692C00FD" w14:textId="77777777" w:rsidR="00E1163C" w:rsidRDefault="00000000">
      <w:r>
        <w:rPr>
          <w:b/>
          <w:color w:val="188767"/>
          <w:sz w:val="18"/>
        </w:rPr>
        <w:t>VOICEOVER</w:t>
      </w:r>
    </w:p>
    <w:p w14:paraId="582EE564" w14:textId="77777777" w:rsidR="00E1163C" w:rsidRDefault="00000000">
      <w:pPr>
        <w:spacing w:after="240"/>
      </w:pPr>
      <w:r>
        <w:t>Low muscle mass can occur in elderly individuals, sedentary individuals, people with chronic illness, and those with malnutrition. These patients can develop diabetes even without obesity.</w:t>
      </w:r>
    </w:p>
    <w:p w14:paraId="1A23145B" w14:textId="77777777" w:rsidR="00E1163C" w:rsidRDefault="00000000">
      <w:pPr>
        <w:spacing w:after="100"/>
      </w:pPr>
      <w:r>
        <w:rPr>
          <w:color w:val="D8E1E6"/>
        </w:rPr>
        <w:t>————————————————————————————————————————————————</w:t>
      </w:r>
    </w:p>
    <w:p w14:paraId="4ED0B788" w14:textId="77777777" w:rsidR="00E1163C" w:rsidRDefault="00000000">
      <w:pPr>
        <w:pStyle w:val="Heading1"/>
      </w:pPr>
      <w:r>
        <w:t>Slide 16 — Physical Inactivity</w:t>
      </w:r>
    </w:p>
    <w:p w14:paraId="381DB965" w14:textId="77777777" w:rsidR="00E1163C" w:rsidRDefault="00000000">
      <w:r>
        <w:rPr>
          <w:b/>
          <w:color w:val="188767"/>
          <w:sz w:val="18"/>
        </w:rPr>
        <w:t>VOICEOVER</w:t>
      </w:r>
    </w:p>
    <w:p w14:paraId="675E1B20" w14:textId="77777777" w:rsidR="00E1163C" w:rsidRDefault="00000000">
      <w:pPr>
        <w:spacing w:after="240"/>
      </w:pPr>
      <w:r>
        <w:lastRenderedPageBreak/>
        <w:t>Physical inactivity reduces GLUT-4 expression, increases insulin resistance, and promotes accumulation of visceral fat. Clinically, this pattern may present as early post-prandial hyperglycaemia.</w:t>
      </w:r>
    </w:p>
    <w:p w14:paraId="204386C0" w14:textId="77777777" w:rsidR="00E1163C" w:rsidRDefault="00000000">
      <w:pPr>
        <w:spacing w:after="100"/>
      </w:pPr>
      <w:r>
        <w:rPr>
          <w:color w:val="D8E1E6"/>
        </w:rPr>
        <w:t>————————————————————————————————————————————————</w:t>
      </w:r>
    </w:p>
    <w:p w14:paraId="59952B58" w14:textId="77777777" w:rsidR="00E1163C" w:rsidRDefault="00000000">
      <w:pPr>
        <w:pStyle w:val="Heading1"/>
      </w:pPr>
      <w:r>
        <w:t>Slide 17 — Dietary Pattern and β-Cell Stress</w:t>
      </w:r>
    </w:p>
    <w:p w14:paraId="4AACC6A1" w14:textId="77777777" w:rsidR="00E1163C" w:rsidRDefault="00000000">
      <w:r>
        <w:rPr>
          <w:b/>
          <w:color w:val="188767"/>
          <w:sz w:val="18"/>
        </w:rPr>
        <w:t>VOICEOVER</w:t>
      </w:r>
    </w:p>
    <w:p w14:paraId="614CEB66" w14:textId="77777777" w:rsidR="00E1163C" w:rsidRDefault="00000000">
      <w:pPr>
        <w:spacing w:after="240"/>
      </w:pPr>
      <w:r>
        <w:t>The quality of carbohydrate matters more than quantity alone. High-glycaemic-load diets can produce repeated insulin spikes, contribute to beta-cell exhaustion, and promote earlier failure.</w:t>
      </w:r>
    </w:p>
    <w:p w14:paraId="5EEF8AE2" w14:textId="77777777" w:rsidR="00E1163C" w:rsidRDefault="00000000">
      <w:pPr>
        <w:spacing w:after="100"/>
      </w:pPr>
      <w:r>
        <w:rPr>
          <w:color w:val="D8E1E6"/>
        </w:rPr>
        <w:t>————————————————————————————————————————————————</w:t>
      </w:r>
    </w:p>
    <w:p w14:paraId="26AFF059" w14:textId="77777777" w:rsidR="00E1163C" w:rsidRDefault="00000000">
      <w:pPr>
        <w:pStyle w:val="Heading1"/>
      </w:pPr>
      <w:r>
        <w:t>Slide 18 — Prediabetes</w:t>
      </w:r>
    </w:p>
    <w:p w14:paraId="46A43D8E" w14:textId="77777777" w:rsidR="00E1163C" w:rsidRDefault="00000000">
      <w:r>
        <w:rPr>
          <w:b/>
          <w:color w:val="188767"/>
          <w:sz w:val="18"/>
        </w:rPr>
        <w:t>VOICEOVER</w:t>
      </w:r>
    </w:p>
    <w:p w14:paraId="25DA4568" w14:textId="77777777" w:rsidR="00E1163C" w:rsidRDefault="00000000">
      <w:pPr>
        <w:spacing w:after="240"/>
      </w:pPr>
      <w:r>
        <w:t>Prediabetes is associated with an annual diabetes conversion rate of approximately 5 to 10 percent in the source material. It indicates existing insulin resistance together with beta-cell dysfunction. Therefore, prediabetes represents established metabolic disease and should not be treated as an insignificant finding.</w:t>
      </w:r>
    </w:p>
    <w:p w14:paraId="41A571EF" w14:textId="77777777" w:rsidR="00E1163C" w:rsidRDefault="00000000">
      <w:pPr>
        <w:spacing w:after="100"/>
      </w:pPr>
      <w:r>
        <w:rPr>
          <w:color w:val="D8E1E6"/>
        </w:rPr>
        <w:t>————————————————————————————————————————————————</w:t>
      </w:r>
    </w:p>
    <w:p w14:paraId="0310BEC9" w14:textId="77777777" w:rsidR="00E1163C" w:rsidRDefault="00000000">
      <w:pPr>
        <w:pStyle w:val="Heading1"/>
      </w:pPr>
      <w:r>
        <w:t>Slide 19 — Gestational Diabetes: A Long-Term Diabetes Risk Marker</w:t>
      </w:r>
    </w:p>
    <w:p w14:paraId="3473DA25" w14:textId="77777777" w:rsidR="00E1163C" w:rsidRDefault="00000000">
      <w:r>
        <w:rPr>
          <w:b/>
          <w:color w:val="188767"/>
          <w:sz w:val="18"/>
        </w:rPr>
        <w:t>VOICEOVER</w:t>
      </w:r>
    </w:p>
    <w:p w14:paraId="5B848EF7" w14:textId="77777777" w:rsidR="00E1163C" w:rsidRDefault="00000000">
      <w:pPr>
        <w:spacing w:after="240"/>
      </w:pPr>
      <w:r>
        <w:t>Gestational diabetes indicates increased future risk of prediabetes and type 2 diabetes. Pregnancy increases insulin resistance, and gestational diabetes may reveal limited beta-cell reserve. The risk remains elevated after pregnancy, so follow-up is essential. The source recommends a 75-gram oral glucose tolerance test at 4 to 12 weeks postpartum; if normal, lifelong screening every 1 to 3 years, together with ongoing lifestyle and cardiometabolic risk management. The key message is that gestational diabetes is not only a pregnancy diagnosis; it is a long-term metabolic risk marker.</w:t>
      </w:r>
    </w:p>
    <w:p w14:paraId="076D7C31" w14:textId="77777777" w:rsidR="00E1163C" w:rsidRDefault="00000000">
      <w:pPr>
        <w:spacing w:after="100"/>
      </w:pPr>
      <w:r>
        <w:rPr>
          <w:color w:val="D8E1E6"/>
        </w:rPr>
        <w:t>————————————————————————————————————————————————</w:t>
      </w:r>
    </w:p>
    <w:p w14:paraId="0E420AD7" w14:textId="77777777" w:rsidR="00E1163C" w:rsidRDefault="00000000">
      <w:pPr>
        <w:pStyle w:val="Heading1"/>
      </w:pPr>
      <w:r>
        <w:t>Slide 20 — Gestational Diabetes</w:t>
      </w:r>
    </w:p>
    <w:p w14:paraId="16A6A5F0" w14:textId="77777777" w:rsidR="00E1163C" w:rsidRDefault="00000000">
      <w:r>
        <w:rPr>
          <w:b/>
          <w:color w:val="188767"/>
          <w:sz w:val="18"/>
        </w:rPr>
        <w:t>VOICEOVER</w:t>
      </w:r>
    </w:p>
    <w:p w14:paraId="123894C6" w14:textId="77777777" w:rsidR="00E1163C" w:rsidRDefault="00000000">
      <w:pPr>
        <w:spacing w:after="240"/>
      </w:pPr>
      <w:r>
        <w:t>Gestational diabetes can indicate that the metabolic stress of pregnancy has unmasked limited beta-cell reserve. The source material states that 40 to 60 percent develop type 2 diabetes within 10 years.</w:t>
      </w:r>
    </w:p>
    <w:p w14:paraId="1FB02654" w14:textId="77777777" w:rsidR="00E1163C" w:rsidRDefault="00000000">
      <w:pPr>
        <w:spacing w:after="100"/>
      </w:pPr>
      <w:r>
        <w:rPr>
          <w:color w:val="D8E1E6"/>
        </w:rPr>
        <w:t>————————————————————————————————————————————————</w:t>
      </w:r>
    </w:p>
    <w:p w14:paraId="43BB3969" w14:textId="77777777" w:rsidR="00E1163C" w:rsidRDefault="00000000">
      <w:pPr>
        <w:pStyle w:val="Heading1"/>
      </w:pPr>
      <w:r>
        <w:t>Slide 21 — PCOS</w:t>
      </w:r>
    </w:p>
    <w:p w14:paraId="00964345" w14:textId="77777777" w:rsidR="00E1163C" w:rsidRDefault="00000000">
      <w:r>
        <w:rPr>
          <w:b/>
          <w:color w:val="188767"/>
          <w:sz w:val="18"/>
        </w:rPr>
        <w:t>VOICEOVER</w:t>
      </w:r>
    </w:p>
    <w:p w14:paraId="1F9F648B" w14:textId="77777777" w:rsidR="00E1163C" w:rsidRDefault="00000000">
      <w:pPr>
        <w:spacing w:after="240"/>
      </w:pPr>
      <w:r>
        <w:lastRenderedPageBreak/>
        <w:t>Polycystic ovary syndrome is presented here as an insulin-resistance state associated with high lifetime diabetes risk. Therefore, patients with PCOS should be screened early.</w:t>
      </w:r>
    </w:p>
    <w:p w14:paraId="40E0DDFF" w14:textId="77777777" w:rsidR="00E1163C" w:rsidRDefault="00000000">
      <w:pPr>
        <w:spacing w:after="100"/>
      </w:pPr>
      <w:r>
        <w:rPr>
          <w:color w:val="D8E1E6"/>
        </w:rPr>
        <w:t>————————————————————————————————————————————————</w:t>
      </w:r>
    </w:p>
    <w:p w14:paraId="0DB15924" w14:textId="77777777" w:rsidR="00E1163C" w:rsidRDefault="00000000">
      <w:pPr>
        <w:pStyle w:val="Heading1"/>
      </w:pPr>
      <w:r>
        <w:t>Slide 22 — Core Screening Tests</w:t>
      </w:r>
    </w:p>
    <w:p w14:paraId="67B57F9C" w14:textId="77777777" w:rsidR="00E1163C" w:rsidRDefault="00000000">
      <w:r>
        <w:rPr>
          <w:b/>
          <w:color w:val="188767"/>
          <w:sz w:val="18"/>
        </w:rPr>
        <w:t>VOICEOVER</w:t>
      </w:r>
    </w:p>
    <w:p w14:paraId="38ED7317" w14:textId="77777777" w:rsidR="00E1163C" w:rsidRDefault="00000000">
      <w:pPr>
        <w:spacing w:after="240"/>
      </w:pPr>
      <w:r>
        <w:t>The core screening tests are fasting plasma glucose and HbA1c, with an oral glucose tolerance test when there is diagnostic doubt. These tests detect dysglycaemia, but they do not by themselves describe the underlying metabolic biology.</w:t>
      </w:r>
    </w:p>
    <w:p w14:paraId="08651705" w14:textId="77777777" w:rsidR="00E1163C" w:rsidRDefault="00000000">
      <w:pPr>
        <w:spacing w:after="100"/>
      </w:pPr>
      <w:r>
        <w:rPr>
          <w:color w:val="D8E1E6"/>
        </w:rPr>
        <w:t>————————————————————————————————————————————————</w:t>
      </w:r>
    </w:p>
    <w:p w14:paraId="2930D03E" w14:textId="77777777" w:rsidR="00E1163C" w:rsidRDefault="00000000">
      <w:pPr>
        <w:pStyle w:val="Heading1"/>
      </w:pPr>
      <w:r>
        <w:t>Slide 23 — Fasting Insulin</w:t>
      </w:r>
    </w:p>
    <w:p w14:paraId="50B1A18E" w14:textId="77777777" w:rsidR="00E1163C" w:rsidRDefault="00000000">
      <w:r>
        <w:rPr>
          <w:b/>
          <w:color w:val="188767"/>
          <w:sz w:val="18"/>
        </w:rPr>
        <w:t>VOICEOVER</w:t>
      </w:r>
    </w:p>
    <w:p w14:paraId="498FA5EB" w14:textId="77777777" w:rsidR="00E1163C" w:rsidRDefault="00000000">
      <w:pPr>
        <w:spacing w:after="240"/>
      </w:pPr>
      <w:r>
        <w:t>Fasting insulin reflects the degree of insulin secretion and can provide an additional clue to underlying physiology. A high fasting insulin suggests insulin resistance. In contrast, low or normal fasting insulin in the presence of hyperglycaemia suggests beta-cell failure.</w:t>
      </w:r>
    </w:p>
    <w:p w14:paraId="26DD0057" w14:textId="77777777" w:rsidR="00E1163C" w:rsidRDefault="00000000">
      <w:pPr>
        <w:spacing w:after="100"/>
      </w:pPr>
      <w:r>
        <w:rPr>
          <w:color w:val="D8E1E6"/>
        </w:rPr>
        <w:t>————————————————————————————————————————————————</w:t>
      </w:r>
    </w:p>
    <w:p w14:paraId="0762C687" w14:textId="77777777" w:rsidR="00E1163C" w:rsidRDefault="00000000">
      <w:pPr>
        <w:pStyle w:val="Heading1"/>
      </w:pPr>
      <w:r>
        <w:t>Slide 24 — HOMA-IR — Insulin Resistance Index</w:t>
      </w:r>
    </w:p>
    <w:p w14:paraId="7366D001" w14:textId="77777777" w:rsidR="00E1163C" w:rsidRDefault="00000000">
      <w:r>
        <w:rPr>
          <w:b/>
          <w:color w:val="188767"/>
          <w:sz w:val="18"/>
        </w:rPr>
        <w:t>VOICEOVER</w:t>
      </w:r>
    </w:p>
    <w:p w14:paraId="4A46A196" w14:textId="77777777" w:rsidR="00E1163C" w:rsidRDefault="00000000">
      <w:pPr>
        <w:spacing w:after="240"/>
      </w:pPr>
      <w:r>
        <w:t>HOMA-IR is calculated as fasting glucose multiplied by fasting insulin, divided by 405, using the units shown in the source material. The source describes a value of 2 as indicating insulin resistance and a value of 3 as indicating significant insulin resistance. HOMA-IR is presented as useful in early disease.</w:t>
      </w:r>
    </w:p>
    <w:p w14:paraId="12B1CEA3" w14:textId="77777777" w:rsidR="00E1163C" w:rsidRDefault="00000000">
      <w:pPr>
        <w:spacing w:after="100"/>
      </w:pPr>
      <w:r>
        <w:rPr>
          <w:color w:val="D8E1E6"/>
        </w:rPr>
        <w:t>————————————————————————————————————————————————</w:t>
      </w:r>
    </w:p>
    <w:p w14:paraId="4A510035" w14:textId="77777777" w:rsidR="00E1163C" w:rsidRDefault="00000000">
      <w:pPr>
        <w:pStyle w:val="Heading1"/>
      </w:pPr>
      <w:r>
        <w:t>Slide 25 — C-Peptide</w:t>
      </w:r>
    </w:p>
    <w:p w14:paraId="2081C58D" w14:textId="77777777" w:rsidR="00E1163C" w:rsidRDefault="00000000">
      <w:r>
        <w:rPr>
          <w:b/>
          <w:color w:val="188767"/>
          <w:sz w:val="18"/>
        </w:rPr>
        <w:t>VOICEOVER</w:t>
      </w:r>
    </w:p>
    <w:p w14:paraId="2D8472F6" w14:textId="77777777" w:rsidR="00E1163C" w:rsidRDefault="00000000">
      <w:pPr>
        <w:spacing w:after="240"/>
      </w:pPr>
      <w:r>
        <w:t>C-peptide reflects endogenous insulin production. A normal or high C-peptide suggests preserved beta-cell function, while a low C-peptide suggests beta-cell failure. C-peptide should always be interpreted alongside the glucose level.</w:t>
      </w:r>
    </w:p>
    <w:p w14:paraId="4D3B1ECF" w14:textId="77777777" w:rsidR="00E1163C" w:rsidRDefault="00000000">
      <w:pPr>
        <w:spacing w:after="100"/>
      </w:pPr>
      <w:r>
        <w:rPr>
          <w:color w:val="D8E1E6"/>
        </w:rPr>
        <w:t>————————————————————————————————————————————————</w:t>
      </w:r>
    </w:p>
    <w:p w14:paraId="7019C410" w14:textId="77777777" w:rsidR="00E1163C" w:rsidRDefault="00000000">
      <w:pPr>
        <w:pStyle w:val="Heading1"/>
      </w:pPr>
      <w:r>
        <w:t>Slide 26 — OGTT Pattern Recognition</w:t>
      </w:r>
    </w:p>
    <w:p w14:paraId="278383FD" w14:textId="77777777" w:rsidR="00E1163C" w:rsidRDefault="00000000">
      <w:r>
        <w:rPr>
          <w:b/>
          <w:color w:val="188767"/>
          <w:sz w:val="18"/>
        </w:rPr>
        <w:t>VOICEOVER</w:t>
      </w:r>
    </w:p>
    <w:p w14:paraId="7B6B4338" w14:textId="77777777" w:rsidR="00E1163C" w:rsidRDefault="00000000">
      <w:pPr>
        <w:spacing w:after="240"/>
      </w:pPr>
      <w:r>
        <w:lastRenderedPageBreak/>
        <w:t>An elevated two-hour glucose with normal fasting glucose is presented as a pattern suggesting muscle insulin resistance. An elevated fasting glucose suggests hepatic insulin resistance. When both fasting and two-hour glucose are elevated, the source describes this as advanced disease.</w:t>
      </w:r>
    </w:p>
    <w:p w14:paraId="5CFEB207" w14:textId="77777777" w:rsidR="00E1163C" w:rsidRDefault="00000000">
      <w:pPr>
        <w:spacing w:after="100"/>
      </w:pPr>
      <w:r>
        <w:rPr>
          <w:color w:val="D8E1E6"/>
        </w:rPr>
        <w:t>————————————————————————————————————————————————</w:t>
      </w:r>
    </w:p>
    <w:p w14:paraId="3200ABF5" w14:textId="77777777" w:rsidR="00E1163C" w:rsidRDefault="00000000">
      <w:pPr>
        <w:pStyle w:val="Heading1"/>
      </w:pPr>
      <w:r>
        <w:t>Slide 27 — Investigations Summary</w:t>
      </w:r>
    </w:p>
    <w:p w14:paraId="5ED1A1AE" w14:textId="77777777" w:rsidR="00E1163C" w:rsidRDefault="00000000">
      <w:r>
        <w:rPr>
          <w:b/>
          <w:color w:val="188767"/>
          <w:sz w:val="18"/>
        </w:rPr>
        <w:t>VOICEOVER</w:t>
      </w:r>
    </w:p>
    <w:p w14:paraId="2B347B96" w14:textId="77777777" w:rsidR="00E1163C" w:rsidRDefault="00000000">
      <w:pPr>
        <w:spacing w:after="240"/>
      </w:pPr>
      <w:r>
        <w:t>The investigation pattern can help identify the metabolic stage. Normal glucose with high insulin suggests compensated insulin resistance. Prediabetes with high insulin indicates an insulin-resistance-dominant stage. Prediabetes with low C-peptide indicates a beta-cell-dominant stage. Diabetes with low C-peptide indicates advanced beta-cell failure.</w:t>
      </w:r>
    </w:p>
    <w:p w14:paraId="1775E823" w14:textId="77777777" w:rsidR="00E1163C" w:rsidRDefault="00000000">
      <w:pPr>
        <w:spacing w:after="100"/>
      </w:pPr>
      <w:r>
        <w:rPr>
          <w:color w:val="D8E1E6"/>
        </w:rPr>
        <w:t>————————————————————————————————————————————————</w:t>
      </w:r>
    </w:p>
    <w:p w14:paraId="21573480" w14:textId="77777777" w:rsidR="00E1163C" w:rsidRDefault="00000000">
      <w:pPr>
        <w:pStyle w:val="Heading1"/>
      </w:pPr>
      <w:r>
        <w:t>Slide 28 — Insulin-Resistance Dominant Phenotype</w:t>
      </w:r>
    </w:p>
    <w:p w14:paraId="2985C54E" w14:textId="77777777" w:rsidR="00E1163C" w:rsidRDefault="00000000">
      <w:r>
        <w:rPr>
          <w:b/>
          <w:color w:val="188767"/>
          <w:sz w:val="18"/>
        </w:rPr>
        <w:t>VOICEOVER</w:t>
      </w:r>
    </w:p>
    <w:p w14:paraId="0BEEFAA9" w14:textId="77777777" w:rsidR="00E1163C" w:rsidRDefault="00000000">
      <w:pPr>
        <w:spacing w:after="240"/>
      </w:pPr>
      <w:r>
        <w:t>The insulin-resistance-dominant phenotype is characterized by obesity, high fasting insulin, high HOMA-IR, and high C-peptide. The source material indicates that these patients respond well to lifestyle modification and metformin.</w:t>
      </w:r>
    </w:p>
    <w:p w14:paraId="6A12D725" w14:textId="77777777" w:rsidR="00E1163C" w:rsidRDefault="00000000">
      <w:pPr>
        <w:spacing w:after="100"/>
      </w:pPr>
      <w:r>
        <w:rPr>
          <w:color w:val="D8E1E6"/>
        </w:rPr>
        <w:t>————————————————————————————————————————————————</w:t>
      </w:r>
    </w:p>
    <w:p w14:paraId="6FD497A8" w14:textId="77777777" w:rsidR="00E1163C" w:rsidRDefault="00000000">
      <w:pPr>
        <w:pStyle w:val="Heading1"/>
      </w:pPr>
      <w:r>
        <w:t>Slide 29 — β-Cell Failure Dominant Phenotype</w:t>
      </w:r>
    </w:p>
    <w:p w14:paraId="49CAF37A" w14:textId="77777777" w:rsidR="00E1163C" w:rsidRDefault="00000000">
      <w:r>
        <w:rPr>
          <w:b/>
          <w:color w:val="188767"/>
          <w:sz w:val="18"/>
        </w:rPr>
        <w:t>VOICEOVER</w:t>
      </w:r>
    </w:p>
    <w:p w14:paraId="09EB7B72" w14:textId="77777777" w:rsidR="00E1163C" w:rsidRDefault="00000000">
      <w:pPr>
        <w:spacing w:after="240"/>
      </w:pPr>
      <w:r>
        <w:t>The beta-cell-failure-dominant phenotype is characterized by a lean phenotype, family history, and low C-peptide. These patients may progress rapidly and often require early insulin.</w:t>
      </w:r>
    </w:p>
    <w:p w14:paraId="29EB7C03" w14:textId="77777777" w:rsidR="00E1163C" w:rsidRDefault="00000000">
      <w:pPr>
        <w:spacing w:after="100"/>
      </w:pPr>
      <w:r>
        <w:rPr>
          <w:color w:val="D8E1E6"/>
        </w:rPr>
        <w:t>————————————————————————————————————————————————</w:t>
      </w:r>
    </w:p>
    <w:p w14:paraId="4A015063" w14:textId="77777777" w:rsidR="00E1163C" w:rsidRDefault="00000000">
      <w:pPr>
        <w:pStyle w:val="Heading1"/>
      </w:pPr>
      <w:r>
        <w:t>Slide 30 — Young Lean Patient</w:t>
      </w:r>
    </w:p>
    <w:p w14:paraId="2F75C2E1" w14:textId="77777777" w:rsidR="00E1163C" w:rsidRDefault="00000000">
      <w:r>
        <w:rPr>
          <w:b/>
          <w:color w:val="188767"/>
          <w:sz w:val="18"/>
        </w:rPr>
        <w:t>VOICEOVER</w:t>
      </w:r>
    </w:p>
    <w:p w14:paraId="53C1EE34" w14:textId="77777777" w:rsidR="00E1163C" w:rsidRDefault="00000000">
      <w:pPr>
        <w:spacing w:after="240"/>
      </w:pPr>
      <w:r>
        <w:t>This patient is 24 years old, has a BMI of 21 kilograms per square metre, and an HbA1c of 6.2 percent. Fasting insulin is low-normal and C-peptide is low-normal. The interpretation in the source material is early beta-cell failure, with LADA to be considered.</w:t>
      </w:r>
    </w:p>
    <w:p w14:paraId="51DC3122" w14:textId="77777777" w:rsidR="00E1163C" w:rsidRDefault="00000000">
      <w:pPr>
        <w:spacing w:after="100"/>
      </w:pPr>
      <w:r>
        <w:rPr>
          <w:color w:val="D8E1E6"/>
        </w:rPr>
        <w:t>————————————————————————————————————————————————</w:t>
      </w:r>
    </w:p>
    <w:p w14:paraId="0755C2F1" w14:textId="77777777" w:rsidR="00E1163C" w:rsidRDefault="00000000">
      <w:pPr>
        <w:pStyle w:val="Heading1"/>
      </w:pPr>
      <w:r>
        <w:t>Slide 31 — Obese Middle-Aged Patient</w:t>
      </w:r>
    </w:p>
    <w:p w14:paraId="00244603" w14:textId="77777777" w:rsidR="00E1163C" w:rsidRDefault="00000000">
      <w:r>
        <w:rPr>
          <w:b/>
          <w:color w:val="188767"/>
          <w:sz w:val="18"/>
        </w:rPr>
        <w:t>VOICEOVER</w:t>
      </w:r>
    </w:p>
    <w:p w14:paraId="0A9E85E2" w14:textId="77777777" w:rsidR="00E1163C" w:rsidRDefault="00000000">
      <w:pPr>
        <w:spacing w:after="240"/>
      </w:pPr>
      <w:r>
        <w:lastRenderedPageBreak/>
        <w:t>This patient is 48 years old with a BMI of 31 and an HbA1c of 6.4 percent. Fasting insulin and HOMA-IR are high, while C-peptide is normal. The clinical interpretation is insulin-resistance-dominant prediabetes.</w:t>
      </w:r>
    </w:p>
    <w:p w14:paraId="7E82E9B2" w14:textId="77777777" w:rsidR="00E1163C" w:rsidRDefault="00000000">
      <w:pPr>
        <w:spacing w:after="100"/>
      </w:pPr>
      <w:r>
        <w:rPr>
          <w:color w:val="D8E1E6"/>
        </w:rPr>
        <w:t>————————————————————————————————————————————————</w:t>
      </w:r>
    </w:p>
    <w:p w14:paraId="7F4C3B86" w14:textId="77777777" w:rsidR="00E1163C" w:rsidRDefault="00000000">
      <w:pPr>
        <w:pStyle w:val="Heading1"/>
      </w:pPr>
      <w:r>
        <w:t>Slide 32 — Woman With History of GDM</w:t>
      </w:r>
    </w:p>
    <w:p w14:paraId="2A948DED" w14:textId="77777777" w:rsidR="00E1163C" w:rsidRDefault="00000000">
      <w:r>
        <w:rPr>
          <w:b/>
          <w:color w:val="188767"/>
          <w:sz w:val="18"/>
        </w:rPr>
        <w:t>VOICEOVER</w:t>
      </w:r>
    </w:p>
    <w:p w14:paraId="20157585" w14:textId="77777777" w:rsidR="00E1163C" w:rsidRDefault="00000000">
      <w:pPr>
        <w:spacing w:after="240"/>
      </w:pPr>
      <w:r>
        <w:t>This is a 32-year-old woman with a BMI of 24 kilograms per square metre and a waist circumference of 88 centimetres. She had gestational diabetes four years ago, is currently asymptomatic, and has no known diabetes.</w:t>
      </w:r>
    </w:p>
    <w:p w14:paraId="724A4089" w14:textId="77777777" w:rsidR="00E1163C" w:rsidRDefault="00000000">
      <w:pPr>
        <w:spacing w:after="100"/>
      </w:pPr>
      <w:r>
        <w:rPr>
          <w:color w:val="D8E1E6"/>
        </w:rPr>
        <w:t>————————————————————————————————————————————————</w:t>
      </w:r>
    </w:p>
    <w:p w14:paraId="259AC414" w14:textId="77777777" w:rsidR="00E1163C" w:rsidRDefault="00000000">
      <w:pPr>
        <w:pStyle w:val="Heading1"/>
      </w:pPr>
      <w:r>
        <w:t>Slide 33 — Initial Evaluation</w:t>
      </w:r>
    </w:p>
    <w:p w14:paraId="3D60F3EE" w14:textId="77777777" w:rsidR="00E1163C" w:rsidRDefault="00000000">
      <w:r>
        <w:rPr>
          <w:b/>
          <w:color w:val="188767"/>
          <w:sz w:val="18"/>
        </w:rPr>
        <w:t>VOICEOVER</w:t>
      </w:r>
    </w:p>
    <w:p w14:paraId="4B7AC1EF" w14:textId="77777777" w:rsidR="00E1163C" w:rsidRDefault="00000000">
      <w:pPr>
        <w:spacing w:after="240"/>
      </w:pPr>
      <w:r>
        <w:t>Because of the previous history of gestational diabetes, this patient is considered high risk. The first tests are fasting plasma glucose and HbA1c. The results are a fasting blood sugar of 108 milligrams per decilitre and an HbA1c of 6.0 percent.</w:t>
      </w:r>
    </w:p>
    <w:p w14:paraId="3F6ECAD0" w14:textId="77777777" w:rsidR="00E1163C" w:rsidRDefault="00000000">
      <w:pPr>
        <w:spacing w:after="100"/>
      </w:pPr>
      <w:r>
        <w:rPr>
          <w:color w:val="D8E1E6"/>
        </w:rPr>
        <w:t>————————————————————————————————————————————————</w:t>
      </w:r>
    </w:p>
    <w:p w14:paraId="18675100" w14:textId="77777777" w:rsidR="00E1163C" w:rsidRDefault="00000000">
      <w:pPr>
        <w:pStyle w:val="Heading1"/>
      </w:pPr>
      <w:r>
        <w:t>Slide 34 — Interpretation</w:t>
      </w:r>
    </w:p>
    <w:p w14:paraId="4E9B32C2" w14:textId="77777777" w:rsidR="00E1163C" w:rsidRDefault="00000000">
      <w:r>
        <w:rPr>
          <w:b/>
          <w:color w:val="188767"/>
          <w:sz w:val="18"/>
        </w:rPr>
        <w:t>VOICEOVER</w:t>
      </w:r>
    </w:p>
    <w:p w14:paraId="32F71A70" w14:textId="77777777" w:rsidR="00E1163C" w:rsidRDefault="00000000">
      <w:pPr>
        <w:spacing w:after="240"/>
      </w:pPr>
      <w:r>
        <w:t>The results show prediabetes. In the framework of this source material, this indicates existing insulin resistance together with limited beta-cell reserve. The next tests are fasting insulin and C-peptide.</w:t>
      </w:r>
    </w:p>
    <w:p w14:paraId="4CBE0BFC" w14:textId="77777777" w:rsidR="00E1163C" w:rsidRDefault="00000000">
      <w:pPr>
        <w:spacing w:after="100"/>
      </w:pPr>
      <w:r>
        <w:rPr>
          <w:color w:val="D8E1E6"/>
        </w:rPr>
        <w:t>————————————————————————————————————————————————</w:t>
      </w:r>
    </w:p>
    <w:p w14:paraId="31DE9F76" w14:textId="77777777" w:rsidR="00E1163C" w:rsidRDefault="00000000">
      <w:pPr>
        <w:pStyle w:val="Heading1"/>
      </w:pPr>
      <w:r>
        <w:t>Slide 35 — Advanced Results</w:t>
      </w:r>
    </w:p>
    <w:p w14:paraId="44982E56" w14:textId="77777777" w:rsidR="00E1163C" w:rsidRDefault="00000000">
      <w:r>
        <w:rPr>
          <w:b/>
          <w:color w:val="188767"/>
          <w:sz w:val="18"/>
        </w:rPr>
        <w:t>VOICEOVER</w:t>
      </w:r>
    </w:p>
    <w:p w14:paraId="1D366320" w14:textId="77777777" w:rsidR="00E1163C" w:rsidRDefault="00000000">
      <w:pPr>
        <w:spacing w:after="240"/>
      </w:pPr>
      <w:r>
        <w:t>The advanced results show a fasting insulin of 18 micro-international units per millilitre, described as high, with a normal C-peptide.</w:t>
      </w:r>
    </w:p>
    <w:p w14:paraId="4A8579D9" w14:textId="77777777" w:rsidR="00E1163C" w:rsidRDefault="00000000">
      <w:pPr>
        <w:spacing w:after="100"/>
      </w:pPr>
      <w:r>
        <w:rPr>
          <w:color w:val="D8E1E6"/>
        </w:rPr>
        <w:t>————————————————————————————————————————————————</w:t>
      </w:r>
    </w:p>
    <w:p w14:paraId="7DA04EA6" w14:textId="77777777" w:rsidR="00E1163C" w:rsidRDefault="00000000">
      <w:pPr>
        <w:pStyle w:val="Heading1"/>
      </w:pPr>
      <w:r>
        <w:t>Slide 36 — Clinical Conclusion</w:t>
      </w:r>
    </w:p>
    <w:p w14:paraId="09F627D3" w14:textId="77777777" w:rsidR="00E1163C" w:rsidRDefault="00000000">
      <w:r>
        <w:rPr>
          <w:b/>
          <w:color w:val="188767"/>
          <w:sz w:val="18"/>
        </w:rPr>
        <w:t>VOICEOVER</w:t>
      </w:r>
    </w:p>
    <w:p w14:paraId="43628452" w14:textId="77777777" w:rsidR="00E1163C" w:rsidRDefault="00000000">
      <w:pPr>
        <w:spacing w:after="240"/>
      </w:pPr>
      <w:r>
        <w:t>The overall interpretation is prediabetes with an insulin-resistance-dominant phenotype. The source material indicates a high likelihood of progression without intervention.</w:t>
      </w:r>
    </w:p>
    <w:p w14:paraId="357B203F" w14:textId="77777777" w:rsidR="00E1163C" w:rsidRDefault="00000000">
      <w:pPr>
        <w:spacing w:after="100"/>
      </w:pPr>
      <w:r>
        <w:rPr>
          <w:color w:val="D8E1E6"/>
        </w:rPr>
        <w:lastRenderedPageBreak/>
        <w:t>————————————————————————————————————————————————</w:t>
      </w:r>
    </w:p>
    <w:p w14:paraId="4F90DE49" w14:textId="77777777" w:rsidR="00E1163C" w:rsidRDefault="00000000">
      <w:pPr>
        <w:pStyle w:val="Heading1"/>
      </w:pPr>
      <w:r>
        <w:t>Slide 37 — Management Implication</w:t>
      </w:r>
    </w:p>
    <w:p w14:paraId="03AC88B7" w14:textId="77777777" w:rsidR="00E1163C" w:rsidRDefault="00000000">
      <w:r>
        <w:rPr>
          <w:b/>
          <w:color w:val="188767"/>
          <w:sz w:val="18"/>
        </w:rPr>
        <w:t>VOICEOVER</w:t>
      </w:r>
    </w:p>
    <w:p w14:paraId="0D058111" w14:textId="77777777" w:rsidR="00E1163C" w:rsidRDefault="00000000">
      <w:pPr>
        <w:spacing w:after="240"/>
      </w:pPr>
      <w:r>
        <w:t>The management implication is intensive lifestyle intervention, consideration of metformin, and annual monitoring.</w:t>
      </w:r>
    </w:p>
    <w:p w14:paraId="27351F93" w14:textId="77777777" w:rsidR="00E1163C" w:rsidRDefault="00000000">
      <w:pPr>
        <w:spacing w:after="100"/>
      </w:pPr>
      <w:r>
        <w:rPr>
          <w:color w:val="D8E1E6"/>
        </w:rPr>
        <w:t>————————————————————————————————————————————————</w:t>
      </w:r>
    </w:p>
    <w:p w14:paraId="3C091F4C" w14:textId="77777777" w:rsidR="00E1163C" w:rsidRDefault="00000000">
      <w:pPr>
        <w:pStyle w:val="Heading1"/>
      </w:pPr>
      <w:r>
        <w:t>Slide 38 — Case 4 — Clinical Scenario</w:t>
      </w:r>
    </w:p>
    <w:p w14:paraId="450278BB" w14:textId="77777777" w:rsidR="00E1163C" w:rsidRDefault="00000000">
      <w:r>
        <w:rPr>
          <w:b/>
          <w:color w:val="188767"/>
          <w:sz w:val="18"/>
        </w:rPr>
        <w:t>VOICEOVER</w:t>
      </w:r>
    </w:p>
    <w:p w14:paraId="0ADE7AC6" w14:textId="77777777" w:rsidR="00E1163C" w:rsidRDefault="00000000">
      <w:pPr>
        <w:spacing w:after="240"/>
      </w:pPr>
      <w:r>
        <w:t>This is a 35-year-old man with a BMI of 22 kilograms per square metre. He was diagnosed with diabetes eight months ago and is taking metformin plus a sulfonylurea. Despite treatment, his HbA1c remains 9.2 percent.</w:t>
      </w:r>
    </w:p>
    <w:p w14:paraId="1418B36E" w14:textId="77777777" w:rsidR="00E1163C" w:rsidRDefault="00000000">
      <w:pPr>
        <w:spacing w:after="100"/>
      </w:pPr>
      <w:r>
        <w:rPr>
          <w:color w:val="D8E1E6"/>
        </w:rPr>
        <w:t>————————————————————————————————————————————————</w:t>
      </w:r>
    </w:p>
    <w:p w14:paraId="12A850F7" w14:textId="77777777" w:rsidR="00E1163C" w:rsidRDefault="00000000">
      <w:pPr>
        <w:pStyle w:val="Heading1"/>
      </w:pPr>
      <w:r>
        <w:t>Slide 39 — Clinical Concern</w:t>
      </w:r>
    </w:p>
    <w:p w14:paraId="5E36CA94" w14:textId="77777777" w:rsidR="00E1163C" w:rsidRDefault="00000000">
      <w:r>
        <w:rPr>
          <w:b/>
          <w:color w:val="188767"/>
          <w:sz w:val="18"/>
        </w:rPr>
        <w:t>VOICEOVER</w:t>
      </w:r>
    </w:p>
    <w:p w14:paraId="7706681A" w14:textId="77777777" w:rsidR="00E1163C" w:rsidRDefault="00000000">
      <w:pPr>
        <w:spacing w:after="240"/>
      </w:pPr>
      <w:r>
        <w:t>The patient is lean, has a poor response to oral agents, and shows early failure. These features should raise suspicion for beta-cell failure or LADA.</w:t>
      </w:r>
    </w:p>
    <w:p w14:paraId="4BD4B391" w14:textId="77777777" w:rsidR="00E1163C" w:rsidRDefault="00000000">
      <w:pPr>
        <w:spacing w:after="100"/>
      </w:pPr>
      <w:r>
        <w:rPr>
          <w:color w:val="D8E1E6"/>
        </w:rPr>
        <w:t>————————————————————————————————————————————————</w:t>
      </w:r>
    </w:p>
    <w:p w14:paraId="39F9A0E9" w14:textId="77777777" w:rsidR="00E1163C" w:rsidRDefault="00000000">
      <w:pPr>
        <w:pStyle w:val="Heading1"/>
      </w:pPr>
      <w:r>
        <w:t>Slide 40 — Investigations Ordered</w:t>
      </w:r>
    </w:p>
    <w:p w14:paraId="389EDF50" w14:textId="77777777" w:rsidR="00E1163C" w:rsidRDefault="00000000">
      <w:r>
        <w:rPr>
          <w:b/>
          <w:color w:val="188767"/>
          <w:sz w:val="18"/>
        </w:rPr>
        <w:t>VOICEOVER</w:t>
      </w:r>
    </w:p>
    <w:p w14:paraId="41E9E3A4" w14:textId="77777777" w:rsidR="00E1163C" w:rsidRDefault="00000000">
      <w:pPr>
        <w:spacing w:after="240"/>
      </w:pPr>
      <w:r>
        <w:t>Order C-peptide to assess endogenous insulin production and GAD antibodies to evaluate for autoimmune beta-cell destruction. The results show low C-peptide and positive GAD antibodies. The clinical conclusion in the source material is LADA, representing autoimmune beta-cell destruction.</w:t>
      </w:r>
    </w:p>
    <w:p w14:paraId="44CEF3C7" w14:textId="77777777" w:rsidR="00E1163C" w:rsidRDefault="00000000">
      <w:pPr>
        <w:spacing w:after="100"/>
      </w:pPr>
      <w:r>
        <w:rPr>
          <w:color w:val="D8E1E6"/>
        </w:rPr>
        <w:t>————————————————————————————————————————————————</w:t>
      </w:r>
    </w:p>
    <w:p w14:paraId="526AF408" w14:textId="77777777" w:rsidR="00E1163C" w:rsidRDefault="00000000">
      <w:pPr>
        <w:pStyle w:val="Heading1"/>
      </w:pPr>
      <w:r>
        <w:t>Slide 41 — Management Implication</w:t>
      </w:r>
    </w:p>
    <w:p w14:paraId="6C20AF78" w14:textId="77777777" w:rsidR="00E1163C" w:rsidRDefault="00000000">
      <w:r>
        <w:rPr>
          <w:b/>
          <w:color w:val="188767"/>
          <w:sz w:val="18"/>
        </w:rPr>
        <w:t>VOICEOVER</w:t>
      </w:r>
    </w:p>
    <w:p w14:paraId="3CF88342" w14:textId="77777777" w:rsidR="00E1163C" w:rsidRDefault="00000000">
      <w:pPr>
        <w:spacing w:after="240"/>
      </w:pPr>
      <w:r>
        <w:t>The management implications are to stop the sulfonylurea, start insulin early, and counsel the patient about the diagnosis and its management implications.</w:t>
      </w:r>
    </w:p>
    <w:p w14:paraId="24D04DC6" w14:textId="77777777" w:rsidR="00E1163C" w:rsidRDefault="00000000">
      <w:pPr>
        <w:spacing w:after="100"/>
      </w:pPr>
      <w:r>
        <w:rPr>
          <w:color w:val="D8E1E6"/>
        </w:rPr>
        <w:t>————————————————————————————————————————————————</w:t>
      </w:r>
    </w:p>
    <w:p w14:paraId="664473C1" w14:textId="77777777" w:rsidR="00E1163C" w:rsidRDefault="00000000">
      <w:pPr>
        <w:pStyle w:val="Heading1"/>
      </w:pPr>
      <w:r>
        <w:lastRenderedPageBreak/>
        <w:t>Slide 42 — Obese Patient With Normal Glucose but High Insulin</w:t>
      </w:r>
    </w:p>
    <w:p w14:paraId="6B19903F" w14:textId="77777777" w:rsidR="00E1163C" w:rsidRDefault="00000000">
      <w:r>
        <w:rPr>
          <w:b/>
          <w:color w:val="188767"/>
          <w:sz w:val="18"/>
        </w:rPr>
        <w:t>VOICEOVER</w:t>
      </w:r>
    </w:p>
    <w:p w14:paraId="4EBFB89F" w14:textId="77777777" w:rsidR="00E1163C" w:rsidRDefault="00000000">
      <w:pPr>
        <w:spacing w:after="240"/>
      </w:pPr>
      <w:r>
        <w:t>This is a 42-year-old woman with a BMI of 34 kilograms per square metre and a waist circumference of 104 centimetres. Her fasting blood sugar is 94 milligrams per decilitre and her HbA1c is 5.4 percent.</w:t>
      </w:r>
    </w:p>
    <w:p w14:paraId="2C1A8FCB" w14:textId="77777777" w:rsidR="00E1163C" w:rsidRDefault="00000000">
      <w:pPr>
        <w:spacing w:after="100"/>
      </w:pPr>
      <w:r>
        <w:rPr>
          <w:color w:val="D8E1E6"/>
        </w:rPr>
        <w:t>————————————————————————————————————————————————</w:t>
      </w:r>
    </w:p>
    <w:p w14:paraId="120B2508" w14:textId="77777777" w:rsidR="00E1163C" w:rsidRDefault="00000000">
      <w:pPr>
        <w:pStyle w:val="Heading1"/>
      </w:pPr>
      <w:r>
        <w:t>Slide 43 — Why This Patient Is Not “Normal”</w:t>
      </w:r>
    </w:p>
    <w:p w14:paraId="509865EB" w14:textId="77777777" w:rsidR="00E1163C" w:rsidRDefault="00000000">
      <w:r>
        <w:rPr>
          <w:b/>
          <w:color w:val="188767"/>
          <w:sz w:val="18"/>
        </w:rPr>
        <w:t>VOICEOVER</w:t>
      </w:r>
    </w:p>
    <w:p w14:paraId="018AC330" w14:textId="77777777" w:rsidR="00E1163C" w:rsidRDefault="00000000">
      <w:pPr>
        <w:spacing w:after="240"/>
      </w:pPr>
      <w:r>
        <w:t>This patient has marked obesity with central adiposity. The next tests are fasting insulin and HOMA-IR. The results are a fasting insulin of 28 micro-international units per millilitre and a HOMA-IR of 6.2. The source also states that, according to the American Heart Association, health is at risk when waist size is over 94 centimetres, or about 37 inches, in men, and over 80 centimetres, or about 31.5 inches, in women.</w:t>
      </w:r>
    </w:p>
    <w:p w14:paraId="436EC19C" w14:textId="77777777" w:rsidR="00E1163C" w:rsidRDefault="00000000">
      <w:pPr>
        <w:spacing w:after="100"/>
      </w:pPr>
      <w:r>
        <w:rPr>
          <w:color w:val="D8E1E6"/>
        </w:rPr>
        <w:t>————————————————————————————————————————————————</w:t>
      </w:r>
    </w:p>
    <w:p w14:paraId="0B0647DB" w14:textId="77777777" w:rsidR="00E1163C" w:rsidRDefault="00000000">
      <w:pPr>
        <w:pStyle w:val="Heading1"/>
      </w:pPr>
      <w:r>
        <w:t>Slide 44 — Interpretation</w:t>
      </w:r>
    </w:p>
    <w:p w14:paraId="0AFF54C2" w14:textId="77777777" w:rsidR="00E1163C" w:rsidRDefault="00000000">
      <w:r>
        <w:rPr>
          <w:b/>
          <w:color w:val="188767"/>
          <w:sz w:val="18"/>
        </w:rPr>
        <w:t>VOICEOVER</w:t>
      </w:r>
    </w:p>
    <w:p w14:paraId="006352CC" w14:textId="77777777" w:rsidR="00E1163C" w:rsidRDefault="00000000">
      <w:pPr>
        <w:spacing w:after="240"/>
      </w:pPr>
      <w:r>
        <w:t>The interpretation is severe insulin resistance with compensated beta-cell function. Prediabetes is not yet present, but the trajectory is described as being toward diabetes.</w:t>
      </w:r>
    </w:p>
    <w:p w14:paraId="7D6C180C" w14:textId="77777777" w:rsidR="00E1163C" w:rsidRDefault="00000000">
      <w:pPr>
        <w:spacing w:after="100"/>
      </w:pPr>
      <w:r>
        <w:rPr>
          <w:color w:val="D8E1E6"/>
        </w:rPr>
        <w:t>————————————————————————————————————————————————</w:t>
      </w:r>
    </w:p>
    <w:p w14:paraId="36E3908D" w14:textId="77777777" w:rsidR="00E1163C" w:rsidRDefault="00000000">
      <w:pPr>
        <w:pStyle w:val="Heading1"/>
      </w:pPr>
      <w:r>
        <w:t>Slide 45 — Management Implication</w:t>
      </w:r>
    </w:p>
    <w:p w14:paraId="532D53C1" w14:textId="77777777" w:rsidR="00E1163C" w:rsidRDefault="00000000">
      <w:r>
        <w:rPr>
          <w:b/>
          <w:color w:val="188767"/>
          <w:sz w:val="18"/>
        </w:rPr>
        <w:t>VOICEOVER</w:t>
      </w:r>
    </w:p>
    <w:p w14:paraId="0CF2E77C" w14:textId="77777777" w:rsidR="00E1163C" w:rsidRDefault="00000000">
      <w:pPr>
        <w:spacing w:after="240"/>
      </w:pPr>
      <w:r>
        <w:t>The management approach is aggressive lifestyle intervention, a weight-loss programme, and repeat glycaemic testing in six months.</w:t>
      </w:r>
    </w:p>
    <w:p w14:paraId="5DA747C0" w14:textId="77777777" w:rsidR="00E1163C" w:rsidRDefault="00000000">
      <w:pPr>
        <w:spacing w:after="100"/>
      </w:pPr>
      <w:r>
        <w:rPr>
          <w:color w:val="D8E1E6"/>
        </w:rPr>
        <w:t>————————————————————————————————————————————————</w:t>
      </w:r>
    </w:p>
    <w:p w14:paraId="75788A6E" w14:textId="77777777" w:rsidR="00E1163C" w:rsidRDefault="00000000">
      <w:pPr>
        <w:pStyle w:val="Heading1"/>
      </w:pPr>
      <w:r>
        <w:t>Slide 46 — Algorithm: Test Ordering in Patients at Risk for Diabetes</w:t>
      </w:r>
    </w:p>
    <w:p w14:paraId="2C639D91" w14:textId="77777777" w:rsidR="00E1163C" w:rsidRDefault="00000000">
      <w:r>
        <w:rPr>
          <w:b/>
          <w:color w:val="188767"/>
          <w:sz w:val="18"/>
        </w:rPr>
        <w:t>VOICEOVER</w:t>
      </w:r>
    </w:p>
    <w:p w14:paraId="04A0840B" w14:textId="77777777" w:rsidR="00E1163C" w:rsidRDefault="00000000">
      <w:pPr>
        <w:spacing w:after="240"/>
      </w:pPr>
      <w:r>
        <w:t>Step 1 is to identify the high-risk patient. The source lists high risk as the presence of any of the following: BMI of at least 23 in Indians, high waist circumference, family history, gestational diabetes or PCOS, hypertension or dyslipidaemia, and steroid or antipsychotic use.</w:t>
      </w:r>
    </w:p>
    <w:p w14:paraId="1CF64E99" w14:textId="77777777" w:rsidR="00E1163C" w:rsidRDefault="00000000">
      <w:pPr>
        <w:spacing w:after="100"/>
      </w:pPr>
      <w:r>
        <w:rPr>
          <w:color w:val="D8E1E6"/>
        </w:rPr>
        <w:t>————————————————————————————————————————————————</w:t>
      </w:r>
    </w:p>
    <w:p w14:paraId="30320AB1" w14:textId="77777777" w:rsidR="00E1163C" w:rsidRDefault="00000000">
      <w:pPr>
        <w:pStyle w:val="Heading1"/>
      </w:pPr>
      <w:r>
        <w:t>Slide 47 — Step 2 — First-Line Tests</w:t>
      </w:r>
    </w:p>
    <w:p w14:paraId="0AD0EA3E" w14:textId="77777777" w:rsidR="00E1163C" w:rsidRDefault="00000000">
      <w:r>
        <w:rPr>
          <w:b/>
          <w:color w:val="188767"/>
          <w:sz w:val="18"/>
        </w:rPr>
        <w:t>VOICEOVER</w:t>
      </w:r>
    </w:p>
    <w:p w14:paraId="0BB6FA02" w14:textId="77777777" w:rsidR="00E1163C" w:rsidRDefault="00000000">
      <w:pPr>
        <w:spacing w:after="240"/>
      </w:pPr>
      <w:r>
        <w:lastRenderedPageBreak/>
        <w:t>For first-line evaluation, order fasting plasma glucose and HbA1c.</w:t>
      </w:r>
    </w:p>
    <w:p w14:paraId="05A1DC06" w14:textId="77777777" w:rsidR="00E1163C" w:rsidRDefault="00000000">
      <w:pPr>
        <w:spacing w:after="100"/>
      </w:pPr>
      <w:r>
        <w:rPr>
          <w:color w:val="D8E1E6"/>
        </w:rPr>
        <w:t>————————————————————————————————————————————————</w:t>
      </w:r>
    </w:p>
    <w:p w14:paraId="2D82759F" w14:textId="77777777" w:rsidR="00E1163C" w:rsidRDefault="00000000">
      <w:pPr>
        <w:pStyle w:val="Heading1"/>
      </w:pPr>
      <w:r>
        <w:t>Slide 48 — Interpret Results</w:t>
      </w:r>
    </w:p>
    <w:p w14:paraId="00E72B62" w14:textId="77777777" w:rsidR="00E1163C" w:rsidRDefault="00000000">
      <w:r>
        <w:rPr>
          <w:b/>
          <w:color w:val="188767"/>
          <w:sz w:val="18"/>
        </w:rPr>
        <w:t>VOICEOVER</w:t>
      </w:r>
    </w:p>
    <w:p w14:paraId="3F78012E" w14:textId="77777777" w:rsidR="00E1163C" w:rsidRDefault="00000000">
      <w:pPr>
        <w:spacing w:after="240"/>
      </w:pPr>
      <w:r>
        <w:t>If the results are normal but the patient has a high-risk phenotype, proceed to Step 4. If the results show prediabetes or diabetes, proceed to Step 4.</w:t>
      </w:r>
    </w:p>
    <w:p w14:paraId="79D20C7D" w14:textId="77777777" w:rsidR="00E1163C" w:rsidRDefault="00000000">
      <w:pPr>
        <w:spacing w:after="100"/>
      </w:pPr>
      <w:r>
        <w:rPr>
          <w:color w:val="D8E1E6"/>
        </w:rPr>
        <w:t>————————————————————————————————————————————————</w:t>
      </w:r>
    </w:p>
    <w:p w14:paraId="0A36075B" w14:textId="77777777" w:rsidR="00E1163C" w:rsidRDefault="00000000">
      <w:pPr>
        <w:pStyle w:val="Heading1"/>
      </w:pPr>
      <w:r>
        <w:t>Slide 49 — Step 4 — Mechanism Identification</w:t>
      </w:r>
    </w:p>
    <w:p w14:paraId="55C4EFEB" w14:textId="77777777" w:rsidR="00E1163C" w:rsidRDefault="00000000">
      <w:r>
        <w:rPr>
          <w:b/>
          <w:color w:val="188767"/>
          <w:sz w:val="18"/>
        </w:rPr>
        <w:t>VOICEOVER</w:t>
      </w:r>
    </w:p>
    <w:p w14:paraId="7F34FD9B" w14:textId="77777777" w:rsidR="00E1163C" w:rsidRDefault="00000000">
      <w:pPr>
        <w:spacing w:after="240"/>
      </w:pPr>
      <w:r>
        <w:t>At this stage, order fasting insulin and C-peptide, and consider an oral glucose tolerance test to help identify the underlying mechanism.</w:t>
      </w:r>
    </w:p>
    <w:p w14:paraId="2EF23173" w14:textId="77777777" w:rsidR="00E1163C" w:rsidRDefault="00000000">
      <w:pPr>
        <w:spacing w:after="100"/>
      </w:pPr>
      <w:r>
        <w:rPr>
          <w:color w:val="D8E1E6"/>
        </w:rPr>
        <w:t>————————————————————————————————————————————————</w:t>
      </w:r>
    </w:p>
    <w:p w14:paraId="1C5FD249" w14:textId="77777777" w:rsidR="00E1163C" w:rsidRDefault="00000000">
      <w:pPr>
        <w:pStyle w:val="Heading1"/>
      </w:pPr>
      <w:r>
        <w:t>Slide 50 — Step 5 — Phenotype Classification</w:t>
      </w:r>
    </w:p>
    <w:p w14:paraId="2312F544" w14:textId="77777777" w:rsidR="00E1163C" w:rsidRDefault="00000000">
      <w:r>
        <w:rPr>
          <w:b/>
          <w:color w:val="188767"/>
          <w:sz w:val="18"/>
        </w:rPr>
        <w:t>VOICEOVER</w:t>
      </w:r>
    </w:p>
    <w:p w14:paraId="2957F4C4" w14:textId="77777777" w:rsidR="00E1163C" w:rsidRDefault="00000000">
      <w:pPr>
        <w:spacing w:after="240"/>
      </w:pPr>
      <w:r>
        <w:t>High insulin with normal or high C-peptide indicates an insulin-resistance-dominant phenotype. Normal or low insulin with low C-peptide indicates a beta-cell-failure-dominant phenotype.</w:t>
      </w:r>
    </w:p>
    <w:p w14:paraId="2E55CC7C" w14:textId="77777777" w:rsidR="00E1163C" w:rsidRDefault="00000000">
      <w:pPr>
        <w:spacing w:after="100"/>
      </w:pPr>
      <w:r>
        <w:rPr>
          <w:color w:val="D8E1E6"/>
        </w:rPr>
        <w:t>————————————————————————————————————————————————</w:t>
      </w:r>
    </w:p>
    <w:p w14:paraId="2C927D40" w14:textId="77777777" w:rsidR="00E1163C" w:rsidRDefault="00000000">
      <w:pPr>
        <w:pStyle w:val="Heading1"/>
      </w:pPr>
      <w:r>
        <w:t>Slide 51 — Step 6 — Action</w:t>
      </w:r>
    </w:p>
    <w:p w14:paraId="0ADBCFAD" w14:textId="77777777" w:rsidR="00E1163C" w:rsidRDefault="00000000">
      <w:r>
        <w:rPr>
          <w:b/>
          <w:color w:val="188767"/>
          <w:sz w:val="18"/>
        </w:rPr>
        <w:t>VOICEOVER</w:t>
      </w:r>
    </w:p>
    <w:p w14:paraId="2DBAE801" w14:textId="77777777" w:rsidR="00E1163C" w:rsidRDefault="00000000">
      <w:pPr>
        <w:spacing w:after="240"/>
      </w:pPr>
      <w:r>
        <w:t>Management is based on the identified phenotype. For an insulin-resistance-dominant phenotype, the source specifies lifestyle modification plus metformin. For a beta-cell-dominant phenotype, it specifies early insulin. For a mixed phenotype, it specifies a combination approach.</w:t>
      </w:r>
    </w:p>
    <w:p w14:paraId="76634521" w14:textId="77777777" w:rsidR="00E1163C" w:rsidRDefault="00000000">
      <w:pPr>
        <w:spacing w:after="100"/>
      </w:pPr>
      <w:r>
        <w:rPr>
          <w:color w:val="D8E1E6"/>
        </w:rPr>
        <w:t>————————————————————————————————————————————————</w:t>
      </w:r>
    </w:p>
    <w:p w14:paraId="595FE9DD" w14:textId="77777777" w:rsidR="00E1163C" w:rsidRDefault="00000000">
      <w:pPr>
        <w:pStyle w:val="Heading1"/>
      </w:pPr>
      <w:r>
        <w:t>Slide 52 — Clinical Take-Home Messages</w:t>
      </w:r>
    </w:p>
    <w:p w14:paraId="4F9BAC42" w14:textId="77777777" w:rsidR="00E1163C" w:rsidRDefault="00000000">
      <w:r>
        <w:rPr>
          <w:b/>
          <w:color w:val="188767"/>
          <w:sz w:val="18"/>
        </w:rPr>
        <w:t>VOICEOVER</w:t>
      </w:r>
    </w:p>
    <w:p w14:paraId="222C4C2D" w14:textId="77777777" w:rsidR="00E1163C" w:rsidRDefault="00000000">
      <w:pPr>
        <w:spacing w:after="240"/>
      </w:pPr>
      <w:r>
        <w:t>There are four key messages. Diabetes risk reflects underlying biology, not just weight. Lean patients can have severe disease. Early laboratory testing can help identify the disease mechanism. And mechanism-based therapy can improve outcomes.</w:t>
      </w:r>
    </w:p>
    <w:sectPr w:rsidR="00E11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380431">
    <w:abstractNumId w:val="8"/>
  </w:num>
  <w:num w:numId="2" w16cid:durableId="558790643">
    <w:abstractNumId w:val="6"/>
  </w:num>
  <w:num w:numId="3" w16cid:durableId="619840533">
    <w:abstractNumId w:val="5"/>
  </w:num>
  <w:num w:numId="4" w16cid:durableId="1086000953">
    <w:abstractNumId w:val="4"/>
  </w:num>
  <w:num w:numId="5" w16cid:durableId="1891065265">
    <w:abstractNumId w:val="7"/>
  </w:num>
  <w:num w:numId="6" w16cid:durableId="1097603044">
    <w:abstractNumId w:val="3"/>
  </w:num>
  <w:num w:numId="7" w16cid:durableId="1242594819">
    <w:abstractNumId w:val="2"/>
  </w:num>
  <w:num w:numId="8" w16cid:durableId="1743289432">
    <w:abstractNumId w:val="1"/>
  </w:num>
  <w:num w:numId="9" w16cid:durableId="158213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E8B"/>
    <w:rsid w:val="00AA1D8D"/>
    <w:rsid w:val="00B47730"/>
    <w:rsid w:val="00CB0664"/>
    <w:rsid w:val="00E1163C"/>
    <w:rsid w:val="00F910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0B6BB"/>
  <w14:defaultImageDpi w14:val="300"/>
  <w15:docId w15:val="{18772037-DCD9-4D75-A8D4-E495B8D6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2658</Words>
  <Characters>15155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Doctyn Innovations</cp:lastModifiedBy>
  <cp:revision>2</cp:revision>
  <dcterms:created xsi:type="dcterms:W3CDTF">2013-12-23T23:15:00Z</dcterms:created>
  <dcterms:modified xsi:type="dcterms:W3CDTF">2026-10-08T12:07:00Z</dcterms:modified>
  <cp:category/>
</cp:coreProperties>
</file>