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Doctyn V2 — Demo Voiceover Script</w:t>
      </w:r>
    </w:p>
    <w:p>
      <w:pPr>
        <w:pStyle w:val="Subtitle"/>
      </w:pPr>
      <w:r>
        <w:t>Sepsis: Recognize, Assess, Respond  |  9 slides</w:t>
      </w:r>
    </w:p>
    <w:p>
      <w:r>
        <w:t>Use with Doctyn_V2_Sepsis_Demo_Slides.pptx. Each numbered section maps 1:1 to the corresponding slide. Demo only; medical review required before publication.</w:t>
      </w:r>
    </w:p>
    <w:p>
      <w:pPr>
        <w:pStyle w:val="Heading1"/>
      </w:pPr>
      <w:r>
        <w:t>Slide 1: Sepsis: Recognize, Assess, Respond</w:t>
      </w:r>
    </w:p>
    <w:p>
      <w:r>
        <w:t>Welcome to this demonstration lesson on recognizing and responding to possible sepsis. This short course is designed to test the Doctyn video workflow with a genuine medical topic, including pathways, comparisons, assessment steps, and a clinical case. It is educational material, not a substitute for clinical protocols or medical review.</w:t>
      </w:r>
    </w:p>
    <w:p>
      <w:pPr>
        <w:pStyle w:val="Heading1"/>
      </w:pPr>
      <w:r>
        <w:t>Slide 2: What Is Sepsis?</w:t>
      </w:r>
    </w:p>
    <w:p>
      <w:r>
        <w:t>Sepsis is life-threatening organ dysfunction caused by a dysregulated host response to infection. It is not defined by fever alone, and an infection can be present without sepsis. Clinicians should look for evidence that organ function is changing, interpret findings in context, and use an appropriate escalation pathway when sepsis is suspected.</w:t>
      </w:r>
    </w:p>
    <w:p>
      <w:pPr>
        <w:pStyle w:val="Heading1"/>
      </w:pPr>
      <w:r>
        <w:t>Slide 3: How Sepsis Affects the Body</w:t>
      </w:r>
    </w:p>
    <w:p>
      <w:r>
        <w:t>During sepsis, the host response to infection can disrupt vascular and endothelial function. Changes in circulation and the microvasculature may impair tissue perfusion and contribute to organ dysfunction. This pathway helps explain why assessment extends beyond identifying the infection and includes oxygenation, circulation, mental status, and other indicators of organ function.</w:t>
      </w:r>
    </w:p>
    <w:p>
      <w:pPr>
        <w:pStyle w:val="Heading1"/>
      </w:pPr>
      <w:r>
        <w:t>Slide 4: Recognizing Clinical Deterioration</w:t>
      </w:r>
    </w:p>
    <w:p>
      <w:r>
        <w:t>Recognition starts with the patient's trajectory. New confusion, increasing respiratory rate, worsening oxygenation, lower blood pressure, or reduced urine output can signal clinical deterioration. No single symptom or observation is sufficient on its own. Consider baseline health, alternative causes, and repeated observations while escalating concerns according to the local clinical pathway.</w:t>
      </w:r>
    </w:p>
    <w:p>
      <w:pPr>
        <w:pStyle w:val="Heading1"/>
      </w:pPr>
      <w:r>
        <w:t>Slide 5: Assessing Possible Sepsis</w:t>
      </w:r>
    </w:p>
    <w:p>
      <w:r>
        <w:t>A structured assessment gathers vital signs, oxygenation, mental status, circulation, and a focused history and examination for possible infection. Investigations may include blood tests, lactate measurement, microbiology samples, and relevant tests of organ function, guided by the clinical context. The aim is to identify the likely source, recognize dysfunction, and guide timely decisions.</w:t>
      </w:r>
    </w:p>
    <w:p>
      <w:pPr>
        <w:pStyle w:val="Heading1"/>
      </w:pPr>
      <w:r>
        <w:t>Slide 6: Initial Response: Parallel Priorities</w:t>
      </w:r>
    </w:p>
    <w:p>
      <w:r>
        <w:t>When sepsis is suspected, early actions often proceed in parallel rather than as a strict sequence. Escalate to appropriate clinical support, monitor the patient, obtain indicated samples when doing so will not cause harmful treatment delays, and begin timely treatment as determined by the responsible clinician and local guidance. Fluid, antimicrobial, and other interventions must be individualized.</w:t>
      </w:r>
    </w:p>
    <w:p>
      <w:pPr>
        <w:pStyle w:val="Heading1"/>
      </w:pPr>
      <w:r>
        <w:t>Slide 7: Reassessment and Escalation</w:t>
      </w:r>
    </w:p>
    <w:p>
      <w:r>
        <w:t>Reassessment is essential because the clinical situation may evolve quickly. Follow trends in blood pressure, mental status, oxygenation, urine output, and other relevant markers. Review whether the suspected source and treatment plan still fit the evidence. If the patient is deteriorating or failing to respond, promptly escalate care and reassess for additional causes or interventions.</w:t>
      </w:r>
    </w:p>
    <w:p>
      <w:pPr>
        <w:pStyle w:val="Heading1"/>
      </w:pPr>
      <w:r>
        <w:t>Slide 8: Clinical Case: Possible Sepsis</w:t>
      </w:r>
    </w:p>
    <w:p>
      <w:r>
        <w:t>Consider a patient presenting with fever, new confusion, rapid breathing, and low blood pressure. Rather than concluding from one sign, recognize the overall pattern of possible infection with organ dysfunction. Obtain a structured assessment, escalate urgently, and begin appropriate investigations and treatment according to local protocols. Continue reassessment and document how the patient responds.</w:t>
      </w:r>
    </w:p>
    <w:p>
      <w:pPr>
        <w:pStyle w:val="Heading1"/>
      </w:pPr>
      <w:r>
        <w:t>Slide 9: Key Takeaways</w:t>
      </w:r>
    </w:p>
    <w:p>
      <w:r>
        <w:t>The main message is to recognize possible infection-associated organ dysfunction early, conduct a structured assessment, and reassess the patient repeatedly. Clinical judgment and local sepsis pathways remain essential. This presentation is a demonstration of the Doctyn animation workflow, and the material should undergo qualified clinical review before publication or use in patient care.</w:t>
      </w:r>
    </w:p>
    <w:sectPr w:rsidR="00FC693F" w:rsidRPr="0006063C" w:rsidSect="00034616">
      <w:pgSz w:w="12240" w:h="15840"/>
      <w:pgMar w:top="1008"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C59B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D1D33"/>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