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DABB" w14:textId="12830A1D" w:rsidR="00C62560" w:rsidRDefault="00B87308">
      <w:r w:rsidRPr="00B87308">
        <w:rPr>
          <w:lang w:val="en-US"/>
        </w:rPr>
        <w:t>This is to certify that Sneha Kapoor is officially registered with AIIMS Delhi. Registration ID ID-578227 dated 13 June 2023.</w:t>
      </w:r>
    </w:p>
    <w:sectPr w:rsidR="00C62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F1E"/>
    <w:rsid w:val="00666258"/>
    <w:rsid w:val="00715A8A"/>
    <w:rsid w:val="00811F1E"/>
    <w:rsid w:val="00B404CD"/>
    <w:rsid w:val="00B87308"/>
    <w:rsid w:val="00C62560"/>
    <w:rsid w:val="00DD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16E508-CD2B-48E4-89D0-B9C5ADBC7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Sathwik</dc:creator>
  <cp:keywords/>
  <dc:description/>
  <cp:lastModifiedBy>Challa Sathwik</cp:lastModifiedBy>
  <cp:revision>2</cp:revision>
  <dcterms:created xsi:type="dcterms:W3CDTF">2026-03-05T17:40:00Z</dcterms:created>
  <dcterms:modified xsi:type="dcterms:W3CDTF">2026-03-05T17:40:00Z</dcterms:modified>
</cp:coreProperties>
</file>