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324"/>
        <w:tblBorders/>
      </w:tblPr>
      <w:tblGrid>
        <w:gridCol w:w="3007"/>
        <w:gridCol w:w="3009"/>
        <w:gridCol w:w="3011"/>
      </w:tblGrid>
      <w:tr>
        <w:trPr>
          <w:cantSplit w:val="false"/>
        </w:trPr>
        <w:tc>
          <w:tcPr>
            <w:tcW w:type="dxa" w:w="3007"/>
            <w:tcBorders/>
            <w:shd w:fill="FFFFFF" w:val="clear"/>
            <w:tcMar>
              <w:top w:type="dxa" w:w="0"/>
              <w:left w:type="dxa" w:w="108"/>
              <w:bottom w:type="dxa" w:w="0"/>
              <w:right w:type="dxa" w:w="108"/>
            </w:tcMar>
            <w:vAlign w:val="center"/>
          </w:tcPr>
          <w:p>
            <w:pPr>
              <w:pStyle w:val="style174"/>
              <w:spacing w:after="0" w:before="0"/>
              <w:ind w:hanging="0" w:left="0" w:right="0"/>
            </w:pPr>
            <w:r>
              <w:rPr/>
            </w:r>
          </w:p>
        </w:tc>
        <w:tc>
          <w:tcPr>
            <w:tcW w:type="dxa" w:w="3009"/>
            <w:tcBorders/>
            <w:shd w:fill="FFFFFF" w:val="clear"/>
            <w:tcMar>
              <w:top w:type="dxa" w:w="0"/>
              <w:left w:type="dxa" w:w="108"/>
              <w:bottom w:type="dxa" w:w="0"/>
              <w:right w:type="dxa" w:w="108"/>
            </w:tcMar>
            <w:vAlign w:val="center"/>
          </w:tcPr>
          <w:p>
            <w:pPr>
              <w:pStyle w:val="style174"/>
              <w:spacing w:after="0" w:before="0"/>
              <w:ind w:hanging="0" w:left="0" w:right="0"/>
            </w:pPr>
            <w:r>
              <w:rPr/>
            </w:r>
          </w:p>
        </w:tc>
        <w:tc>
          <w:tcPr>
            <w:tcW w:type="dxa" w:w="3011"/>
            <w:tcBorders/>
            <w:shd w:fill="FFFFFF" w:val="clear"/>
            <w:tcMar>
              <w:top w:type="dxa" w:w="0"/>
              <w:left w:type="dxa" w:w="108"/>
              <w:bottom w:type="dxa" w:w="0"/>
              <w:right w:type="dxa" w:w="108"/>
            </w:tcMar>
            <w:vAlign w:val="center"/>
          </w:tcPr>
          <w:p>
            <w:pPr>
              <w:pStyle w:val="style174"/>
              <w:spacing w:after="0" w:before="0"/>
              <w:ind w:hanging="0" w:left="0" w:right="0"/>
            </w:pPr>
            <w:r>
              <w:rPr/>
            </w:r>
          </w:p>
        </w:tc>
      </w:tr>
      <w:tr>
        <w:trPr>
          <w:cantSplit w:val="false"/>
        </w:trPr>
        <w:tc>
          <w:tcPr>
            <w:tcW w:type="dxa" w:w="9027"/>
            <w:gridSpan w:val="3"/>
            <w:tcBorders/>
            <w:shd w:fill="FFFFFF" w:val="clear"/>
            <w:tcMar>
              <w:top w:type="dxa" w:w="0"/>
              <w:left w:type="dxa" w:w="108"/>
              <w:bottom w:type="dxa" w:w="0"/>
              <w:right w:type="dxa" w:w="108"/>
            </w:tcMar>
          </w:tcPr>
          <w:p>
            <w:pPr>
              <w:pStyle w:val="style174"/>
              <w:spacing w:after="0" w:before="0"/>
              <w:ind w:hanging="0" w:left="0" w:right="0"/>
              <w:jc w:val="left"/>
            </w:pPr>
            <w:r>
              <w:rPr/>
            </w:r>
          </w:p>
        </w:tc>
      </w:tr>
      <w:tr>
        <w:trPr>
          <w:trHeight w:hRule="atLeast" w:val="57"/>
          <w:cantSplit w:val="false"/>
        </w:trPr>
        <w:tc>
          <w:tcPr>
            <w:tcW w:type="dxa" w:w="9027"/>
            <w:gridSpan w:val="3"/>
            <w:tcBorders/>
            <w:shd w:fill="FFFFFF" w:val="clear"/>
            <w:tcMar>
              <w:top w:type="dxa" w:w="0"/>
              <w:left w:type="dxa" w:w="108"/>
              <w:bottom w:type="dxa" w:w="0"/>
              <w:right w:type="dxa" w:w="108"/>
            </w:tcMar>
            <w:vAlign w:val="center"/>
          </w:tcPr>
          <w:p>
            <w:pPr>
              <w:pStyle w:val="style174"/>
              <w:spacing w:after="0" w:before="0" w:line="165" w:lineRule="atLeast"/>
              <w:ind w:hanging="0" w:left="0" w:right="0"/>
            </w:pPr>
            <w:r>
              <w:rPr/>
            </w:r>
          </w:p>
        </w:tc>
      </w:tr>
      <w:tr>
        <w:trPr>
          <w:cantSplit w:val="false"/>
        </w:trPr>
        <w:tc>
          <w:tcPr>
            <w:tcW w:type="dxa" w:w="9027"/>
            <w:gridSpan w:val="3"/>
            <w:tcBorders/>
            <w:shd w:fill="FFFFFF" w:val="clear"/>
            <w:tcMar>
              <w:top w:type="dxa" w:w="0"/>
              <w:left w:type="dxa" w:w="108"/>
              <w:bottom w:type="dxa" w:w="0"/>
              <w:right w:type="dxa" w:w="108"/>
            </w:tcMar>
            <w:vAlign w:val="center"/>
          </w:tcPr>
          <w:p>
            <w:pPr>
              <w:pStyle w:val="style174"/>
              <w:spacing w:after="0" w:before="0" w:line="165" w:lineRule="atLeast"/>
            </w:pPr>
            <w:r>
              <w:rPr/>
            </w:r>
          </w:p>
        </w:tc>
      </w:tr>
      <w:tr>
        <w:trPr>
          <w:cantSplit w:val="false"/>
        </w:trPr>
        <w:tc>
          <w:tcPr>
            <w:tcW w:type="dxa" w:w="3007"/>
            <w:tcBorders/>
            <w:shd w:fill="FFFFFF" w:val="clear"/>
            <w:tcMar>
              <w:top w:type="dxa" w:w="0"/>
              <w:left w:type="dxa" w:w="108"/>
              <w:bottom w:type="dxa" w:w="0"/>
              <w:right w:type="dxa" w:w="108"/>
            </w:tcMar>
          </w:tcPr>
          <w:p>
            <w:pPr>
              <w:pStyle w:val="style174"/>
              <w:spacing w:after="0" w:before="0"/>
              <w:ind w:hanging="0" w:left="0" w:right="0"/>
            </w:pPr>
            <w:r>
              <w:rPr/>
            </w:r>
          </w:p>
        </w:tc>
        <w:tc>
          <w:tcPr>
            <w:tcW w:type="dxa" w:w="6020"/>
            <w:gridSpan w:val="2"/>
            <w:tcBorders/>
            <w:shd w:fill="FFFFFF" w:val="clear"/>
            <w:tcMar>
              <w:top w:type="dxa" w:w="0"/>
              <w:left w:type="dxa" w:w="108"/>
              <w:bottom w:type="dxa" w:w="0"/>
              <w:right w:type="dxa" w:w="108"/>
            </w:tcMar>
          </w:tcPr>
          <w:p>
            <w:pPr>
              <w:pStyle w:val="style174"/>
              <w:spacing w:after="0" w:before="0"/>
              <w:ind w:hanging="0" w:left="0" w:right="0"/>
            </w:pPr>
            <w:r>
              <w:rPr/>
            </w:r>
          </w:p>
        </w:tc>
      </w:tr>
      <w:tr>
        <w:trPr>
          <w:cantSplit w:val="false"/>
        </w:trPr>
        <w:tc>
          <w:tcPr>
            <w:tcW w:type="dxa" w:w="3007"/>
            <w:tcBorders/>
            <w:shd w:fill="FFFFFF" w:val="clear"/>
            <w:tcMar>
              <w:top w:type="dxa" w:w="0"/>
              <w:left w:type="dxa" w:w="108"/>
              <w:bottom w:type="dxa" w:w="0"/>
              <w:right w:type="dxa" w:w="108"/>
            </w:tcMar>
          </w:tcPr>
          <w:p>
            <w:pPr>
              <w:pStyle w:val="style174"/>
              <w:spacing w:after="0" w:before="0"/>
              <w:ind w:hanging="0" w:left="0" w:right="0"/>
            </w:pPr>
            <w:r>
              <w:rPr/>
            </w:r>
          </w:p>
        </w:tc>
        <w:tc>
          <w:tcPr>
            <w:tcW w:type="dxa" w:w="6020"/>
            <w:gridSpan w:val="2"/>
            <w:tcBorders/>
            <w:shd w:fill="FFFFFF" w:val="clear"/>
            <w:tcMar>
              <w:top w:type="dxa" w:w="0"/>
              <w:left w:type="dxa" w:w="108"/>
              <w:bottom w:type="dxa" w:w="0"/>
              <w:right w:type="dxa" w:w="108"/>
            </w:tcMar>
          </w:tcPr>
          <w:p>
            <w:pPr>
              <w:pStyle w:val="style174"/>
              <w:spacing w:after="0" w:before="0"/>
              <w:ind w:hanging="0" w:left="0" w:right="0"/>
            </w:pPr>
            <w:r>
              <w:rPr/>
            </w:r>
          </w:p>
        </w:tc>
      </w:tr>
    </w:tbl>
    <w:p>
      <w:pPr>
        <w:pStyle w:val="style164"/>
      </w:pPr>
      <w:r>
        <w:rPr>
          <w:rFonts w:eastAsia="Calibri"/>
          <w:b/>
          <w:bCs/>
          <w:iCs/>
          <w:color w:val="000000"/>
          <w:sz w:val="22"/>
          <w:szCs w:val="22"/>
        </w:rPr>
        <w:tab/>
        <w:t xml:space="preserve">PUNJAB AGRICULTURAL UNIVERSITY, LUDHIANA </w:t>
      </w:r>
    </w:p>
    <w:p>
      <w:pPr>
        <w:pStyle w:val="style0"/>
        <w:widowControl w:val="false"/>
        <w:tabs>
          <w:tab w:leader="none" w:pos="720" w:val="left"/>
        </w:tabs>
        <w:spacing w:line="480" w:lineRule="auto"/>
        <w:ind w:hanging="0" w:left="0" w:right="29"/>
        <w:jc w:val="center"/>
      </w:pPr>
      <w:r>
        <w:rPr>
          <w:rFonts w:eastAsia="Calibri"/>
          <w:b/>
          <w:bCs/>
          <w:iCs/>
          <w:color w:val="000000"/>
          <w:sz w:val="22"/>
          <w:szCs w:val="22"/>
        </w:rPr>
        <w:t>Synopsis of Thesis Problem of Postgraduate Student: Integrated M.Sc. (Hons.)</w:t>
      </w:r>
    </w:p>
    <w:p>
      <w:pPr>
        <w:pStyle w:val="style0"/>
        <w:widowControl w:val="false"/>
        <w:tabs>
          <w:tab w:leader="none" w:pos="720" w:val="left"/>
        </w:tabs>
        <w:spacing w:line="360" w:lineRule="auto"/>
        <w:ind w:hanging="0" w:left="0" w:right="29"/>
        <w:jc w:val="both"/>
      </w:pPr>
      <w:r>
        <w:rPr>
          <w:color w:val="000000"/>
          <w:sz w:val="22"/>
          <w:szCs w:val="22"/>
        </w:rPr>
        <w:t xml:space="preserve">Name of the Student: KAMALPREET KAUR     </w:t>
        <w:tab/>
        <w:tab/>
        <w:t>Admission No. : L-2011-BS-12-IM</w:t>
      </w:r>
    </w:p>
    <w:p>
      <w:pPr>
        <w:pStyle w:val="style0"/>
        <w:widowControl w:val="false"/>
        <w:tabs>
          <w:tab w:leader="none" w:pos="720" w:val="left"/>
        </w:tabs>
        <w:spacing w:line="360" w:lineRule="auto"/>
        <w:ind w:hanging="0" w:left="0" w:right="29"/>
        <w:jc w:val="both"/>
      </w:pPr>
      <w:r>
        <w:rPr>
          <w:color w:val="000000"/>
          <w:sz w:val="22"/>
          <w:szCs w:val="22"/>
        </w:rPr>
        <w:t>Major Subject</w:t>
        <w:tab/>
        <w:t xml:space="preserve">       : Microbiology                                  </w:t>
        <w:tab/>
        <w:t xml:space="preserve"> Minor Subject: Biochemistry</w:t>
      </w:r>
    </w:p>
    <w:p>
      <w:pPr>
        <w:pStyle w:val="style0"/>
        <w:widowControl w:val="false"/>
        <w:tabs>
          <w:tab w:leader="none" w:pos="720" w:val="left"/>
        </w:tabs>
        <w:spacing w:line="480" w:lineRule="auto"/>
        <w:ind w:hanging="0" w:left="0" w:right="29"/>
        <w:jc w:val="both"/>
      </w:pPr>
      <w:r>
        <w:rPr>
          <w:color w:val="000000"/>
          <w:sz w:val="22"/>
          <w:szCs w:val="22"/>
        </w:rPr>
        <w:t>Major Advisor         : Dr. (Mrs.) Param Pal Sahota</w:t>
      </w:r>
    </w:p>
    <w:p>
      <w:pPr>
        <w:pStyle w:val="style166"/>
        <w:widowControl w:val="false"/>
        <w:tabs>
          <w:tab w:leader="none" w:pos="720" w:val="left"/>
        </w:tabs>
        <w:spacing w:line="360" w:lineRule="auto"/>
        <w:ind w:hanging="0" w:left="0" w:right="29"/>
        <w:jc w:val="both"/>
      </w:pPr>
      <w:r>
        <w:rPr>
          <w:rFonts w:eastAsia="Calibri"/>
          <w:b/>
          <w:bCs/>
          <w:iCs/>
          <w:color w:val="000000"/>
          <w:sz w:val="22"/>
          <w:szCs w:val="22"/>
        </w:rPr>
        <w:t xml:space="preserve">1.   Title  </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r>
        <w:rPr>
          <w:rFonts w:eastAsia="Calibri"/>
          <w:bCs/>
          <w:iCs/>
          <w:color w:val="000000"/>
          <w:sz w:val="22"/>
          <w:szCs w:val="22"/>
        </w:rPr>
        <w:tab/>
        <w:t xml:space="preserve">PREVALENCE </w:t>
      </w:r>
      <w:r>
        <w:rPr>
          <w:rFonts w:eastAsia="Calibri"/>
          <w:iCs/>
          <w:color w:val="000000"/>
          <w:sz w:val="22"/>
          <w:szCs w:val="22"/>
        </w:rPr>
        <w:t xml:space="preserve">OF </w:t>
      </w:r>
      <w:r>
        <w:rPr>
          <w:rFonts w:eastAsia="Calibri"/>
          <w:i/>
          <w:iCs/>
          <w:color w:val="000000"/>
          <w:sz w:val="22"/>
          <w:szCs w:val="22"/>
        </w:rPr>
        <w:t xml:space="preserve">AEROMONAS </w:t>
      </w:r>
      <w:r>
        <w:rPr>
          <w:rFonts w:eastAsia="Calibri"/>
          <w:i/>
          <w:iCs/>
          <w:color w:val="000000"/>
          <w:sz w:val="22"/>
          <w:szCs w:val="22"/>
          <w:lang w:val="en-IN"/>
        </w:rPr>
        <w:t xml:space="preserve">HYDROPHILA  </w:t>
      </w:r>
      <w:r>
        <w:rPr>
          <w:rFonts w:eastAsia="Calibri"/>
          <w:i w:val="false"/>
          <w:iCs w:val="false"/>
          <w:color w:val="000000"/>
          <w:sz w:val="22"/>
          <w:szCs w:val="22"/>
          <w:lang w:val="en-IN"/>
        </w:rPr>
        <w:t xml:space="preserve">IN </w:t>
      </w:r>
      <w:r>
        <w:rPr>
          <w:rFonts w:eastAsia="Calibri"/>
          <w:color w:val="000000"/>
          <w:sz w:val="22"/>
          <w:szCs w:val="22"/>
          <w:lang w:val="en-IN"/>
        </w:rPr>
        <w:t>SALAD VEGETABLES</w:t>
      </w:r>
    </w:p>
    <w:p>
      <w:pPr>
        <w:pStyle w:val="style166"/>
        <w:widowControl w:val="false"/>
        <w:tabs>
          <w:tab w:leader="none" w:pos="720" w:val="left"/>
        </w:tabs>
        <w:spacing w:line="360" w:lineRule="auto"/>
        <w:ind w:hanging="0" w:left="0" w:right="29"/>
        <w:jc w:val="both"/>
      </w:pPr>
      <w:r>
        <w:rPr>
          <w:b/>
          <w:bCs/>
          <w:color w:val="000000"/>
          <w:sz w:val="22"/>
          <w:szCs w:val="22"/>
        </w:rPr>
        <w:t xml:space="preserve">2.  Introduction </w:t>
      </w:r>
    </w:p>
    <w:p>
      <w:pPr>
        <w:pStyle w:val="style0"/>
        <w:widowControl w:val="false"/>
        <w:tabs>
          <w:tab w:leader="none" w:pos="720" w:val="left"/>
        </w:tabs>
        <w:spacing w:line="360" w:lineRule="auto"/>
        <w:ind w:hanging="0" w:left="0" w:right="29"/>
        <w:jc w:val="both"/>
      </w:pPr>
      <w:r>
        <w:rPr>
          <w:color w:val="000000"/>
          <w:sz w:val="22"/>
          <w:szCs w:val="22"/>
          <w:shd w:fill="FFFFFF" w:val="clear"/>
        </w:rPr>
        <w:tab/>
        <w:t xml:space="preserve">Fresh produce is popular worldwide because it is recognized as an important source of nutrients, vitamins and fibre for humans. Vegetables are an important part of the daily diet and average family in Punjab takes about 388.8g vegetables as daily dietary intake (Bains and Shruti 2007).  In urban areas, almost 38 per cent of vegetables intake is consumed as raw, whereas in rural areas 15 per cent of the vegetables are consumed raw.  However, the quality of vegetables in terms of bacterial load is a matter of concern.  It has been well established that food-borne bacterial pathogens use plants as vectors between animal hosts, all the while following the life cycle script of plant-associated bacteria. Similar to phytobacteria, </w:t>
      </w:r>
      <w:r>
        <w:rPr>
          <w:i/>
          <w:iCs/>
          <w:color w:val="000000"/>
          <w:sz w:val="22"/>
          <w:szCs w:val="22"/>
          <w:shd w:fill="FFFFFF" w:val="clear"/>
        </w:rPr>
        <w:t>Aeromonas,</w:t>
      </w:r>
      <w:r>
        <w:rPr>
          <w:color w:val="000000"/>
          <w:sz w:val="22"/>
          <w:szCs w:val="22"/>
          <w:shd w:fill="FFFFFF" w:val="clear"/>
        </w:rPr>
        <w:t xml:space="preserve"> </w:t>
      </w:r>
      <w:r>
        <w:rPr>
          <w:i/>
          <w:color w:val="000000"/>
          <w:sz w:val="22"/>
          <w:szCs w:val="22"/>
          <w:shd w:fill="FFFFFF" w:val="clear"/>
        </w:rPr>
        <w:t>Salmonella</w:t>
      </w:r>
      <w:r>
        <w:rPr>
          <w:color w:val="000000"/>
          <w:sz w:val="22"/>
          <w:szCs w:val="22"/>
          <w:shd w:fill="FFFFFF" w:val="clear"/>
        </w:rPr>
        <w:t xml:space="preserve">, pathogenic </w:t>
      </w:r>
      <w:r>
        <w:rPr>
          <w:i/>
          <w:color w:val="000000"/>
          <w:sz w:val="22"/>
          <w:szCs w:val="22"/>
          <w:shd w:fill="FFFFFF" w:val="clear"/>
        </w:rPr>
        <w:t>Escherichia</w:t>
      </w:r>
      <w:r>
        <w:rPr>
          <w:color w:val="000000"/>
          <w:sz w:val="22"/>
          <w:szCs w:val="22"/>
          <w:shd w:fill="FFFFFF" w:val="clear"/>
        </w:rPr>
        <w:t xml:space="preserve"> </w:t>
      </w:r>
      <w:r>
        <w:rPr>
          <w:i/>
          <w:color w:val="000000"/>
          <w:sz w:val="22"/>
          <w:szCs w:val="22"/>
          <w:shd w:fill="FFFFFF" w:val="clear"/>
        </w:rPr>
        <w:t>coli</w:t>
      </w:r>
      <w:r>
        <w:rPr>
          <w:color w:val="000000"/>
          <w:sz w:val="22"/>
          <w:szCs w:val="22"/>
          <w:shd w:fill="FFFFFF" w:val="clear"/>
        </w:rPr>
        <w:t xml:space="preserve">, and cross-domain pathogens have a foothold in agricultural production areas. The commonality of environmental contamination translates to contact with plants. Absence of kill steps against human pathogens for the fresh produce, arrival on plants leads to persistence and the risk of human illness. </w:t>
      </w:r>
    </w:p>
    <w:p>
      <w:pPr>
        <w:pStyle w:val="style0"/>
        <w:widowControl w:val="false"/>
        <w:tabs>
          <w:tab w:leader="none" w:pos="720" w:val="left"/>
        </w:tabs>
        <w:spacing w:line="360" w:lineRule="auto"/>
        <w:ind w:hanging="0" w:left="0" w:right="29"/>
        <w:jc w:val="both"/>
      </w:pPr>
      <w:r>
        <w:rPr>
          <w:color w:val="000000"/>
          <w:sz w:val="22"/>
          <w:szCs w:val="22"/>
        </w:rPr>
        <w:tab/>
        <w:t xml:space="preserve">Since most fresh produce receives minimal processing and is often eaten raw, pathogen contamination can present serious health risk. Further cutting, slicing or peeling cause tissue damage which releases nutrients and facilitates growth of microorganisms (Harris </w:t>
      </w:r>
      <w:r>
        <w:rPr>
          <w:i/>
          <w:color w:val="000000"/>
          <w:sz w:val="22"/>
          <w:szCs w:val="22"/>
        </w:rPr>
        <w:t>et al</w:t>
      </w:r>
      <w:r>
        <w:rPr>
          <w:color w:val="000000"/>
          <w:sz w:val="22"/>
          <w:szCs w:val="22"/>
        </w:rPr>
        <w:t xml:space="preserve"> 2003). </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The occurrence of foodborne illness from contaminated fresh produce challenged the belief that such disease was linked to the consumption of foods of animal origin, including meat, poultry, eggs, and milk. Early epidemiological investigations of produce as a source of infection were triggered mostly by the increased isolation of a rare species or serovar of enteric pathogens from clinical patients; thus, outbreaks from common types of pathogens may have remained undetected (Tauxe 1997). Since the early 1990s, awareness of the potential of fresh produce to cause foodborne disease has increased, and reported outbreaks associated with this commodity have grown steadily (Sivapalasingam 2004). Several studies have demonstrated the presence of foodborne pathogenic bacteria on crops grown in soil to which naturally or artificially contaminated manure was applied (Solomon and Matthews 2006). Besides the health risk associated with plant inhabiting, water carried pathogens such as </w:t>
      </w:r>
      <w:r>
        <w:rPr>
          <w:rFonts w:ascii="Times New Roman" w:hAnsi="Times New Roman"/>
          <w:i/>
          <w:iCs/>
          <w:color w:val="000000"/>
          <w:sz w:val="22"/>
          <w:szCs w:val="22"/>
        </w:rPr>
        <w:t>Aeromonas</w:t>
      </w:r>
      <w:r>
        <w:rPr>
          <w:rFonts w:ascii="Times New Roman" w:hAnsi="Times New Roman"/>
          <w:color w:val="000000"/>
          <w:sz w:val="22"/>
          <w:szCs w:val="22"/>
        </w:rPr>
        <w:t xml:space="preserve"> have also gained importance in recent years.</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Aeromonas species are widely distributes in aquatic environment, including raw and processed drinking water (Yigal </w:t>
      </w:r>
      <w:r>
        <w:rPr>
          <w:rFonts w:ascii="Times New Roman" w:hAnsi="Times New Roman"/>
          <w:i/>
          <w:color w:val="000000"/>
          <w:sz w:val="22"/>
          <w:szCs w:val="22"/>
        </w:rPr>
        <w:t>et al</w:t>
      </w:r>
      <w:r>
        <w:rPr>
          <w:rFonts w:ascii="Times New Roman" w:hAnsi="Times New Roman"/>
          <w:color w:val="000000"/>
          <w:sz w:val="22"/>
          <w:szCs w:val="22"/>
        </w:rPr>
        <w:t xml:space="preserve"> 2012), and have been frequently isolated from various food products such as fish and shellfish, raw meat, vegetables and raw milk (Maria Elena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2013). Motile aeromonads are considered as emerging food borne pathogen because it was shown that some </w:t>
      </w:r>
      <w:r>
        <w:rPr>
          <w:rFonts w:ascii="Times New Roman" w:hAnsi="Times New Roman"/>
          <w:i/>
          <w:iCs/>
          <w:color w:val="000000"/>
          <w:sz w:val="22"/>
          <w:szCs w:val="22"/>
        </w:rPr>
        <w:t>Aeromonas</w:t>
      </w:r>
      <w:r>
        <w:rPr>
          <w:rFonts w:ascii="Times New Roman" w:hAnsi="Times New Roman"/>
          <w:color w:val="000000"/>
          <w:sz w:val="22"/>
          <w:szCs w:val="22"/>
        </w:rPr>
        <w:t xml:space="preserve"> isolates can produce different virulence facors, not only at optimal growth temperature, but also at referigeration temperature. </w:t>
      </w:r>
      <w:r>
        <w:rPr>
          <w:rFonts w:ascii="Times New Roman" w:hAnsi="Times New Roman"/>
          <w:i/>
          <w:color w:val="000000"/>
          <w:sz w:val="22"/>
          <w:szCs w:val="22"/>
        </w:rPr>
        <w:t>Aeromonas hydrophila</w:t>
      </w:r>
      <w:r>
        <w:rPr>
          <w:rFonts w:ascii="Times New Roman" w:hAnsi="Times New Roman"/>
          <w:color w:val="000000"/>
          <w:sz w:val="22"/>
          <w:szCs w:val="22"/>
        </w:rPr>
        <w:t xml:space="preserve"> is commonly involved in causing human infections such as septicemia, gastroenteritis and cellulitis, wound sepsis with necrosis, gangrene, as well as pneumonia and traveler’s diarrhea normally resulting from handling and consumption of contaminated food (Hawraa Natiq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2013). </w:t>
      </w:r>
      <w:r>
        <w:rPr>
          <w:rFonts w:ascii="Times New Roman" w:hAnsi="Times New Roman"/>
          <w:i/>
          <w:color w:val="000000"/>
          <w:sz w:val="22"/>
          <w:szCs w:val="22"/>
        </w:rPr>
        <w:t>A. hydrophila</w:t>
      </w:r>
      <w:r>
        <w:rPr>
          <w:rFonts w:ascii="Times New Roman" w:hAnsi="Times New Roman"/>
          <w:color w:val="000000"/>
          <w:sz w:val="22"/>
          <w:szCs w:val="22"/>
        </w:rPr>
        <w:t xml:space="preserve"> secretes several extracellular proteins including enterotoxin, hemolysin and aerolysin that are associated with the bacterial virulence factors (Puttalingama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2013). </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Epidemics of foodborne disease are not only a threat to public health but also erode consumer confidence in the causal food product and thus, impact the economic viability of the industry. A recent report by the Centers for Disease Control and Prevention, USA which revealed that contaminated produce caused 46% of the individual cases of foodborne illness in the United States between 1998 and 2008 confirmed that the risk of acquiring infections from produce is high and persisting despite increased awareness and prevention measures taken by producers and processors (Painter </w:t>
      </w:r>
      <w:r>
        <w:rPr>
          <w:rFonts w:ascii="Times New Roman" w:hAnsi="Times New Roman"/>
          <w:i/>
          <w:color w:val="000000"/>
          <w:sz w:val="22"/>
          <w:szCs w:val="22"/>
        </w:rPr>
        <w:t>et al</w:t>
      </w:r>
      <w:r>
        <w:rPr>
          <w:rFonts w:ascii="Times New Roman" w:hAnsi="Times New Roman"/>
          <w:color w:val="000000"/>
          <w:sz w:val="22"/>
          <w:szCs w:val="22"/>
        </w:rPr>
        <w:t xml:space="preserve"> 2013).Fresh-cut fruits and vegetables are no longer considered low risk in terms of food safety. Recently, a number of outbreaks have been traced to fresh-cut fruits and vegetables that were processed under less than sanitary conditions. It is well known that disinfection is on of the most critical processing steps in fresh-cut vegetable production, affecting the quality, safety and shelf-life of the end product. Washing is designed to remove dirt, pesticide residues and microorganisms responsible for quality loss.</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In a study conducted in Tamil Nadu, India, on  the virulent strains of motile </w:t>
      </w:r>
      <w:r>
        <w:rPr>
          <w:rFonts w:ascii="Times New Roman" w:hAnsi="Times New Roman"/>
          <w:i/>
          <w:iCs/>
          <w:color w:val="000000"/>
          <w:sz w:val="22"/>
          <w:szCs w:val="22"/>
        </w:rPr>
        <w:t>Aeromonas</w:t>
      </w:r>
      <w:r>
        <w:rPr>
          <w:rFonts w:ascii="Times New Roman" w:hAnsi="Times New Roman"/>
          <w:color w:val="000000"/>
          <w:sz w:val="22"/>
          <w:szCs w:val="22"/>
        </w:rPr>
        <w:t xml:space="preserve"> from commercial food products, a total of 389 food samples were aseptically collected throughout the year and processed for the isolation and identification of motile </w:t>
      </w:r>
      <w:r>
        <w:rPr>
          <w:rFonts w:ascii="Times New Roman" w:hAnsi="Times New Roman"/>
          <w:i/>
          <w:iCs/>
          <w:color w:val="000000"/>
          <w:sz w:val="22"/>
          <w:szCs w:val="22"/>
        </w:rPr>
        <w:t xml:space="preserve">Aeromonas </w:t>
      </w:r>
      <w:r>
        <w:rPr>
          <w:rFonts w:ascii="Times New Roman" w:hAnsi="Times New Roman"/>
          <w:color w:val="000000"/>
          <w:sz w:val="22"/>
          <w:szCs w:val="22"/>
        </w:rPr>
        <w:t xml:space="preserve">by performing array of morphological, biochemicaland phenotypical tests, along with their virulence determination of polymerase chain reaction. A total of 72(18.50%) tenative isolates of  </w:t>
      </w:r>
      <w:r>
        <w:rPr>
          <w:rFonts w:ascii="Times New Roman" w:hAnsi="Times New Roman"/>
          <w:i/>
          <w:iCs/>
          <w:color w:val="000000"/>
          <w:sz w:val="22"/>
          <w:szCs w:val="22"/>
        </w:rPr>
        <w:t xml:space="preserve">Aeromonas </w:t>
      </w:r>
      <w:r>
        <w:rPr>
          <w:rFonts w:ascii="Times New Roman" w:hAnsi="Times New Roman"/>
          <w:color w:val="000000"/>
          <w:sz w:val="22"/>
          <w:szCs w:val="22"/>
        </w:rPr>
        <w:t xml:space="preserve">were identified as  </w:t>
      </w:r>
      <w:bookmarkStart w:id="0" w:name="__DdeLink__1031_1289235729"/>
      <w:r>
        <w:rPr>
          <w:rFonts w:ascii="Times New Roman" w:hAnsi="Times New Roman"/>
          <w:i/>
          <w:iCs/>
          <w:color w:val="000000"/>
          <w:sz w:val="22"/>
          <w:szCs w:val="22"/>
        </w:rPr>
        <w:t>A. hydrophila</w:t>
      </w:r>
      <w:bookmarkEnd w:id="0"/>
      <w:r>
        <w:rPr>
          <w:rFonts w:ascii="Times New Roman" w:hAnsi="Times New Roman"/>
          <w:i/>
          <w:iCs/>
          <w:color w:val="000000"/>
          <w:sz w:val="22"/>
          <w:szCs w:val="22"/>
        </w:rPr>
        <w:t xml:space="preserve"> </w:t>
      </w:r>
      <w:r>
        <w:rPr>
          <w:rFonts w:ascii="Times New Roman" w:hAnsi="Times New Roman"/>
          <w:color w:val="000000"/>
          <w:sz w:val="22"/>
          <w:szCs w:val="22"/>
        </w:rPr>
        <w:t xml:space="preserve">38 (52.77%). In duplex PCR, extracellular haemolysin gene (ahh1) was detected from 55.26% </w:t>
      </w:r>
      <w:r>
        <w:rPr>
          <w:rFonts w:ascii="Times New Roman" w:hAnsi="Times New Roman"/>
          <w:i/>
          <w:iCs/>
          <w:color w:val="000000"/>
          <w:sz w:val="22"/>
          <w:szCs w:val="22"/>
        </w:rPr>
        <w:t>A. hydrophila</w:t>
      </w:r>
      <w:r>
        <w:rPr>
          <w:rFonts w:ascii="Times New Roman" w:hAnsi="Times New Roman"/>
          <w:color w:val="000000"/>
          <w:sz w:val="22"/>
          <w:szCs w:val="22"/>
        </w:rPr>
        <w:t xml:space="preserve">, whereas </w:t>
      </w:r>
      <w:r>
        <w:rPr>
          <w:rFonts w:ascii="Times New Roman" w:hAnsi="Times New Roman"/>
          <w:i/>
          <w:iCs/>
          <w:color w:val="000000"/>
          <w:sz w:val="22"/>
          <w:szCs w:val="22"/>
        </w:rPr>
        <w:t xml:space="preserve">A. hydrophila </w:t>
      </w:r>
      <w:r>
        <w:rPr>
          <w:rFonts w:ascii="Times New Roman" w:hAnsi="Times New Roman"/>
          <w:color w:val="000000"/>
          <w:sz w:val="22"/>
          <w:szCs w:val="22"/>
        </w:rPr>
        <w:t xml:space="preserve">aerolysin gene (aerA) gene was detected along with the ahh1 genes in 68.42% isolates of </w:t>
      </w:r>
      <w:r>
        <w:rPr>
          <w:rFonts w:ascii="Times New Roman" w:hAnsi="Times New Roman"/>
          <w:i/>
          <w:iCs/>
          <w:color w:val="000000"/>
          <w:sz w:val="22"/>
          <w:szCs w:val="22"/>
        </w:rPr>
        <w:t xml:space="preserve">A. hydrophila. </w:t>
      </w:r>
      <w:r>
        <w:rPr>
          <w:rFonts w:ascii="Times New Roman" w:hAnsi="Times New Roman"/>
          <w:color w:val="000000"/>
          <w:sz w:val="22"/>
          <w:szCs w:val="22"/>
        </w:rPr>
        <w:t xml:space="preserve">Virulent strains of motile </w:t>
      </w:r>
      <w:r>
        <w:rPr>
          <w:rFonts w:ascii="Times New Roman" w:hAnsi="Times New Roman"/>
          <w:i/>
          <w:iCs/>
          <w:color w:val="000000"/>
          <w:sz w:val="22"/>
          <w:szCs w:val="22"/>
        </w:rPr>
        <w:t>A. hydrophila</w:t>
      </w:r>
      <w:r>
        <w:rPr>
          <w:rFonts w:ascii="Times New Roman" w:hAnsi="Times New Roman"/>
          <w:color w:val="000000"/>
          <w:sz w:val="22"/>
          <w:szCs w:val="22"/>
        </w:rPr>
        <w:t xml:space="preserve"> in human consumbale food and food products impending a high risk of foodborne illness (Arunava Das </w:t>
      </w:r>
      <w:r>
        <w:rPr>
          <w:rFonts w:ascii="Times New Roman" w:hAnsi="Times New Roman"/>
          <w:i/>
          <w:iCs/>
          <w:color w:val="000000"/>
          <w:sz w:val="22"/>
          <w:szCs w:val="22"/>
        </w:rPr>
        <w:t>et al</w:t>
      </w:r>
      <w:r>
        <w:rPr>
          <w:rFonts w:ascii="Times New Roman" w:hAnsi="Times New Roman"/>
          <w:color w:val="000000"/>
          <w:sz w:val="22"/>
          <w:szCs w:val="22"/>
        </w:rPr>
        <w:t xml:space="preserve"> 2013).</w:t>
      </w:r>
    </w:p>
    <w:p>
      <w:pPr>
        <w:pStyle w:val="style167"/>
        <w:widowControl w:val="false"/>
        <w:tabs>
          <w:tab w:leader="none" w:pos="720" w:val="left"/>
        </w:tabs>
        <w:spacing w:line="360" w:lineRule="auto"/>
        <w:ind w:hanging="0" w:left="0" w:right="29"/>
        <w:jc w:val="both"/>
      </w:pPr>
      <w:r>
        <w:rPr>
          <w:rFonts w:ascii="Times New Roman" w:hAnsi="Times New Roman"/>
          <w:bCs/>
          <w:color w:val="000000"/>
          <w:sz w:val="22"/>
          <w:szCs w:val="22"/>
        </w:rPr>
        <w:tab/>
        <w:t xml:space="preserve">Traditional biochemical and immunochemical methods for the detection of  microorganisms  in food  have  been  supplemented  by  a  number  of  DNA based  methods  during. Multiplex PCR based detection technique save time and minimize the expense on detection of food  borne  pathogens  (Bottero </w:t>
      </w:r>
      <w:r>
        <w:rPr>
          <w:rFonts w:ascii="Times New Roman" w:hAnsi="Times New Roman"/>
          <w:bCs/>
          <w:i/>
          <w:color w:val="000000"/>
          <w:sz w:val="22"/>
          <w:szCs w:val="22"/>
        </w:rPr>
        <w:t>et al</w:t>
      </w:r>
      <w:r>
        <w:rPr>
          <w:rFonts w:ascii="Times New Roman" w:hAnsi="Times New Roman"/>
          <w:bCs/>
          <w:color w:val="000000"/>
          <w:sz w:val="22"/>
          <w:szCs w:val="22"/>
        </w:rPr>
        <w:t xml:space="preserve"> 2004). </w:t>
      </w:r>
    </w:p>
    <w:p>
      <w:pPr>
        <w:pStyle w:val="style167"/>
        <w:widowControl w:val="false"/>
        <w:tabs>
          <w:tab w:leader="none" w:pos="720" w:val="left"/>
        </w:tabs>
        <w:spacing w:line="360" w:lineRule="auto"/>
        <w:ind w:hanging="0" w:left="0" w:right="29"/>
        <w:jc w:val="both"/>
      </w:pPr>
      <w:r>
        <w:rPr>
          <w:rFonts w:ascii="Times New Roman" w:hAnsi="Times New Roman"/>
          <w:bCs/>
          <w:color w:val="000000"/>
          <w:sz w:val="22"/>
          <w:szCs w:val="22"/>
        </w:rPr>
        <w:tab/>
        <w:t xml:space="preserve">So, objective of this study is molecular characterization of indigenous isolates of </w:t>
      </w:r>
      <w:r>
        <w:rPr>
          <w:rFonts w:ascii="Times New Roman" w:hAnsi="Times New Roman"/>
          <w:bCs/>
          <w:i/>
          <w:iCs/>
          <w:color w:val="000000"/>
          <w:sz w:val="22"/>
          <w:szCs w:val="22"/>
        </w:rPr>
        <w:t>Aeromonas hydrophila</w:t>
      </w:r>
      <w:r>
        <w:rPr>
          <w:rFonts w:ascii="Times New Roman" w:hAnsi="Times New Roman"/>
          <w:bCs/>
          <w:color w:val="000000"/>
          <w:sz w:val="22"/>
          <w:szCs w:val="22"/>
        </w:rPr>
        <w:t xml:space="preserve"> from salad vegetables and use of chemical disinfectants for public health appraisal. </w:t>
      </w:r>
    </w:p>
    <w:p>
      <w:pPr>
        <w:pStyle w:val="style167"/>
        <w:widowControl w:val="false"/>
        <w:tabs>
          <w:tab w:leader="none" w:pos="720" w:val="left"/>
        </w:tabs>
        <w:spacing w:line="360" w:lineRule="auto"/>
        <w:ind w:hanging="0" w:left="0" w:right="29"/>
        <w:jc w:val="both"/>
      </w:pPr>
      <w:r>
        <w:rPr/>
      </w:r>
    </w:p>
    <w:p>
      <w:pPr>
        <w:pStyle w:val="style167"/>
        <w:widowControl w:val="false"/>
        <w:tabs>
          <w:tab w:leader="none" w:pos="720" w:val="left"/>
        </w:tabs>
        <w:spacing w:line="360" w:lineRule="auto"/>
        <w:ind w:hanging="0" w:left="0" w:right="29"/>
        <w:jc w:val="both"/>
      </w:pPr>
      <w:r>
        <w:rPr>
          <w:rFonts w:ascii="Times New Roman" w:hAnsi="Times New Roman"/>
          <w:b/>
          <w:bCs/>
          <w:color w:val="000000"/>
          <w:sz w:val="22"/>
          <w:szCs w:val="22"/>
        </w:rPr>
        <w:t>Knowledge gaps</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 xml:space="preserve">Database regarding the prevalence of virulent strains </w:t>
      </w:r>
      <w:r>
        <w:rPr>
          <w:rFonts w:ascii="Times New Roman" w:hAnsi="Times New Roman"/>
          <w:i/>
          <w:iCs/>
          <w:color w:val="000000"/>
          <w:sz w:val="22"/>
          <w:szCs w:val="22"/>
        </w:rPr>
        <w:t>Aeromonas</w:t>
      </w:r>
      <w:r>
        <w:rPr>
          <w:rFonts w:ascii="Times New Roman" w:hAnsi="Times New Roman"/>
          <w:color w:val="000000"/>
          <w:sz w:val="22"/>
          <w:szCs w:val="22"/>
        </w:rPr>
        <w:t xml:space="preserve"> </w:t>
      </w:r>
      <w:r>
        <w:rPr>
          <w:rFonts w:ascii="Times New Roman" w:hAnsi="Times New Roman"/>
          <w:i/>
          <w:iCs/>
          <w:color w:val="000000"/>
          <w:sz w:val="22"/>
          <w:szCs w:val="22"/>
        </w:rPr>
        <w:t>hydrophila</w:t>
      </w:r>
      <w:r>
        <w:rPr>
          <w:rFonts w:ascii="Times New Roman" w:hAnsi="Times New Roman"/>
          <w:color w:val="000000"/>
          <w:sz w:val="22"/>
          <w:szCs w:val="22"/>
        </w:rPr>
        <w:t xml:space="preserve"> in salad vegetables is lacking.</w:t>
      </w:r>
    </w:p>
    <w:p>
      <w:pPr>
        <w:pStyle w:val="style167"/>
        <w:widowControl w:val="false"/>
        <w:tabs>
          <w:tab w:leader="none" w:pos="720" w:val="left"/>
        </w:tabs>
        <w:spacing w:line="360" w:lineRule="auto"/>
        <w:ind w:hanging="0" w:left="0" w:right="29"/>
        <w:jc w:val="both"/>
      </w:pPr>
      <w:r>
        <w:rPr>
          <w:rFonts w:ascii="Times New Roman" w:hAnsi="Times New Roman"/>
          <w:b/>
          <w:color w:val="000000"/>
          <w:sz w:val="22"/>
          <w:szCs w:val="22"/>
        </w:rPr>
        <w:t>Objectives</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The present study is planned with the following objectives:</w:t>
      </w:r>
    </w:p>
    <w:p>
      <w:pPr>
        <w:pStyle w:val="style167"/>
        <w:widowControl w:val="false"/>
        <w:numPr>
          <w:ilvl w:val="0"/>
          <w:numId w:val="6"/>
        </w:numPr>
        <w:tabs>
          <w:tab w:leader="none" w:pos="720" w:val="left"/>
        </w:tabs>
        <w:spacing w:line="360" w:lineRule="auto"/>
        <w:jc w:val="both"/>
      </w:pPr>
      <w:r>
        <w:rPr>
          <w:rFonts w:ascii="Times New Roman" w:hAnsi="Times New Roman"/>
          <w:color w:val="000000"/>
          <w:sz w:val="22"/>
          <w:szCs w:val="22"/>
        </w:rPr>
        <w:t xml:space="preserve">To undertake epidemiological Surveillance of </w:t>
      </w:r>
      <w:r>
        <w:rPr>
          <w:rFonts w:ascii="Times New Roman" w:hAnsi="Times New Roman"/>
          <w:i/>
          <w:iCs/>
          <w:color w:val="000000"/>
          <w:sz w:val="22"/>
          <w:szCs w:val="22"/>
        </w:rPr>
        <w:t xml:space="preserve">Aeromonas </w:t>
      </w:r>
      <w:r>
        <w:rPr>
          <w:rFonts w:ascii="Times New Roman" w:hAnsi="Times New Roman"/>
          <w:i w:val="false"/>
          <w:iCs w:val="false"/>
          <w:color w:val="000000"/>
          <w:sz w:val="22"/>
          <w:szCs w:val="22"/>
        </w:rPr>
        <w:t>strains</w:t>
      </w:r>
      <w:r>
        <w:rPr>
          <w:rFonts w:ascii="Times New Roman" w:hAnsi="Times New Roman"/>
          <w:color w:val="000000"/>
          <w:sz w:val="22"/>
          <w:szCs w:val="22"/>
        </w:rPr>
        <w:t xml:space="preserve"> in salad vegetables.</w:t>
      </w:r>
    </w:p>
    <w:p>
      <w:pPr>
        <w:pStyle w:val="style167"/>
        <w:widowControl w:val="false"/>
        <w:numPr>
          <w:ilvl w:val="0"/>
          <w:numId w:val="6"/>
        </w:numPr>
        <w:tabs>
          <w:tab w:leader="none" w:pos="720" w:val="left"/>
        </w:tabs>
        <w:spacing w:line="360" w:lineRule="auto"/>
        <w:jc w:val="both"/>
      </w:pPr>
      <w:r>
        <w:rPr>
          <w:rFonts w:ascii="Times New Roman" w:hAnsi="Times New Roman"/>
          <w:color w:val="000000"/>
          <w:sz w:val="22"/>
          <w:szCs w:val="22"/>
        </w:rPr>
        <w:t xml:space="preserve">Biochemical and molecular characterization of the </w:t>
      </w:r>
      <w:r>
        <w:rPr>
          <w:rFonts w:ascii="Times New Roman" w:hAnsi="Times New Roman"/>
          <w:bCs/>
          <w:i/>
          <w:iCs/>
          <w:color w:val="000000"/>
          <w:sz w:val="22"/>
          <w:szCs w:val="22"/>
        </w:rPr>
        <w:t>Aeromonas</w:t>
      </w:r>
      <w:r>
        <w:rPr>
          <w:rFonts w:ascii="Times New Roman" w:hAnsi="Times New Roman"/>
          <w:bCs/>
          <w:color w:val="000000"/>
          <w:sz w:val="22"/>
          <w:szCs w:val="22"/>
        </w:rPr>
        <w:t xml:space="preserve"> </w:t>
      </w:r>
      <w:r>
        <w:rPr>
          <w:rFonts w:ascii="Times New Roman" w:hAnsi="Times New Roman"/>
          <w:bCs/>
          <w:i/>
          <w:iCs/>
          <w:color w:val="000000"/>
          <w:sz w:val="22"/>
          <w:szCs w:val="22"/>
        </w:rPr>
        <w:t>hydrophila.</w:t>
      </w:r>
    </w:p>
    <w:p>
      <w:pPr>
        <w:pStyle w:val="style167"/>
        <w:widowControl w:val="false"/>
        <w:tabs>
          <w:tab w:leader="none" w:pos="720" w:val="left"/>
        </w:tabs>
        <w:spacing w:line="360" w:lineRule="auto"/>
        <w:ind w:hanging="0" w:left="0" w:right="29"/>
        <w:jc w:val="both"/>
      </w:pPr>
      <w:r>
        <w:rPr>
          <w:rFonts w:ascii="Times New Roman" w:hAnsi="Times New Roman"/>
          <w:b/>
          <w:color w:val="000000"/>
          <w:sz w:val="22"/>
          <w:szCs w:val="22"/>
        </w:rPr>
        <w:t>3.  Expected new knowledge</w:t>
      </w:r>
    </w:p>
    <w:p>
      <w:pPr>
        <w:pStyle w:val="style167"/>
        <w:widowControl w:val="false"/>
        <w:tabs>
          <w:tab w:leader="none" w:pos="720" w:val="left"/>
        </w:tabs>
        <w:spacing w:line="360" w:lineRule="auto"/>
        <w:ind w:hanging="0" w:left="0" w:right="29"/>
        <w:jc w:val="both"/>
      </w:pPr>
      <w:r>
        <w:rPr>
          <w:rFonts w:ascii="Times New Roman" w:hAnsi="Times New Roman"/>
          <w:bCs/>
          <w:color w:val="000000"/>
          <w:sz w:val="22"/>
          <w:szCs w:val="22"/>
        </w:rPr>
        <w:t xml:space="preserve">The studies will provide detailed information on the: </w:t>
      </w:r>
    </w:p>
    <w:p>
      <w:pPr>
        <w:pStyle w:val="style167"/>
        <w:widowControl w:val="false"/>
        <w:tabs>
          <w:tab w:leader="none" w:pos="720" w:val="left"/>
        </w:tabs>
        <w:spacing w:line="360" w:lineRule="auto"/>
        <w:jc w:val="both"/>
      </w:pPr>
      <w:r>
        <w:rPr>
          <w:rFonts w:ascii="Times New Roman" w:hAnsi="Times New Roman"/>
          <w:bCs/>
          <w:color w:val="000000"/>
          <w:sz w:val="22"/>
          <w:szCs w:val="22"/>
        </w:rPr>
        <w:t xml:space="preserve"> </w:t>
      </w:r>
      <w:r>
        <w:rPr>
          <w:rFonts w:ascii="Times New Roman" w:hAnsi="Times New Roman"/>
          <w:bCs/>
          <w:color w:val="000000"/>
          <w:sz w:val="22"/>
          <w:szCs w:val="22"/>
        </w:rPr>
        <w:t xml:space="preserve">Prevalence and distribution of virulence factors of </w:t>
      </w:r>
      <w:r>
        <w:rPr>
          <w:rFonts w:ascii="Times New Roman" w:hAnsi="Times New Roman"/>
          <w:bCs/>
          <w:i/>
          <w:iCs/>
          <w:color w:val="000000"/>
          <w:sz w:val="22"/>
          <w:szCs w:val="22"/>
        </w:rPr>
        <w:t>Aeromonas</w:t>
      </w:r>
      <w:r>
        <w:rPr>
          <w:rFonts w:ascii="Times New Roman" w:hAnsi="Times New Roman"/>
          <w:bCs/>
          <w:color w:val="000000"/>
          <w:sz w:val="22"/>
          <w:szCs w:val="22"/>
        </w:rPr>
        <w:t xml:space="preserve"> </w:t>
      </w:r>
      <w:r>
        <w:rPr>
          <w:rFonts w:ascii="Times New Roman" w:hAnsi="Times New Roman"/>
          <w:bCs/>
          <w:i/>
          <w:iCs/>
          <w:color w:val="000000"/>
          <w:sz w:val="22"/>
          <w:szCs w:val="22"/>
        </w:rPr>
        <w:t>hydrophila</w:t>
      </w:r>
      <w:r>
        <w:rPr>
          <w:rFonts w:ascii="Times New Roman" w:hAnsi="Times New Roman"/>
          <w:bCs/>
          <w:color w:val="000000"/>
          <w:sz w:val="22"/>
          <w:szCs w:val="22"/>
        </w:rPr>
        <w:t xml:space="preserve"> in fresh vegetables.</w:t>
      </w:r>
    </w:p>
    <w:p>
      <w:pPr>
        <w:pStyle w:val="style167"/>
        <w:widowControl w:val="false"/>
        <w:tabs>
          <w:tab w:leader="none" w:pos="720" w:val="left"/>
        </w:tabs>
        <w:spacing w:line="360" w:lineRule="auto"/>
        <w:ind w:hanging="0" w:left="0" w:right="29"/>
        <w:jc w:val="both"/>
      </w:pPr>
      <w:r>
        <w:rPr>
          <w:rFonts w:ascii="Times New Roman" w:hAnsi="Times New Roman"/>
          <w:b/>
          <w:bCs/>
          <w:color w:val="000000"/>
          <w:sz w:val="22"/>
          <w:szCs w:val="22"/>
        </w:rPr>
        <w:t xml:space="preserve">4. Review of literature </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Fresh vegetables are an essential part of the diet of people around the world and their consumption is increasing rapidly due to their health benefits and changes in people lifestyles (Huxley </w:t>
      </w:r>
      <w:r>
        <w:rPr>
          <w:rFonts w:ascii="Times New Roman" w:hAnsi="Times New Roman"/>
          <w:i/>
          <w:color w:val="000000"/>
          <w:sz w:val="22"/>
          <w:szCs w:val="22"/>
        </w:rPr>
        <w:t xml:space="preserve">et al </w:t>
      </w:r>
      <w:r>
        <w:rPr>
          <w:rFonts w:ascii="Times New Roman" w:hAnsi="Times New Roman"/>
          <w:color w:val="000000"/>
          <w:sz w:val="22"/>
          <w:szCs w:val="22"/>
        </w:rPr>
        <w:t xml:space="preserve">2004; Ajlouni </w:t>
      </w:r>
      <w:r>
        <w:rPr>
          <w:rFonts w:ascii="Times New Roman" w:hAnsi="Times New Roman"/>
          <w:i/>
          <w:color w:val="000000"/>
          <w:sz w:val="22"/>
          <w:szCs w:val="22"/>
        </w:rPr>
        <w:t xml:space="preserve">et al </w:t>
      </w:r>
      <w:r>
        <w:rPr>
          <w:rFonts w:ascii="Times New Roman" w:hAnsi="Times New Roman"/>
          <w:color w:val="000000"/>
          <w:sz w:val="22"/>
          <w:szCs w:val="22"/>
        </w:rPr>
        <w:t xml:space="preserve">2006). The trend to consume fresh produce including vegetables has grown tremendously over the last few decades (López-Gálvez </w:t>
      </w:r>
      <w:r>
        <w:rPr>
          <w:rFonts w:ascii="Times New Roman" w:hAnsi="Times New Roman"/>
          <w:i/>
          <w:color w:val="000000"/>
          <w:sz w:val="22"/>
          <w:szCs w:val="22"/>
        </w:rPr>
        <w:t xml:space="preserve">et al </w:t>
      </w:r>
      <w:r>
        <w:rPr>
          <w:rFonts w:ascii="Times New Roman" w:hAnsi="Times New Roman"/>
          <w:color w:val="000000"/>
          <w:sz w:val="22"/>
          <w:szCs w:val="22"/>
        </w:rPr>
        <w:t xml:space="preserve">2009). However, along with the increase in fresh vegetable consumption, concerns about the safety of consumers have risen, as presence of spoilage bacteria, yeasts and molds and pathogens is common in these foods (Zhang and Farber 1996). </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 Food is biological in nature, it is capable of supporting the growth of microorganisms and food borne diseases result from the ingestion of contaminated foods and food products (Guyader and Atmar 2008). More than 250 different types of viruses, bacteria, parasites, toxins, metals, and prions are associated with foodborne diseases in humans. The infections range from mild gastroenteritis to life threatening neurologic, hepatic, and renal syndromes caused by either toxin from the “disease-causing” microbe, or by the human body’s reaction to the microbe itself (Teplitski </w:t>
      </w:r>
      <w:r>
        <w:rPr>
          <w:rFonts w:ascii="Times New Roman" w:hAnsi="Times New Roman"/>
          <w:i/>
          <w:iCs/>
          <w:color w:val="000000"/>
          <w:sz w:val="22"/>
          <w:szCs w:val="22"/>
        </w:rPr>
        <w:t xml:space="preserve">et al </w:t>
      </w:r>
      <w:r>
        <w:rPr>
          <w:rFonts w:ascii="Times New Roman" w:hAnsi="Times New Roman"/>
          <w:color w:val="000000"/>
          <w:sz w:val="22"/>
          <w:szCs w:val="22"/>
        </w:rPr>
        <w:t xml:space="preserve"> 2009).</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ab/>
        <w:t xml:space="preserve">According to study conducted on raw vegetables in Sowthwest Ethiopia, </w:t>
      </w:r>
      <w:r>
        <w:rPr>
          <w:rFonts w:ascii="Times New Roman" w:hAnsi="Times New Roman"/>
          <w:i/>
          <w:iCs/>
          <w:color w:val="000000"/>
          <w:sz w:val="22"/>
          <w:szCs w:val="22"/>
        </w:rPr>
        <w:t xml:space="preserve">Aeromonas hydrophila </w:t>
      </w:r>
      <w:r>
        <w:rPr>
          <w:rFonts w:ascii="Times New Roman" w:hAnsi="Times New Roman"/>
          <w:color w:val="000000"/>
          <w:sz w:val="22"/>
          <w:szCs w:val="22"/>
        </w:rPr>
        <w:t xml:space="preserve">was isolated from Tomato (9.3%), Cabbage (8.7%), Carrot (4.5%), Lettuce (9.9%), Green pepper (12.6%) i.e. a total of six bacterial genera were identified out of which  </w:t>
      </w:r>
      <w:r>
        <w:rPr>
          <w:rFonts w:ascii="Times New Roman" w:hAnsi="Times New Roman"/>
          <w:i/>
          <w:iCs/>
          <w:color w:val="000000"/>
          <w:sz w:val="22"/>
          <w:szCs w:val="22"/>
        </w:rPr>
        <w:t xml:space="preserve">Aeromonas hydrophila </w:t>
      </w:r>
      <w:r>
        <w:rPr>
          <w:rFonts w:ascii="Times New Roman" w:hAnsi="Times New Roman"/>
          <w:color w:val="000000"/>
          <w:sz w:val="22"/>
          <w:szCs w:val="22"/>
        </w:rPr>
        <w:t xml:space="preserve">constitute 9.3% (Duggassa </w:t>
      </w:r>
      <w:r>
        <w:rPr>
          <w:rFonts w:ascii="Times New Roman" w:hAnsi="Times New Roman"/>
          <w:i/>
          <w:iCs/>
          <w:color w:val="000000"/>
          <w:sz w:val="22"/>
          <w:szCs w:val="22"/>
        </w:rPr>
        <w:t xml:space="preserve">et al </w:t>
      </w:r>
      <w:r>
        <w:rPr>
          <w:rFonts w:ascii="Times New Roman" w:hAnsi="Times New Roman"/>
          <w:color w:val="000000"/>
          <w:sz w:val="22"/>
          <w:szCs w:val="22"/>
        </w:rPr>
        <w:t>2014).</w:t>
      </w:r>
    </w:p>
    <w:p>
      <w:pPr>
        <w:pStyle w:val="style167"/>
        <w:widowControl w:val="false"/>
        <w:tabs>
          <w:tab w:leader="none" w:pos="720" w:val="left"/>
        </w:tabs>
        <w:spacing w:line="360" w:lineRule="auto"/>
        <w:ind w:hanging="0" w:left="0" w:right="29"/>
        <w:jc w:val="both"/>
      </w:pPr>
      <w:r>
        <w:rPr>
          <w:rFonts w:ascii="Times New Roman" w:hAnsi="Times New Roman"/>
          <w:color w:val="000000"/>
          <w:sz w:val="22"/>
          <w:szCs w:val="22"/>
        </w:rPr>
        <w:tab/>
      </w:r>
      <w:r>
        <w:rPr>
          <w:rFonts w:ascii="Times New Roman" w:hAnsi="Times New Roman"/>
          <w:i/>
          <w:iCs/>
          <w:color w:val="000000"/>
          <w:sz w:val="22"/>
          <w:szCs w:val="22"/>
        </w:rPr>
        <w:t xml:space="preserve">Aeromonas hydrophila </w:t>
      </w:r>
      <w:r>
        <w:rPr>
          <w:rFonts w:ascii="Times New Roman" w:hAnsi="Times New Roman"/>
          <w:color w:val="000000"/>
          <w:sz w:val="22"/>
          <w:szCs w:val="22"/>
        </w:rPr>
        <w:t xml:space="preserve">secretes several extracellular proteins including enterotoxin, hemolysin and aerolysin that are associated with the bacterial virulence factors (Puttalingamma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2013). Isolation of </w:t>
      </w:r>
      <w:r>
        <w:rPr>
          <w:rFonts w:ascii="Times New Roman" w:hAnsi="Times New Roman"/>
          <w:i/>
          <w:color w:val="000000"/>
          <w:sz w:val="22"/>
          <w:szCs w:val="22"/>
        </w:rPr>
        <w:t>A. hydrophila</w:t>
      </w:r>
      <w:r>
        <w:rPr>
          <w:rFonts w:ascii="Times New Roman" w:hAnsi="Times New Roman"/>
          <w:color w:val="000000"/>
          <w:sz w:val="22"/>
          <w:szCs w:val="22"/>
        </w:rPr>
        <w:t xml:space="preserve"> from water and food sources, and the increasing resistance of this organism to antibiotics and chlorination in water, presents a significant threat to public health (Chang </w:t>
      </w:r>
      <w:r>
        <w:rPr>
          <w:rFonts w:ascii="Times New Roman" w:hAnsi="Times New Roman"/>
          <w:i/>
          <w:iCs/>
          <w:color w:val="000000"/>
          <w:sz w:val="22"/>
          <w:szCs w:val="22"/>
        </w:rPr>
        <w:t xml:space="preserve">et al </w:t>
      </w:r>
      <w:r>
        <w:rPr>
          <w:rFonts w:ascii="Times New Roman" w:hAnsi="Times New Roman"/>
          <w:color w:val="000000"/>
          <w:sz w:val="22"/>
          <w:szCs w:val="22"/>
        </w:rPr>
        <w:t xml:space="preserve">2008). Toxins produced by this organism are generally active on the cell surface, causing pore formation and disruption of plasma membrane that subsequently leads to cell lysis. </w:t>
      </w:r>
    </w:p>
    <w:p>
      <w:pPr>
        <w:pStyle w:val="style0"/>
        <w:widowControl w:val="false"/>
        <w:tabs>
          <w:tab w:leader="none" w:pos="720" w:val="left"/>
        </w:tabs>
        <w:spacing w:line="360" w:lineRule="auto"/>
        <w:ind w:hanging="0" w:left="0" w:right="29"/>
        <w:jc w:val="both"/>
      </w:pPr>
      <w:r>
        <w:rPr>
          <w:color w:val="000000"/>
          <w:sz w:val="22"/>
          <w:szCs w:val="22"/>
        </w:rPr>
        <w:tab/>
        <w:t xml:space="preserve">Members of the </w:t>
      </w:r>
      <w:r>
        <w:rPr>
          <w:i/>
          <w:color w:val="000000"/>
          <w:sz w:val="22"/>
          <w:szCs w:val="22"/>
        </w:rPr>
        <w:t>Aeromonas</w:t>
      </w:r>
      <w:r>
        <w:rPr>
          <w:color w:val="000000"/>
          <w:sz w:val="22"/>
          <w:szCs w:val="22"/>
        </w:rPr>
        <w:t xml:space="preserve"> genus are widely prevalent in the aquatic environment and are frequently isolated from various foods, mainly seafood meat, milk and vegetables (Ottativini </w:t>
      </w:r>
      <w:r>
        <w:rPr>
          <w:i/>
          <w:iCs/>
          <w:color w:val="000000"/>
          <w:sz w:val="22"/>
          <w:szCs w:val="22"/>
        </w:rPr>
        <w:t xml:space="preserve">et al </w:t>
      </w:r>
      <w:r>
        <w:rPr>
          <w:color w:val="000000"/>
          <w:sz w:val="22"/>
          <w:szCs w:val="22"/>
        </w:rPr>
        <w:t xml:space="preserve">2011). The number of motile mesophilic </w:t>
      </w:r>
      <w:r>
        <w:rPr>
          <w:i/>
          <w:iCs/>
          <w:color w:val="000000"/>
          <w:sz w:val="22"/>
          <w:szCs w:val="22"/>
        </w:rPr>
        <w:t>Aeromonas spp.</w:t>
      </w:r>
      <w:r>
        <w:rPr>
          <w:color w:val="000000"/>
          <w:sz w:val="22"/>
          <w:szCs w:val="22"/>
        </w:rPr>
        <w:t xml:space="preserve"> organisms in foods varies from &lt;10</w:t>
      </w:r>
      <w:r>
        <w:rPr>
          <w:color w:val="000000"/>
          <w:sz w:val="22"/>
          <w:szCs w:val="22"/>
          <w:vertAlign w:val="superscript"/>
        </w:rPr>
        <w:t>2</w:t>
      </w:r>
      <w:r>
        <w:rPr>
          <w:color w:val="000000"/>
          <w:sz w:val="22"/>
          <w:szCs w:val="22"/>
        </w:rPr>
        <w:t xml:space="preserve"> cfu/g to 10</w:t>
      </w:r>
      <w:r>
        <w:rPr>
          <w:color w:val="000000"/>
          <w:sz w:val="22"/>
          <w:szCs w:val="22"/>
          <w:vertAlign w:val="superscript"/>
        </w:rPr>
        <w:t>5</w:t>
      </w:r>
      <w:r>
        <w:rPr>
          <w:color w:val="000000"/>
          <w:sz w:val="22"/>
          <w:szCs w:val="22"/>
        </w:rPr>
        <w:t xml:space="preserve"> cfu/g (Neyts </w:t>
      </w:r>
      <w:r>
        <w:rPr>
          <w:i/>
          <w:iCs/>
          <w:color w:val="000000"/>
          <w:sz w:val="22"/>
          <w:szCs w:val="22"/>
        </w:rPr>
        <w:t xml:space="preserve">et al </w:t>
      </w:r>
      <w:r>
        <w:rPr>
          <w:color w:val="000000"/>
          <w:sz w:val="22"/>
          <w:szCs w:val="22"/>
        </w:rPr>
        <w:t xml:space="preserve">2000). Тhis is also confirmed by (Palumbo </w:t>
      </w:r>
      <w:r>
        <w:rPr>
          <w:i/>
          <w:color w:val="000000"/>
          <w:sz w:val="22"/>
          <w:szCs w:val="22"/>
        </w:rPr>
        <w:t>et al</w:t>
      </w:r>
      <w:r>
        <w:rPr>
          <w:color w:val="000000"/>
          <w:sz w:val="22"/>
          <w:szCs w:val="22"/>
        </w:rPr>
        <w:t xml:space="preserve"> 1985), demonstrating that </w:t>
      </w:r>
      <w:r>
        <w:rPr>
          <w:i/>
          <w:iCs/>
          <w:color w:val="000000"/>
          <w:sz w:val="22"/>
          <w:szCs w:val="22"/>
        </w:rPr>
        <w:t>Aeromonas spp</w:t>
      </w:r>
      <w:r>
        <w:rPr>
          <w:color w:val="000000"/>
          <w:sz w:val="22"/>
          <w:szCs w:val="22"/>
        </w:rPr>
        <w:t>.counts in lamb, veal, pork and minced beef ranged from 10</w:t>
      </w:r>
      <w:r>
        <w:rPr>
          <w:color w:val="000000"/>
          <w:sz w:val="22"/>
          <w:szCs w:val="22"/>
          <w:vertAlign w:val="superscript"/>
        </w:rPr>
        <w:t>2</w:t>
      </w:r>
      <w:r>
        <w:rPr>
          <w:color w:val="000000"/>
          <w:sz w:val="22"/>
          <w:szCs w:val="22"/>
        </w:rPr>
        <w:t>to 10</w:t>
      </w:r>
      <w:r>
        <w:rPr>
          <w:color w:val="000000"/>
          <w:sz w:val="22"/>
          <w:szCs w:val="22"/>
          <w:vertAlign w:val="superscript"/>
        </w:rPr>
        <w:t>5</w:t>
      </w:r>
      <w:r>
        <w:rPr>
          <w:color w:val="000000"/>
          <w:sz w:val="22"/>
          <w:szCs w:val="22"/>
        </w:rPr>
        <w:t xml:space="preserve"> cfu/g (Penchev</w:t>
      </w:r>
      <w:r>
        <w:rPr>
          <w:i/>
          <w:iCs/>
          <w:color w:val="000000"/>
          <w:sz w:val="22"/>
          <w:szCs w:val="22"/>
        </w:rPr>
        <w:t xml:space="preserve"> et al </w:t>
      </w:r>
      <w:r>
        <w:rPr>
          <w:color w:val="000000"/>
          <w:sz w:val="22"/>
          <w:szCs w:val="22"/>
        </w:rPr>
        <w:t xml:space="preserve">1996) enumerated the counts of </w:t>
      </w:r>
      <w:r>
        <w:rPr>
          <w:i/>
          <w:iCs/>
          <w:color w:val="000000"/>
          <w:sz w:val="22"/>
          <w:szCs w:val="22"/>
        </w:rPr>
        <w:t xml:space="preserve">Aeromonas spp. </w:t>
      </w:r>
      <w:r>
        <w:rPr>
          <w:color w:val="000000"/>
          <w:sz w:val="22"/>
          <w:szCs w:val="22"/>
        </w:rPr>
        <w:t>in foods and found variations from 1×10</w:t>
      </w:r>
      <w:r>
        <w:rPr>
          <w:color w:val="000000"/>
          <w:sz w:val="22"/>
          <w:szCs w:val="22"/>
          <w:vertAlign w:val="superscript"/>
        </w:rPr>
        <w:t>2</w:t>
      </w:r>
      <w:r>
        <w:rPr>
          <w:color w:val="000000"/>
          <w:sz w:val="22"/>
          <w:szCs w:val="22"/>
        </w:rPr>
        <w:t xml:space="preserve"> to 5×10</w:t>
      </w:r>
      <w:r>
        <w:rPr>
          <w:color w:val="000000"/>
          <w:sz w:val="22"/>
          <w:szCs w:val="22"/>
          <w:vertAlign w:val="superscript"/>
        </w:rPr>
        <w:t>5</w:t>
      </w:r>
      <w:r>
        <w:rPr>
          <w:color w:val="000000"/>
          <w:sz w:val="22"/>
          <w:szCs w:val="22"/>
        </w:rPr>
        <w:t xml:space="preserve"> cfu/g. By the 7th day of storage at 5°C, the counts of aeromonads increased by 1–3 log or 10–1000 times. Schuman </w:t>
      </w:r>
      <w:r>
        <w:rPr>
          <w:i/>
          <w:iCs/>
          <w:color w:val="000000"/>
          <w:sz w:val="22"/>
          <w:szCs w:val="22"/>
        </w:rPr>
        <w:t xml:space="preserve">et al </w:t>
      </w:r>
      <w:r>
        <w:rPr>
          <w:color w:val="000000"/>
          <w:sz w:val="22"/>
          <w:szCs w:val="22"/>
        </w:rPr>
        <w:t xml:space="preserve">(1997) isolated </w:t>
      </w:r>
      <w:r>
        <w:rPr>
          <w:i/>
          <w:iCs/>
          <w:color w:val="000000"/>
          <w:sz w:val="22"/>
          <w:szCs w:val="22"/>
        </w:rPr>
        <w:t>Aeromonas hydrophila</w:t>
      </w:r>
      <w:r>
        <w:rPr>
          <w:color w:val="000000"/>
          <w:sz w:val="22"/>
          <w:szCs w:val="22"/>
        </w:rPr>
        <w:t xml:space="preserve"> from a variety of foods (red meat, poultry meat, eggs and raw milk) stored in the fridge.</w:t>
      </w:r>
    </w:p>
    <w:p>
      <w:pPr>
        <w:pStyle w:val="style0"/>
        <w:widowControl w:val="false"/>
        <w:tabs>
          <w:tab w:leader="none" w:pos="720" w:val="left"/>
        </w:tabs>
        <w:spacing w:line="360" w:lineRule="auto"/>
        <w:ind w:hanging="0" w:left="0" w:right="29"/>
        <w:jc w:val="both"/>
      </w:pPr>
      <w:r>
        <w:rPr>
          <w:color w:val="000000"/>
          <w:sz w:val="22"/>
          <w:szCs w:val="22"/>
        </w:rPr>
        <w:tab/>
        <w:t xml:space="preserve">On 12 May 2012, over 200 college students with acute diarrhoea were reported to the Guizhou Center for Disease Control and Prevention. A confirmed case also had a positive </w:t>
      </w:r>
      <w:r>
        <w:rPr>
          <w:i/>
          <w:iCs/>
          <w:color w:val="000000"/>
          <w:sz w:val="22"/>
          <w:szCs w:val="22"/>
        </w:rPr>
        <w:t>Aeromonas hydrophila</w:t>
      </w:r>
      <w:r>
        <w:rPr>
          <w:color w:val="000000"/>
          <w:sz w:val="22"/>
          <w:szCs w:val="22"/>
        </w:rPr>
        <w:t xml:space="preserve"> culture from a stool sample. A retrospective study of 902 students compared attack rates (AR) by dining place, meals. Environmental investigation showed that vegetables were washed in polluted water from a tank close to the sewage ditch, then left at 30°C for two hours before serving. The </w:t>
      </w:r>
      <w:r>
        <w:rPr>
          <w:i/>
          <w:iCs/>
          <w:color w:val="000000"/>
          <w:sz w:val="22"/>
          <w:szCs w:val="22"/>
        </w:rPr>
        <w:t>Escherichia coli</w:t>
      </w:r>
      <w:r>
        <w:rPr>
          <w:color w:val="000000"/>
          <w:sz w:val="22"/>
          <w:szCs w:val="22"/>
        </w:rPr>
        <w:t xml:space="preserve"> count of the tank was well above the standard for drinking water. This outbreak of </w:t>
      </w:r>
      <w:r>
        <w:rPr>
          <w:i/>
          <w:iCs/>
          <w:color w:val="000000"/>
          <w:sz w:val="22"/>
          <w:szCs w:val="22"/>
        </w:rPr>
        <w:t xml:space="preserve">Aeromonas hydrophila </w:t>
      </w:r>
      <w:r>
        <w:rPr>
          <w:color w:val="000000"/>
          <w:sz w:val="22"/>
          <w:szCs w:val="22"/>
        </w:rPr>
        <w:t xml:space="preserve">was most probably caused by salad ingredients washed in contaminated tank water (Zhang </w:t>
      </w:r>
      <w:r>
        <w:rPr>
          <w:i/>
          <w:iCs/>
          <w:color w:val="000000"/>
          <w:sz w:val="22"/>
          <w:szCs w:val="22"/>
        </w:rPr>
        <w:t xml:space="preserve">et al </w:t>
      </w:r>
      <w:r>
        <w:rPr>
          <w:color w:val="000000"/>
          <w:sz w:val="22"/>
          <w:szCs w:val="22"/>
        </w:rPr>
        <w:t>2012).</w:t>
      </w:r>
    </w:p>
    <w:p>
      <w:pPr>
        <w:pStyle w:val="style0"/>
        <w:widowControl w:val="false"/>
        <w:tabs>
          <w:tab w:leader="none" w:pos="720" w:val="left"/>
        </w:tabs>
        <w:spacing w:line="360" w:lineRule="auto"/>
        <w:ind w:hanging="0" w:left="0" w:right="29"/>
        <w:jc w:val="both"/>
      </w:pPr>
      <w:r>
        <w:rPr>
          <w:color w:val="000000"/>
          <w:sz w:val="22"/>
          <w:szCs w:val="22"/>
        </w:rPr>
        <w:tab/>
        <w:t xml:space="preserve">These microbes are usually associated with an aquatic environment, but they are commonly isolated from different terrestrial ecosystems, such as food, invertebrates, plants and animals (Janda and Abbott 2010). The interest in this genus (and in its members as human pathogens) has grown over the past two decades because of the world-wide distribution of aeromonads, the occurrence of antibiotic resistance and the ability of some strains to survive safety treatments (Khajanchi </w:t>
      </w:r>
      <w:r>
        <w:rPr>
          <w:i/>
          <w:iCs/>
          <w:color w:val="000000"/>
          <w:sz w:val="22"/>
          <w:szCs w:val="22"/>
        </w:rPr>
        <w:t>et al</w:t>
      </w:r>
      <w:r>
        <w:rPr>
          <w:color w:val="000000"/>
          <w:sz w:val="22"/>
          <w:szCs w:val="22"/>
        </w:rPr>
        <w:t xml:space="preserve"> 2010). Many studies have detected the presence of different </w:t>
      </w:r>
      <w:r>
        <w:rPr>
          <w:i/>
          <w:iCs/>
          <w:color w:val="000000"/>
          <w:sz w:val="22"/>
          <w:szCs w:val="22"/>
        </w:rPr>
        <w:t>Aeromonas</w:t>
      </w:r>
      <w:r>
        <w:rPr>
          <w:color w:val="000000"/>
          <w:sz w:val="22"/>
          <w:szCs w:val="22"/>
        </w:rPr>
        <w:t xml:space="preserve"> species in various foods and vegetables (Palumbo </w:t>
      </w:r>
      <w:r>
        <w:rPr>
          <w:i/>
          <w:iCs/>
          <w:color w:val="000000"/>
          <w:sz w:val="22"/>
          <w:szCs w:val="22"/>
        </w:rPr>
        <w:t>et al</w:t>
      </w:r>
      <w:r>
        <w:rPr>
          <w:color w:val="000000"/>
          <w:sz w:val="22"/>
          <w:szCs w:val="22"/>
        </w:rPr>
        <w:t xml:space="preserve"> 1985), and their prevalence in such products has been well characterized worldwide in recent years. Dhiraputra</w:t>
      </w:r>
      <w:r>
        <w:rPr>
          <w:i/>
          <w:iCs/>
          <w:color w:val="000000"/>
          <w:sz w:val="22"/>
          <w:szCs w:val="22"/>
        </w:rPr>
        <w:t xml:space="preserve"> et al </w:t>
      </w:r>
      <w:r>
        <w:rPr>
          <w:iCs/>
          <w:color w:val="000000"/>
          <w:sz w:val="22"/>
          <w:szCs w:val="22"/>
        </w:rPr>
        <w:t>(</w:t>
      </w:r>
      <w:r>
        <w:rPr>
          <w:color w:val="000000"/>
          <w:sz w:val="22"/>
          <w:szCs w:val="22"/>
        </w:rPr>
        <w:t xml:space="preserve">2005) examined the bacterial contamination of vegetables served in hospitals in Bankok, Thailand. They detected </w:t>
      </w:r>
      <w:r>
        <w:rPr>
          <w:i/>
          <w:iCs/>
          <w:color w:val="000000"/>
          <w:sz w:val="22"/>
          <w:szCs w:val="22"/>
        </w:rPr>
        <w:t>Aeromonas</w:t>
      </w:r>
      <w:r>
        <w:rPr>
          <w:color w:val="000000"/>
          <w:sz w:val="22"/>
          <w:szCs w:val="22"/>
        </w:rPr>
        <w:t xml:space="preserve"> in 14 (3.5%) of 403 fresh vegetable samples (including lettuce, parsley, celery and tomato) before being washed and in 17 (4.3%) of 396 ready-to-serve vegetable samples. These findings support the view that food rather than water might be the source of aeromonads associated with outbreaks occurring in hospitals and in the community.</w:t>
      </w:r>
    </w:p>
    <w:p>
      <w:pPr>
        <w:pStyle w:val="style0"/>
        <w:widowControl w:val="false"/>
        <w:tabs>
          <w:tab w:leader="none" w:pos="720" w:val="left"/>
        </w:tabs>
        <w:spacing w:line="360" w:lineRule="auto"/>
        <w:ind w:hanging="0" w:left="0" w:right="29"/>
        <w:jc w:val="both"/>
      </w:pPr>
      <w:r>
        <w:rPr/>
      </w:r>
    </w:p>
    <w:p>
      <w:pPr>
        <w:pStyle w:val="style0"/>
        <w:widowControl w:val="false"/>
        <w:tabs>
          <w:tab w:leader="none" w:pos="720" w:val="left"/>
        </w:tabs>
        <w:spacing w:line="360" w:lineRule="auto"/>
        <w:ind w:hanging="0" w:left="0" w:right="29"/>
        <w:jc w:val="both"/>
      </w:pPr>
      <w:r>
        <w:rPr>
          <w:color w:val="000000"/>
          <w:sz w:val="22"/>
          <w:szCs w:val="22"/>
        </w:rPr>
        <w:tab/>
        <w:t xml:space="preserve">Conventional identification of </w:t>
      </w:r>
      <w:r>
        <w:rPr>
          <w:i/>
          <w:iCs/>
          <w:color w:val="000000"/>
          <w:sz w:val="22"/>
          <w:szCs w:val="22"/>
        </w:rPr>
        <w:t>Aeromonas spp</w:t>
      </w:r>
      <w:r>
        <w:rPr>
          <w:color w:val="000000"/>
          <w:sz w:val="22"/>
          <w:szCs w:val="22"/>
        </w:rPr>
        <w:t xml:space="preserve"> is based on biochemical methods is challenged by the heterogeneous nature of the species. Virulence associated genes have been targeted for the detection of potentially pathogenic A</w:t>
      </w:r>
      <w:r>
        <w:rPr>
          <w:i/>
          <w:iCs/>
          <w:color w:val="000000"/>
          <w:sz w:val="22"/>
          <w:szCs w:val="22"/>
        </w:rPr>
        <w:t xml:space="preserve">eromonas hydrophila </w:t>
      </w:r>
      <w:r>
        <w:rPr>
          <w:color w:val="000000"/>
          <w:sz w:val="22"/>
          <w:szCs w:val="22"/>
        </w:rPr>
        <w:t xml:space="preserve">by PCR assays that include either cytolysin or haemolysin or both of these genes (Wang </w:t>
      </w:r>
      <w:r>
        <w:rPr>
          <w:i/>
          <w:iCs/>
          <w:color w:val="000000"/>
          <w:sz w:val="22"/>
          <w:szCs w:val="22"/>
        </w:rPr>
        <w:t xml:space="preserve">et al </w:t>
      </w:r>
      <w:r>
        <w:rPr>
          <w:i w:val="false"/>
          <w:iCs w:val="false"/>
          <w:color w:val="000000"/>
          <w:sz w:val="22"/>
          <w:szCs w:val="22"/>
        </w:rPr>
        <w:t>1996</w:t>
      </w:r>
      <w:r>
        <w:rPr>
          <w:color w:val="000000"/>
          <w:sz w:val="22"/>
          <w:szCs w:val="22"/>
        </w:rPr>
        <w:t xml:space="preserve">). Yousr </w:t>
      </w:r>
      <w:r>
        <w:rPr>
          <w:i/>
          <w:iCs/>
          <w:color w:val="000000"/>
          <w:sz w:val="22"/>
          <w:szCs w:val="22"/>
        </w:rPr>
        <w:t>et al,</w:t>
      </w:r>
      <w:r>
        <w:rPr>
          <w:color w:val="000000"/>
          <w:sz w:val="22"/>
          <w:szCs w:val="22"/>
        </w:rPr>
        <w:t xml:space="preserve"> reported a rapid mPCR which can simultaneously detect pathogenic A</w:t>
      </w:r>
      <w:r>
        <w:rPr>
          <w:i/>
          <w:iCs/>
          <w:color w:val="000000"/>
          <w:sz w:val="22"/>
          <w:szCs w:val="22"/>
        </w:rPr>
        <w:t>eromonas  hydrophila</w:t>
      </w:r>
      <w:r>
        <w:rPr>
          <w:color w:val="000000"/>
          <w:sz w:val="22"/>
          <w:szCs w:val="22"/>
        </w:rPr>
        <w:t xml:space="preserve"> from fish targeting aerolysin and 16S rDNA genes. Several studies revealed that these organisms can produce exotoxins, including α and β -hemolysins and cytolytic enterotoxin (Sen and Rodgers 2004). Broad methods have been reported, including, tissue cell culture assays, immunoassays, DNA probes and animal models that detect identification of presence of virulence factors in pathogenic</w:t>
      </w:r>
      <w:r>
        <w:rPr>
          <w:i/>
          <w:iCs/>
          <w:color w:val="000000"/>
          <w:sz w:val="22"/>
          <w:szCs w:val="22"/>
        </w:rPr>
        <w:t xml:space="preserve"> A. hydrophila </w:t>
      </w:r>
      <w:r>
        <w:rPr>
          <w:color w:val="000000"/>
          <w:sz w:val="22"/>
          <w:szCs w:val="22"/>
        </w:rPr>
        <w:t xml:space="preserve">.                                                     </w:t>
      </w:r>
    </w:p>
    <w:p>
      <w:pPr>
        <w:pStyle w:val="style0"/>
        <w:widowControl w:val="false"/>
        <w:tabs>
          <w:tab w:leader="none" w:pos="720" w:val="left"/>
        </w:tabs>
        <w:spacing w:line="360" w:lineRule="auto"/>
        <w:ind w:hanging="0" w:left="0" w:right="29"/>
        <w:jc w:val="both"/>
      </w:pPr>
      <w:r>
        <w:rPr>
          <w:b/>
          <w:color w:val="000000"/>
          <w:sz w:val="22"/>
          <w:szCs w:val="22"/>
        </w:rPr>
        <w:t>IPR search</w:t>
      </w:r>
    </w:p>
    <w:p>
      <w:pPr>
        <w:pStyle w:val="style0"/>
        <w:widowControl w:val="false"/>
        <w:tabs>
          <w:tab w:leader="none" w:pos="720" w:val="left"/>
        </w:tabs>
        <w:spacing w:line="360" w:lineRule="auto"/>
        <w:ind w:hanging="0" w:left="0" w:right="29"/>
        <w:jc w:val="both"/>
      </w:pPr>
      <w:r>
        <w:rPr>
          <w:b/>
          <w:color w:val="000000"/>
          <w:sz w:val="22"/>
          <w:szCs w:val="22"/>
        </w:rPr>
        <w:tab/>
        <w:t xml:space="preserve"> </w:t>
      </w:r>
      <w:r>
        <w:rPr>
          <w:bCs/>
          <w:color w:val="000000"/>
          <w:sz w:val="22"/>
          <w:szCs w:val="22"/>
        </w:rPr>
        <w:t>IPR search on the topic under investigation was carried out using WIPO, USPTO, IPAIRS version 2.0 and no relevant material has been found with respect to this research problem.</w:t>
      </w:r>
    </w:p>
    <w:p>
      <w:pPr>
        <w:pStyle w:val="style0"/>
        <w:widowControl w:val="false"/>
        <w:tabs>
          <w:tab w:leader="none" w:pos="720" w:val="left"/>
        </w:tabs>
        <w:spacing w:line="360" w:lineRule="auto"/>
        <w:ind w:hanging="0" w:left="0" w:right="29"/>
        <w:jc w:val="both"/>
      </w:pPr>
      <w:r>
        <w:rPr>
          <w:b/>
          <w:bCs/>
          <w:color w:val="000000"/>
          <w:sz w:val="22"/>
          <w:szCs w:val="22"/>
        </w:rPr>
        <w:t xml:space="preserve">5. Technical programme </w:t>
      </w:r>
    </w:p>
    <w:p>
      <w:pPr>
        <w:pStyle w:val="style163"/>
        <w:widowControl w:val="false"/>
        <w:tabs>
          <w:tab w:leader="none" w:pos="720" w:val="left"/>
        </w:tabs>
        <w:spacing w:line="360" w:lineRule="auto"/>
        <w:ind w:hanging="0" w:left="0" w:right="29"/>
      </w:pPr>
      <w:r>
        <w:rPr>
          <w:b/>
          <w:color w:val="000000"/>
          <w:sz w:val="22"/>
          <w:szCs w:val="22"/>
        </w:rPr>
        <w:t>Experiment No. 1</w:t>
      </w:r>
    </w:p>
    <w:p>
      <w:pPr>
        <w:pStyle w:val="style163"/>
        <w:widowControl w:val="false"/>
        <w:numPr>
          <w:ilvl w:val="0"/>
          <w:numId w:val="1"/>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pPr>
      <w:r>
        <w:rPr>
          <w:b/>
          <w:color w:val="000000"/>
          <w:sz w:val="22"/>
          <w:szCs w:val="22"/>
        </w:rPr>
        <w:t xml:space="preserve">Name of the experiment: </w:t>
      </w:r>
      <w:r>
        <w:rPr>
          <w:b w:val="false"/>
          <w:bCs w:val="false"/>
          <w:color w:val="000000"/>
          <w:sz w:val="22"/>
          <w:szCs w:val="22"/>
        </w:rPr>
        <w:t>S</w:t>
      </w:r>
      <w:r>
        <w:rPr>
          <w:color w:val="000000"/>
          <w:sz w:val="22"/>
          <w:szCs w:val="22"/>
        </w:rPr>
        <w:t xml:space="preserve">urveillance for </w:t>
      </w:r>
      <w:r>
        <w:rPr>
          <w:bCs/>
          <w:i/>
          <w:iCs/>
          <w:color w:val="000000"/>
          <w:sz w:val="22"/>
          <w:szCs w:val="22"/>
        </w:rPr>
        <w:t>Aeromonas</w:t>
      </w:r>
      <w:r>
        <w:rPr>
          <w:bCs/>
          <w:color w:val="000000"/>
          <w:sz w:val="22"/>
          <w:szCs w:val="22"/>
        </w:rPr>
        <w:t xml:space="preserve"> </w:t>
      </w:r>
      <w:r>
        <w:rPr>
          <w:bCs/>
          <w:i/>
          <w:iCs/>
          <w:color w:val="000000"/>
          <w:sz w:val="22"/>
          <w:szCs w:val="22"/>
        </w:rPr>
        <w:t>hydrophila</w:t>
      </w:r>
      <w:r>
        <w:rPr>
          <w:color w:val="000000"/>
          <w:sz w:val="22"/>
          <w:szCs w:val="22"/>
        </w:rPr>
        <w:t xml:space="preserve"> and database generation for the occurrence in salad vegetables.</w:t>
      </w:r>
    </w:p>
    <w:p>
      <w:pPr>
        <w:pStyle w:val="style163"/>
        <w:widowControl w:val="false"/>
        <w:numPr>
          <w:ilvl w:val="0"/>
          <w:numId w:val="1"/>
        </w:numPr>
        <w:tabs>
          <w:tab w:leader="none" w:pos="720" w:val="left"/>
        </w:tabs>
        <w:spacing w:line="360" w:lineRule="auto"/>
        <w:ind w:hanging="0" w:left="0" w:right="29"/>
      </w:pPr>
      <w:r>
        <w:rPr>
          <w:b/>
          <w:color w:val="000000"/>
          <w:sz w:val="22"/>
          <w:szCs w:val="22"/>
        </w:rPr>
        <w:t>Location:</w:t>
      </w:r>
      <w:r>
        <w:rPr>
          <w:color w:val="000000"/>
          <w:sz w:val="22"/>
          <w:szCs w:val="22"/>
        </w:rPr>
        <w:t xml:space="preserve"> Department of Microbiology, PAU, Ludhiana.</w:t>
      </w:r>
    </w:p>
    <w:p>
      <w:pPr>
        <w:pStyle w:val="style163"/>
        <w:widowControl w:val="false"/>
        <w:numPr>
          <w:ilvl w:val="0"/>
          <w:numId w:val="1"/>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pPr>
      <w:r>
        <w:rPr>
          <w:b/>
          <w:color w:val="000000"/>
          <w:sz w:val="22"/>
          <w:szCs w:val="22"/>
        </w:rPr>
        <w:t xml:space="preserve">Methodology: </w:t>
      </w:r>
      <w:r>
        <w:rPr>
          <w:color w:val="000000"/>
          <w:sz w:val="22"/>
          <w:szCs w:val="22"/>
        </w:rPr>
        <w:t>The fresh produce vegetables (carrot, raddish, cucumber, cabbage, tomato, spinach, long melon) from vegetables growing belt of Ludhiana and Malerkotla will be collected into sterile poly bags,and analyzed immediately. The isolates will be identified using enrichment techniques and Vegetable Testing Kit.</w:t>
      </w:r>
    </w:p>
    <w:p>
      <w:pPr>
        <w:pStyle w:val="style163"/>
        <w:widowControl w:val="false"/>
        <w:numPr>
          <w:ilvl w:val="0"/>
          <w:numId w:val="1"/>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pPr>
      <w:r>
        <w:rPr>
          <w:b/>
          <w:color w:val="000000"/>
          <w:sz w:val="22"/>
          <w:szCs w:val="22"/>
        </w:rPr>
        <w:t xml:space="preserve">Observations to be recorded: </w:t>
      </w:r>
      <w:r>
        <w:rPr>
          <w:color w:val="000000"/>
          <w:sz w:val="22"/>
          <w:szCs w:val="22"/>
        </w:rPr>
        <w:t xml:space="preserve">Samples will be analyzed for occurrence of </w:t>
      </w:r>
      <w:r>
        <w:rPr>
          <w:i/>
          <w:iCs/>
          <w:color w:val="000000"/>
          <w:sz w:val="22"/>
          <w:szCs w:val="22"/>
        </w:rPr>
        <w:t>Aeromonas hydrophila</w:t>
      </w:r>
      <w:r>
        <w:rPr>
          <w:i/>
          <w:color w:val="000000"/>
          <w:sz w:val="22"/>
          <w:szCs w:val="22"/>
        </w:rPr>
        <w:t>.</w:t>
      </w:r>
      <w:r>
        <w:rPr>
          <w:b/>
          <w:i/>
          <w:color w:val="000000"/>
          <w:sz w:val="22"/>
          <w:szCs w:val="22"/>
        </w:rPr>
        <w:t xml:space="preserve"> </w:t>
      </w:r>
      <w:r>
        <w:rPr>
          <w:color w:val="000000"/>
          <w:sz w:val="22"/>
          <w:szCs w:val="22"/>
        </w:rPr>
        <w:t>Screening and prevalence of region specific pathogen amongst these isolates will be further studied.</w:t>
      </w:r>
    </w:p>
    <w:p>
      <w:pPr>
        <w:pStyle w:val="style163"/>
        <w:widowControl w:val="false"/>
        <w:numPr>
          <w:ilvl w:val="0"/>
          <w:numId w:val="1"/>
        </w:numPr>
        <w:tabs>
          <w:tab w:leader="none" w:pos="720" w:val="left"/>
        </w:tabs>
        <w:spacing w:line="360" w:lineRule="auto"/>
        <w:ind w:hanging="0" w:left="0" w:right="29"/>
      </w:pPr>
      <w:r>
        <w:rPr>
          <w:b/>
          <w:color w:val="000000"/>
          <w:sz w:val="22"/>
          <w:szCs w:val="22"/>
        </w:rPr>
        <w:t xml:space="preserve">Statistical analysis: </w:t>
      </w:r>
      <w:r>
        <w:rPr>
          <w:b w:val="false"/>
          <w:bCs w:val="false"/>
          <w:color w:val="000000"/>
          <w:sz w:val="22"/>
          <w:szCs w:val="22"/>
        </w:rPr>
        <w:t xml:space="preserve"> SD</w:t>
      </w:r>
    </w:p>
    <w:p>
      <w:pPr>
        <w:pStyle w:val="style163"/>
        <w:widowControl w:val="false"/>
        <w:tabs>
          <w:tab w:leader="none" w:pos="720" w:val="left"/>
        </w:tabs>
        <w:spacing w:line="360" w:lineRule="auto"/>
        <w:ind w:hanging="0" w:left="0" w:right="29"/>
      </w:pPr>
      <w:r>
        <w:rPr>
          <w:b/>
          <w:color w:val="000000"/>
          <w:sz w:val="22"/>
          <w:szCs w:val="22"/>
        </w:rPr>
        <w:t>Experiment No. 2</w:t>
      </w:r>
    </w:p>
    <w:p>
      <w:pPr>
        <w:pStyle w:val="style166"/>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bookmarkStart w:id="1" w:name="__DdeLink__2159_1523419852"/>
      <w:r>
        <w:rPr>
          <w:b/>
          <w:color w:val="000000"/>
          <w:sz w:val="22"/>
          <w:szCs w:val="22"/>
        </w:rPr>
        <w:t>Name of the experiment</w:t>
      </w:r>
      <w:bookmarkEnd w:id="1"/>
      <w:r>
        <w:rPr>
          <w:b/>
          <w:color w:val="000000"/>
          <w:sz w:val="22"/>
          <w:szCs w:val="22"/>
        </w:rPr>
        <w:t xml:space="preserve">: </w:t>
      </w:r>
      <w:r>
        <w:rPr>
          <w:b w:val="false"/>
          <w:bCs w:val="false"/>
          <w:color w:val="000000"/>
          <w:sz w:val="22"/>
          <w:szCs w:val="22"/>
        </w:rPr>
        <w:t>C</w:t>
      </w:r>
      <w:r>
        <w:rPr>
          <w:color w:val="000000"/>
          <w:sz w:val="22"/>
          <w:szCs w:val="22"/>
        </w:rPr>
        <w:t>haracterization of</w:t>
      </w:r>
      <w:r>
        <w:rPr>
          <w:i/>
          <w:iCs/>
          <w:color w:val="000000"/>
          <w:sz w:val="22"/>
          <w:szCs w:val="22"/>
        </w:rPr>
        <w:t xml:space="preserve"> </w:t>
      </w:r>
      <w:bookmarkStart w:id="2" w:name="__DdeLink__888_655256505"/>
      <w:r>
        <w:rPr>
          <w:bCs/>
          <w:i/>
          <w:iCs/>
          <w:color w:val="000000"/>
          <w:sz w:val="22"/>
          <w:szCs w:val="22"/>
        </w:rPr>
        <w:t>Aeromonas hydrophila</w:t>
      </w:r>
      <w:bookmarkEnd w:id="2"/>
      <w:r>
        <w:rPr>
          <w:bCs/>
          <w:i/>
          <w:iCs/>
          <w:color w:val="000000"/>
          <w:sz w:val="22"/>
          <w:szCs w:val="22"/>
        </w:rPr>
        <w:t xml:space="preserve"> </w:t>
      </w:r>
      <w:r>
        <w:rPr>
          <w:bCs/>
          <w:i w:val="false"/>
          <w:iCs w:val="false"/>
          <w:color w:val="000000"/>
          <w:sz w:val="22"/>
          <w:szCs w:val="22"/>
        </w:rPr>
        <w:t>and studies on virulence factors.</w:t>
      </w:r>
    </w:p>
    <w:p>
      <w:pPr>
        <w:pStyle w:val="style166"/>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r>
        <w:rPr>
          <w:b/>
          <w:color w:val="000000"/>
          <w:sz w:val="22"/>
          <w:szCs w:val="22"/>
        </w:rPr>
        <w:t>Location:</w:t>
      </w:r>
      <w:r>
        <w:rPr>
          <w:color w:val="000000"/>
          <w:sz w:val="22"/>
          <w:szCs w:val="22"/>
        </w:rPr>
        <w:t xml:space="preserve"> Department of Microbiology, PAU, Ludhiana</w:t>
      </w:r>
    </w:p>
    <w:p>
      <w:pPr>
        <w:pStyle w:val="style166"/>
        <w:widowControl w:val="false"/>
        <w:numPr>
          <w:ilvl w:val="0"/>
          <w:numId w:val="2"/>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jc w:val="both"/>
      </w:pPr>
      <w:r>
        <w:rPr>
          <w:b/>
          <w:color w:val="000000"/>
          <w:sz w:val="22"/>
          <w:szCs w:val="22"/>
        </w:rPr>
        <w:t xml:space="preserve">Methodology: 1.Biochemical characterization: </w:t>
      </w:r>
      <w:r>
        <w:rPr>
          <w:b w:val="false"/>
          <w:bCs w:val="false"/>
          <w:color w:val="000000"/>
          <w:sz w:val="22"/>
          <w:szCs w:val="22"/>
        </w:rPr>
        <w:t>C</w:t>
      </w:r>
      <w:r>
        <w:rPr>
          <w:color w:val="000000"/>
          <w:sz w:val="22"/>
          <w:szCs w:val="22"/>
        </w:rPr>
        <w:t xml:space="preserve">haracterize </w:t>
      </w:r>
      <w:r>
        <w:rPr>
          <w:bCs/>
          <w:i/>
          <w:iCs/>
          <w:color w:val="000000"/>
          <w:sz w:val="22"/>
          <w:szCs w:val="22"/>
        </w:rPr>
        <w:t xml:space="preserve">Aeromonas hydrophila </w:t>
      </w:r>
      <w:r>
        <w:rPr>
          <w:color w:val="000000"/>
          <w:sz w:val="22"/>
          <w:szCs w:val="22"/>
        </w:rPr>
        <w:t>on the basis of biochemical, antibiogram activity.</w:t>
      </w:r>
    </w:p>
    <w:p>
      <w:pPr>
        <w:pStyle w:val="style166"/>
        <w:widowControl w:val="false"/>
        <w:tabs>
          <w:tab w:leader="none" w:pos="720" w:val="left"/>
          <w:tab w:leader="none" w:pos="1440" w:val="left"/>
        </w:tabs>
        <w:spacing w:line="360" w:lineRule="auto"/>
        <w:ind w:hanging="0" w:left="0" w:right="29"/>
        <w:jc w:val="both"/>
      </w:pPr>
      <w:r>
        <w:rPr>
          <w:b/>
          <w:color w:val="000000"/>
          <w:sz w:val="22"/>
          <w:szCs w:val="22"/>
        </w:rPr>
        <w:t xml:space="preserve">      </w:t>
      </w:r>
      <w:r>
        <w:rPr>
          <w:b/>
          <w:color w:val="000000"/>
          <w:sz w:val="22"/>
          <w:szCs w:val="22"/>
        </w:rPr>
        <w:t xml:space="preserve">Observations to be recorded: </w:t>
      </w:r>
      <w:r>
        <w:rPr>
          <w:color w:val="000000"/>
          <w:sz w:val="22"/>
          <w:szCs w:val="22"/>
        </w:rPr>
        <w:t>Following observations will be recorded:</w:t>
      </w:r>
    </w:p>
    <w:p>
      <w:pPr>
        <w:pStyle w:val="style166"/>
        <w:widowControl w:val="false"/>
        <w:numPr>
          <w:ilvl w:val="0"/>
          <w:numId w:val="3"/>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r>
        <w:rPr>
          <w:color w:val="000000"/>
          <w:sz w:val="22"/>
          <w:szCs w:val="22"/>
        </w:rPr>
        <w:t xml:space="preserve">Biochemical activities (Carbohydrate utilization, indole, Methyl red, Voges Proskauer’s, Citrate utilization, ONPG decarboxylase and Esculin Hydrolysis), </w:t>
      </w:r>
    </w:p>
    <w:p>
      <w:pPr>
        <w:pStyle w:val="style166"/>
        <w:widowControl w:val="false"/>
        <w:tabs>
          <w:tab w:leader="none" w:pos="720" w:val="left"/>
          <w:tab w:leader="none" w:pos="1440" w:val="left"/>
        </w:tabs>
        <w:spacing w:line="360" w:lineRule="auto"/>
        <w:ind w:hanging="0" w:left="0" w:right="29"/>
        <w:jc w:val="both"/>
      </w:pPr>
      <w:r>
        <w:rPr>
          <w:b/>
          <w:bCs/>
          <w:color w:val="000000"/>
          <w:sz w:val="22"/>
          <w:szCs w:val="22"/>
        </w:rPr>
        <w:t>2.</w:t>
        <w:tab/>
      </w:r>
      <w:r>
        <w:rPr>
          <w:color w:val="000000"/>
          <w:sz w:val="22"/>
          <w:szCs w:val="22"/>
        </w:rPr>
        <w:t>Antibiogram (Broad Spectrum Antibiotics)</w:t>
      </w:r>
    </w:p>
    <w:p>
      <w:pPr>
        <w:pStyle w:val="style166"/>
        <w:widowControl w:val="false"/>
        <w:tabs>
          <w:tab w:leader="none" w:pos="720" w:val="left"/>
          <w:tab w:leader="none" w:pos="1440" w:val="left"/>
        </w:tabs>
        <w:spacing w:line="360" w:lineRule="auto"/>
        <w:ind w:hanging="0" w:left="0" w:right="29"/>
        <w:jc w:val="both"/>
      </w:pPr>
      <w:r>
        <w:rPr>
          <w:b/>
          <w:bCs/>
          <w:color w:val="000000"/>
          <w:sz w:val="22"/>
          <w:szCs w:val="22"/>
        </w:rPr>
        <w:t xml:space="preserve">3.  </w:t>
      </w:r>
      <w:r>
        <w:rPr>
          <w:b w:val="false"/>
          <w:bCs w:val="false"/>
          <w:color w:val="000000"/>
          <w:sz w:val="22"/>
          <w:szCs w:val="22"/>
        </w:rPr>
        <w:t>Determination of virulence factors by different methods:</w:t>
      </w:r>
    </w:p>
    <w:p>
      <w:pPr>
        <w:pStyle w:val="style166"/>
        <w:widowControl w:val="false"/>
        <w:tabs>
          <w:tab w:leader="none" w:pos="720" w:val="left"/>
          <w:tab w:leader="none" w:pos="1440" w:val="left"/>
        </w:tabs>
        <w:spacing w:line="360" w:lineRule="auto"/>
        <w:ind w:hanging="0" w:left="0" w:right="29"/>
        <w:jc w:val="both"/>
      </w:pPr>
      <w:r>
        <w:rPr>
          <w:b w:val="false"/>
          <w:bCs w:val="false"/>
          <w:color w:val="000000"/>
          <w:sz w:val="22"/>
          <w:szCs w:val="22"/>
        </w:rPr>
        <w:t xml:space="preserve">       </w:t>
      </w:r>
      <w:r>
        <w:rPr>
          <w:b w:val="false"/>
          <w:bCs w:val="false"/>
          <w:color w:val="000000"/>
          <w:sz w:val="22"/>
          <w:szCs w:val="22"/>
        </w:rPr>
        <w:t>Total polysaccharides(Dubois</w:t>
      </w:r>
      <w:r>
        <w:rPr>
          <w:b w:val="false"/>
          <w:bCs w:val="false"/>
          <w:i/>
          <w:iCs/>
          <w:color w:val="000000"/>
          <w:sz w:val="22"/>
          <w:szCs w:val="22"/>
        </w:rPr>
        <w:t xml:space="preserve"> et al., </w:t>
      </w:r>
      <w:r>
        <w:rPr>
          <w:b w:val="false"/>
          <w:bCs w:val="false"/>
          <w:i w:val="false"/>
          <w:iCs w:val="false"/>
          <w:color w:val="000000"/>
          <w:sz w:val="22"/>
          <w:szCs w:val="22"/>
        </w:rPr>
        <w:t xml:space="preserve">1956), Total protein content(Lowry </w:t>
      </w:r>
      <w:r>
        <w:rPr>
          <w:b w:val="false"/>
          <w:bCs w:val="false"/>
          <w:i/>
          <w:iCs/>
          <w:color w:val="000000"/>
          <w:sz w:val="22"/>
          <w:szCs w:val="22"/>
        </w:rPr>
        <w:t xml:space="preserve">et al., I951), </w:t>
      </w:r>
      <w:r>
        <w:rPr>
          <w:b w:val="false"/>
          <w:bCs w:val="false"/>
          <w:i w:val="false"/>
          <w:iCs w:val="false"/>
          <w:color w:val="000000"/>
          <w:sz w:val="22"/>
          <w:szCs w:val="22"/>
        </w:rPr>
        <w:t xml:space="preserve">Alginate production (Mathee </w:t>
      </w:r>
      <w:r>
        <w:rPr>
          <w:b w:val="false"/>
          <w:bCs w:val="false"/>
          <w:i/>
          <w:iCs/>
          <w:color w:val="000000"/>
          <w:sz w:val="22"/>
          <w:szCs w:val="22"/>
        </w:rPr>
        <w:t xml:space="preserve">et al , </w:t>
      </w:r>
      <w:r>
        <w:rPr>
          <w:b w:val="false"/>
          <w:bCs w:val="false"/>
          <w:i w:val="false"/>
          <w:iCs w:val="false"/>
          <w:color w:val="000000"/>
          <w:sz w:val="22"/>
          <w:szCs w:val="22"/>
        </w:rPr>
        <w:t xml:space="preserve">1999), Lipopolysaccharide production (Morrison and Leive </w:t>
      </w:r>
      <w:r>
        <w:rPr>
          <w:b w:val="false"/>
          <w:bCs w:val="false"/>
          <w:i/>
          <w:iCs/>
          <w:color w:val="000000"/>
          <w:sz w:val="22"/>
          <w:szCs w:val="22"/>
        </w:rPr>
        <w:t xml:space="preserve">et al., </w:t>
      </w:r>
      <w:r>
        <w:rPr>
          <w:b w:val="false"/>
          <w:bCs w:val="false"/>
          <w:i w:val="false"/>
          <w:iCs w:val="false"/>
          <w:color w:val="000000"/>
          <w:sz w:val="22"/>
          <w:szCs w:val="22"/>
        </w:rPr>
        <w:t>1975)</w:t>
      </w:r>
      <w:r>
        <w:rPr>
          <w:b/>
          <w:bCs/>
          <w:i w:val="false"/>
          <w:iCs w:val="false"/>
          <w:color w:val="000000"/>
          <w:sz w:val="22"/>
          <w:szCs w:val="22"/>
        </w:rPr>
        <w:t xml:space="preserve">, </w:t>
      </w:r>
      <w:r>
        <w:rPr>
          <w:b w:val="false"/>
          <w:bCs w:val="false"/>
          <w:i w:val="false"/>
          <w:iCs w:val="false"/>
          <w:color w:val="000000"/>
          <w:sz w:val="22"/>
          <w:szCs w:val="22"/>
        </w:rPr>
        <w:t xml:space="preserve">Cell surface hydrophobicity(Perez </w:t>
      </w:r>
      <w:r>
        <w:rPr>
          <w:b w:val="false"/>
          <w:bCs w:val="false"/>
          <w:i/>
          <w:iCs/>
          <w:color w:val="000000"/>
          <w:sz w:val="22"/>
          <w:szCs w:val="22"/>
        </w:rPr>
        <w:t>et al</w:t>
      </w:r>
      <w:r>
        <w:rPr>
          <w:b w:val="false"/>
          <w:bCs w:val="false"/>
          <w:i w:val="false"/>
          <w:iCs w:val="false"/>
          <w:color w:val="000000"/>
          <w:sz w:val="22"/>
          <w:szCs w:val="22"/>
        </w:rPr>
        <w:t xml:space="preserve"> .,1998), Swimming swarming and twitching motility(Rasid </w:t>
      </w:r>
      <w:r>
        <w:rPr>
          <w:b w:val="false"/>
          <w:bCs w:val="false"/>
          <w:i/>
          <w:iCs/>
          <w:color w:val="000000"/>
          <w:sz w:val="22"/>
          <w:szCs w:val="22"/>
        </w:rPr>
        <w:t xml:space="preserve">et al., </w:t>
      </w:r>
      <w:r>
        <w:rPr>
          <w:b w:val="false"/>
          <w:bCs w:val="false"/>
          <w:i w:val="false"/>
          <w:iCs w:val="false"/>
          <w:color w:val="000000"/>
          <w:sz w:val="22"/>
          <w:szCs w:val="22"/>
        </w:rPr>
        <w:t>2000), Protease production (</w:t>
      </w:r>
      <w:bookmarkStart w:id="3" w:name="__DdeLink__910_2063734865"/>
      <w:r>
        <w:rPr>
          <w:b w:val="false"/>
          <w:bCs w:val="false"/>
          <w:i w:val="false"/>
          <w:iCs w:val="false"/>
          <w:color w:val="000000"/>
          <w:sz w:val="22"/>
          <w:szCs w:val="22"/>
        </w:rPr>
        <w:t xml:space="preserve">Visca </w:t>
      </w:r>
      <w:r>
        <w:rPr>
          <w:b w:val="false"/>
          <w:bCs w:val="false"/>
          <w:i/>
          <w:iCs/>
          <w:color w:val="000000"/>
          <w:sz w:val="22"/>
          <w:szCs w:val="22"/>
        </w:rPr>
        <w:t xml:space="preserve">et al., </w:t>
      </w:r>
      <w:r>
        <w:rPr>
          <w:b w:val="false"/>
          <w:bCs w:val="false"/>
          <w:i w:val="false"/>
          <w:iCs w:val="false"/>
          <w:color w:val="000000"/>
          <w:sz w:val="22"/>
          <w:szCs w:val="22"/>
        </w:rPr>
        <w:t>1992)</w:t>
      </w:r>
      <w:bookmarkEnd w:id="3"/>
      <w:r>
        <w:rPr>
          <w:b w:val="false"/>
          <w:bCs w:val="false"/>
          <w:i w:val="false"/>
          <w:iCs w:val="false"/>
          <w:color w:val="000000"/>
          <w:sz w:val="22"/>
          <w:szCs w:val="22"/>
        </w:rPr>
        <w:t xml:space="preserve">, Elastase activity(Visca </w:t>
      </w:r>
      <w:r>
        <w:rPr>
          <w:b w:val="false"/>
          <w:bCs w:val="false"/>
          <w:i/>
          <w:iCs/>
          <w:color w:val="000000"/>
          <w:sz w:val="22"/>
          <w:szCs w:val="22"/>
        </w:rPr>
        <w:t xml:space="preserve">et al., </w:t>
      </w:r>
      <w:r>
        <w:rPr>
          <w:b w:val="false"/>
          <w:bCs w:val="false"/>
          <w:i w:val="false"/>
          <w:iCs w:val="false"/>
          <w:color w:val="000000"/>
          <w:sz w:val="22"/>
          <w:szCs w:val="22"/>
        </w:rPr>
        <w:t xml:space="preserve">1992), </w:t>
      </w:r>
      <w:bookmarkStart w:id="4" w:name="__UnoMark__911_2063734865"/>
      <w:bookmarkEnd w:id="4"/>
      <w:r>
        <w:rPr>
          <w:b w:val="false"/>
          <w:bCs w:val="false"/>
          <w:i w:val="false"/>
          <w:iCs w:val="false"/>
          <w:color w:val="000000"/>
          <w:sz w:val="22"/>
          <w:szCs w:val="22"/>
        </w:rPr>
        <w:t xml:space="preserve">Pyrazinamidase activity(Simonava </w:t>
      </w:r>
      <w:r>
        <w:rPr>
          <w:b w:val="false"/>
          <w:bCs w:val="false"/>
          <w:i/>
          <w:iCs/>
          <w:color w:val="000000"/>
          <w:sz w:val="22"/>
          <w:szCs w:val="22"/>
        </w:rPr>
        <w:t>et al.,</w:t>
      </w:r>
      <w:r>
        <w:rPr>
          <w:b w:val="false"/>
          <w:bCs w:val="false"/>
          <w:i w:val="false"/>
          <w:iCs w:val="false"/>
          <w:color w:val="000000"/>
          <w:sz w:val="22"/>
          <w:szCs w:val="22"/>
        </w:rPr>
        <w:t xml:space="preserve">2007), Siderophore production(Arnow 1937), Hemolysin production(Linkish and vogt, 1972), Ramnolipid production(Koch </w:t>
      </w:r>
      <w:r>
        <w:rPr>
          <w:b w:val="false"/>
          <w:bCs w:val="false"/>
          <w:i/>
          <w:iCs/>
          <w:color w:val="000000"/>
          <w:sz w:val="22"/>
          <w:szCs w:val="22"/>
        </w:rPr>
        <w:t xml:space="preserve">et al., </w:t>
      </w:r>
      <w:r>
        <w:rPr>
          <w:b w:val="false"/>
          <w:bCs w:val="false"/>
          <w:i w:val="false"/>
          <w:iCs w:val="false"/>
          <w:color w:val="000000"/>
          <w:sz w:val="22"/>
          <w:szCs w:val="22"/>
        </w:rPr>
        <w:t>1991)</w:t>
      </w:r>
    </w:p>
    <w:p>
      <w:pPr>
        <w:pStyle w:val="style166"/>
        <w:widowControl w:val="false"/>
        <w:numPr>
          <w:ilvl w:val="0"/>
          <w:numId w:val="2"/>
        </w:numPr>
        <w:tabs>
          <w:tab w:leader="none" w:pos="720" w:val="left"/>
        </w:tabs>
        <w:spacing w:line="360" w:lineRule="auto"/>
        <w:ind w:hanging="0" w:left="0" w:right="29"/>
        <w:jc w:val="both"/>
      </w:pPr>
      <w:r>
        <w:rPr>
          <w:b/>
          <w:color w:val="000000"/>
          <w:sz w:val="22"/>
          <w:szCs w:val="22"/>
        </w:rPr>
        <w:t xml:space="preserve">Statistical analysis: </w:t>
      </w:r>
      <w:r>
        <w:rPr>
          <w:color w:val="000000"/>
          <w:sz w:val="22"/>
          <w:szCs w:val="22"/>
        </w:rPr>
        <w:t>Nil</w:t>
      </w:r>
    </w:p>
    <w:p>
      <w:pPr>
        <w:pStyle w:val="style166"/>
        <w:widowControl w:val="false"/>
        <w:tabs>
          <w:tab w:leader="none" w:pos="720" w:val="left"/>
        </w:tabs>
        <w:spacing w:line="360" w:lineRule="auto"/>
        <w:ind w:hanging="0" w:left="0" w:right="29"/>
        <w:jc w:val="both"/>
      </w:pPr>
      <w:r>
        <w:rPr>
          <w:b/>
          <w:color w:val="000000"/>
          <w:sz w:val="22"/>
          <w:szCs w:val="22"/>
        </w:rPr>
        <w:t xml:space="preserve">Experiment No. 3 </w:t>
      </w:r>
    </w:p>
    <w:p>
      <w:pPr>
        <w:pStyle w:val="style166"/>
        <w:widowControl w:val="false"/>
        <w:numPr>
          <w:ilvl w:val="0"/>
          <w:numId w:val="4"/>
        </w:numPr>
        <w:tabs>
          <w:tab w:leader="none" w:pos="720" w:val="left"/>
        </w:tabs>
        <w:spacing w:line="360" w:lineRule="auto"/>
        <w:ind w:hanging="0" w:left="0" w:right="29"/>
        <w:jc w:val="both"/>
      </w:pPr>
      <w:r>
        <w:rPr>
          <w:b/>
          <w:color w:val="000000"/>
          <w:sz w:val="22"/>
          <w:szCs w:val="22"/>
        </w:rPr>
        <w:t xml:space="preserve">Name of the experiment : </w:t>
      </w:r>
      <w:r>
        <w:rPr>
          <w:color w:val="000000"/>
          <w:sz w:val="22"/>
          <w:szCs w:val="22"/>
        </w:rPr>
        <w:t xml:space="preserve">Molecular characterization of </w:t>
      </w:r>
      <w:r>
        <w:rPr>
          <w:i/>
          <w:iCs/>
          <w:color w:val="000000"/>
          <w:sz w:val="22"/>
          <w:szCs w:val="22"/>
        </w:rPr>
        <w:t>Aeromonas hydrophila.</w:t>
      </w:r>
      <w:r>
        <w:rPr>
          <w:color w:val="000000"/>
          <w:sz w:val="22"/>
          <w:szCs w:val="22"/>
        </w:rPr>
        <w:t xml:space="preserve">                                                                                                              </w:t>
      </w:r>
    </w:p>
    <w:p>
      <w:pPr>
        <w:pStyle w:val="style166"/>
        <w:widowControl w:val="false"/>
        <w:numPr>
          <w:ilvl w:val="0"/>
          <w:numId w:val="4"/>
        </w:numPr>
        <w:tabs>
          <w:tab w:leader="none" w:pos="720" w:val="left"/>
        </w:tabs>
        <w:spacing w:line="360" w:lineRule="auto"/>
        <w:ind w:hanging="0" w:left="0" w:right="29"/>
        <w:jc w:val="both"/>
      </w:pPr>
      <w:r>
        <w:rPr>
          <w:b/>
          <w:color w:val="000000"/>
          <w:sz w:val="22"/>
          <w:szCs w:val="22"/>
        </w:rPr>
        <w:t>Location:</w:t>
      </w:r>
      <w:r>
        <w:rPr>
          <w:color w:val="000000"/>
          <w:sz w:val="22"/>
          <w:szCs w:val="22"/>
        </w:rPr>
        <w:t xml:space="preserve"> Department of Plant pathology, PAU, Ludhiana </w:t>
      </w:r>
    </w:p>
    <w:p>
      <w:pPr>
        <w:pStyle w:val="style166"/>
        <w:widowControl w:val="false"/>
        <w:numPr>
          <w:ilvl w:val="0"/>
          <w:numId w:val="4"/>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r>
        <w:rPr>
          <w:b/>
          <w:color w:val="000000"/>
          <w:sz w:val="22"/>
          <w:szCs w:val="22"/>
        </w:rPr>
        <w:t xml:space="preserve">Methodology: </w:t>
      </w:r>
      <w:r>
        <w:rPr>
          <w:color w:val="000000"/>
          <w:sz w:val="22"/>
          <w:szCs w:val="22"/>
        </w:rPr>
        <w:t xml:space="preserve">Molecular characterization of pathogenic isolates will be carried out on the basis of virulence genes as listed below </w:t>
      </w:r>
      <w:r>
        <w:rPr>
          <w:bCs/>
          <w:i/>
          <w:iCs/>
          <w:color w:val="000000"/>
          <w:sz w:val="22"/>
          <w:szCs w:val="22"/>
        </w:rPr>
        <w:t>Aeromonas hydrophila</w:t>
      </w:r>
      <w:r>
        <w:rPr>
          <w:b/>
          <w:bCs/>
          <w:i/>
          <w:iCs/>
          <w:color w:val="000000"/>
          <w:sz w:val="22"/>
          <w:szCs w:val="22"/>
        </w:rPr>
        <w:t xml:space="preserve"> </w:t>
      </w:r>
      <w:r>
        <w:rPr>
          <w:b/>
          <w:i/>
          <w:color w:val="000000"/>
          <w:sz w:val="22"/>
          <w:szCs w:val="22"/>
        </w:rPr>
        <w:t xml:space="preserve"> </w:t>
      </w:r>
      <w:r>
        <w:rPr>
          <w:i/>
          <w:color w:val="000000"/>
          <w:sz w:val="22"/>
          <w:szCs w:val="22"/>
        </w:rPr>
        <w:t>(</w:t>
      </w:r>
      <w:r>
        <w:rPr>
          <w:i/>
          <w:iCs/>
          <w:color w:val="000000"/>
          <w:sz w:val="22"/>
          <w:szCs w:val="22"/>
        </w:rPr>
        <w:t>alt,act,ast,hlyA,ail aerA, aspA,ahpB, lip and tap).</w:t>
      </w:r>
    </w:p>
    <w:p>
      <w:pPr>
        <w:pStyle w:val="style166"/>
        <w:widowControl w:val="false"/>
        <w:numPr>
          <w:ilvl w:val="0"/>
          <w:numId w:val="4"/>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r>
        <w:rPr>
          <w:b/>
          <w:color w:val="000000"/>
          <w:sz w:val="22"/>
          <w:szCs w:val="22"/>
        </w:rPr>
        <w:t xml:space="preserve">Observations to be recorded: </w:t>
      </w:r>
      <w:r>
        <w:rPr>
          <w:color w:val="000000"/>
          <w:sz w:val="22"/>
          <w:szCs w:val="22"/>
        </w:rPr>
        <w:t xml:space="preserve">PCR amplification profile for individual virulence genes from different isolates of </w:t>
      </w:r>
      <w:r>
        <w:rPr>
          <w:bCs/>
          <w:i/>
          <w:iCs/>
          <w:color w:val="000000"/>
          <w:sz w:val="22"/>
          <w:szCs w:val="22"/>
        </w:rPr>
        <w:t>Aeromonas</w:t>
      </w:r>
      <w:r>
        <w:rPr>
          <w:bCs/>
          <w:color w:val="000000"/>
          <w:sz w:val="22"/>
          <w:szCs w:val="22"/>
        </w:rPr>
        <w:t xml:space="preserve"> </w:t>
      </w:r>
      <w:r>
        <w:rPr>
          <w:bCs/>
          <w:i/>
          <w:iCs/>
          <w:color w:val="000000"/>
          <w:sz w:val="22"/>
          <w:szCs w:val="22"/>
        </w:rPr>
        <w:t>hydrophila</w:t>
      </w:r>
      <w:r>
        <w:rPr>
          <w:color w:val="000000"/>
          <w:sz w:val="22"/>
          <w:szCs w:val="22"/>
        </w:rPr>
        <w:t xml:space="preserve"> will be generated. The amplification data will be analyzed using DARWIn 5.1 software.</w:t>
      </w:r>
    </w:p>
    <w:p>
      <w:pPr>
        <w:pStyle w:val="style166"/>
        <w:widowControl w:val="false"/>
        <w:numPr>
          <w:ilvl w:val="0"/>
          <w:numId w:val="4"/>
        </w:numPr>
        <w:tabs>
          <w:tab w:leader="none" w:pos="720" w:val="left"/>
        </w:tabs>
        <w:spacing w:line="360" w:lineRule="auto"/>
        <w:ind w:hanging="0" w:left="0" w:right="29"/>
        <w:jc w:val="both"/>
      </w:pPr>
      <w:bookmarkStart w:id="5" w:name="__DdeLink__1020_373957455"/>
      <w:r>
        <w:rPr>
          <w:b/>
          <w:color w:val="000000"/>
          <w:sz w:val="22"/>
          <w:szCs w:val="22"/>
        </w:rPr>
        <w:t xml:space="preserve">Statistical analysis: </w:t>
      </w:r>
      <w:bookmarkEnd w:id="5"/>
      <w:r>
        <w:rPr>
          <w:color w:val="000000"/>
          <w:sz w:val="22"/>
          <w:szCs w:val="22"/>
        </w:rPr>
        <w:t>Nil</w:t>
      </w:r>
    </w:p>
    <w:p>
      <w:pPr>
        <w:pStyle w:val="style166"/>
        <w:widowControl w:val="false"/>
        <w:tabs>
          <w:tab w:leader="none" w:pos="720" w:val="left"/>
        </w:tabs>
        <w:spacing w:line="360" w:lineRule="auto"/>
        <w:ind w:hanging="0" w:left="0" w:right="29"/>
        <w:jc w:val="both"/>
      </w:pPr>
      <w:r>
        <w:rPr>
          <w:b/>
          <w:bCs/>
          <w:color w:val="000000"/>
          <w:sz w:val="22"/>
          <w:szCs w:val="22"/>
        </w:rPr>
        <w:t>Experiment No. 4</w:t>
      </w:r>
    </w:p>
    <w:p>
      <w:pPr>
        <w:pStyle w:val="style166"/>
        <w:widowControl w:val="false"/>
        <w:numPr>
          <w:ilvl w:val="0"/>
          <w:numId w:val="5"/>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r>
        <w:rPr>
          <w:b/>
          <w:color w:val="000000"/>
          <w:sz w:val="22"/>
          <w:szCs w:val="22"/>
        </w:rPr>
        <w:t xml:space="preserve">Name of the experiment : </w:t>
      </w:r>
      <w:r>
        <w:rPr>
          <w:color w:val="000000"/>
          <w:sz w:val="22"/>
          <w:szCs w:val="22"/>
        </w:rPr>
        <w:t xml:space="preserve">To test the bacteriocidal properties of disinfectants against </w:t>
      </w:r>
      <w:r>
        <w:rPr>
          <w:i/>
          <w:iCs/>
          <w:color w:val="000000"/>
          <w:sz w:val="22"/>
          <w:szCs w:val="22"/>
        </w:rPr>
        <w:t>Aeromonas</w:t>
      </w:r>
      <w:r>
        <w:rPr>
          <w:color w:val="000000"/>
          <w:sz w:val="22"/>
          <w:szCs w:val="22"/>
        </w:rPr>
        <w:t xml:space="preserve"> strains.</w:t>
      </w:r>
    </w:p>
    <w:p>
      <w:pPr>
        <w:pStyle w:val="style166"/>
        <w:widowControl w:val="false"/>
        <w:numPr>
          <w:ilvl w:val="0"/>
          <w:numId w:val="5"/>
        </w:numPr>
        <w:tabs>
          <w:tab w:leader="none" w:pos="720" w:val="left"/>
        </w:tabs>
        <w:spacing w:line="360" w:lineRule="auto"/>
        <w:ind w:hanging="0" w:left="0" w:right="29"/>
        <w:jc w:val="both"/>
      </w:pPr>
      <w:r>
        <w:rPr>
          <w:b/>
          <w:color w:val="000000"/>
          <w:sz w:val="22"/>
          <w:szCs w:val="22"/>
        </w:rPr>
        <w:t>Location:</w:t>
      </w:r>
      <w:r>
        <w:rPr>
          <w:color w:val="000000"/>
          <w:sz w:val="22"/>
          <w:szCs w:val="22"/>
        </w:rPr>
        <w:t xml:space="preserve"> Department of Microbiology, PAU, Ludhiana</w:t>
      </w:r>
    </w:p>
    <w:p>
      <w:pPr>
        <w:pStyle w:val="style166"/>
        <w:widowControl w:val="false"/>
        <w:numPr>
          <w:ilvl w:val="0"/>
          <w:numId w:val="5"/>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r>
        <w:rPr>
          <w:b/>
          <w:color w:val="000000"/>
          <w:sz w:val="22"/>
          <w:szCs w:val="22"/>
        </w:rPr>
        <w:t xml:space="preserve">Methodology: </w:t>
      </w:r>
      <w:r>
        <w:rPr>
          <w:color w:val="000000"/>
          <w:sz w:val="22"/>
          <w:szCs w:val="22"/>
        </w:rPr>
        <w:t xml:space="preserve">Effectiveness of chlorinated water (different concentrations of sodium hypochlorite) and peracetic acid (peracetic acid, hydrogen peroxide acetic acid) will be determined. 25g of sample(whole, surface and macerate) will be rinsed in chlorinated water of varied degree of concentration i.e. 30, 50, 75 and 100ppm for varied time period i.e. 2, 5, 10 mins and different concentration of peracetic acid(1-5%) at different time period (1-10min). The samples will then be evaluated for log reduction aeromonads load using enrichment culture techniques described in Experiment no. 1. </w:t>
      </w:r>
    </w:p>
    <w:p>
      <w:pPr>
        <w:pStyle w:val="style166"/>
        <w:widowControl w:val="false"/>
        <w:numPr>
          <w:ilvl w:val="0"/>
          <w:numId w:val="5"/>
        </w:numPr>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s>
        <w:spacing w:line="360" w:lineRule="auto"/>
        <w:ind w:hanging="720" w:left="720" w:right="29"/>
        <w:jc w:val="both"/>
      </w:pPr>
      <w:r>
        <w:rPr>
          <w:b/>
          <w:color w:val="000000"/>
          <w:sz w:val="22"/>
          <w:szCs w:val="22"/>
        </w:rPr>
        <w:t xml:space="preserve">Observations to be recorded: </w:t>
      </w:r>
      <w:r>
        <w:rPr>
          <w:b w:val="false"/>
          <w:bCs w:val="false"/>
          <w:color w:val="000000"/>
          <w:sz w:val="22"/>
          <w:szCs w:val="22"/>
        </w:rPr>
        <w:t>C</w:t>
      </w:r>
      <w:r>
        <w:rPr>
          <w:color w:val="000000"/>
          <w:sz w:val="22"/>
          <w:szCs w:val="22"/>
        </w:rPr>
        <w:t>olony forming units per ml will be recorded and organoleptic characteristic  will be determined and correlation will be carried out with untreated samples as control.</w:t>
      </w:r>
    </w:p>
    <w:p>
      <w:pPr>
        <w:pStyle w:val="style166"/>
        <w:widowControl w:val="false"/>
        <w:numPr>
          <w:ilvl w:val="0"/>
          <w:numId w:val="5"/>
        </w:numPr>
        <w:tabs>
          <w:tab w:leader="none" w:pos="720" w:val="left"/>
        </w:tabs>
        <w:spacing w:line="360" w:lineRule="auto"/>
        <w:ind w:hanging="0" w:left="0" w:right="29"/>
        <w:jc w:val="both"/>
      </w:pPr>
      <w:r>
        <w:rPr>
          <w:b/>
          <w:color w:val="000000"/>
          <w:sz w:val="22"/>
          <w:szCs w:val="22"/>
        </w:rPr>
        <w:t xml:space="preserve">Statistical analysis: </w:t>
      </w:r>
      <w:r>
        <w:rPr>
          <w:b w:val="false"/>
          <w:bCs w:val="false"/>
          <w:color w:val="000000"/>
          <w:sz w:val="22"/>
          <w:szCs w:val="22"/>
        </w:rPr>
        <w:t>CD</w:t>
      </w:r>
      <w:r>
        <w:rPr>
          <w:b/>
          <w:bCs/>
          <w:color w:val="000000"/>
          <w:sz w:val="22"/>
          <w:szCs w:val="22"/>
        </w:rPr>
        <w:t xml:space="preserve">5% </w:t>
      </w:r>
      <w:r>
        <w:rPr>
          <w:b w:val="false"/>
          <w:bCs w:val="false"/>
          <w:color w:val="000000"/>
          <w:sz w:val="22"/>
          <w:szCs w:val="22"/>
        </w:rPr>
        <w:t>using ANOVA</w:t>
      </w:r>
    </w:p>
    <w:p>
      <w:pPr>
        <w:pStyle w:val="style0"/>
        <w:widowControl w:val="false"/>
        <w:tabs>
          <w:tab w:leader="none" w:pos="720" w:val="left"/>
        </w:tabs>
        <w:spacing w:line="360" w:lineRule="auto"/>
        <w:ind w:hanging="0" w:left="0" w:right="29"/>
        <w:jc w:val="both"/>
      </w:pPr>
      <w:r>
        <w:rPr/>
      </w:r>
    </w:p>
    <w:p>
      <w:pPr>
        <w:pStyle w:val="style0"/>
        <w:widowControl w:val="false"/>
        <w:tabs>
          <w:tab w:leader="none" w:pos="720" w:val="left"/>
        </w:tabs>
        <w:spacing w:line="360" w:lineRule="auto"/>
        <w:ind w:hanging="0" w:left="0" w:right="29"/>
        <w:jc w:val="both"/>
      </w:pPr>
      <w:r>
        <w:rPr/>
      </w:r>
    </w:p>
    <w:p>
      <w:pPr>
        <w:pStyle w:val="style166"/>
        <w:widowControl w:val="false"/>
        <w:tabs>
          <w:tab w:leader="none" w:pos="720" w:val="left"/>
        </w:tabs>
        <w:spacing w:line="360" w:lineRule="auto"/>
        <w:ind w:hanging="0" w:left="0" w:right="29"/>
        <w:jc w:val="both"/>
      </w:pPr>
      <w:r>
        <w:rPr/>
      </w:r>
    </w:p>
    <w:p>
      <w:pPr>
        <w:pStyle w:val="style166"/>
        <w:widowControl w:val="false"/>
        <w:tabs>
          <w:tab w:leader="none" w:pos="720" w:val="left"/>
        </w:tabs>
        <w:spacing w:line="360" w:lineRule="auto"/>
        <w:ind w:hanging="0" w:left="0" w:right="29"/>
        <w:jc w:val="both"/>
      </w:pPr>
      <w:r>
        <w:rPr/>
      </w:r>
    </w:p>
    <w:p>
      <w:pPr>
        <w:pStyle w:val="style166"/>
        <w:widowControl w:val="false"/>
        <w:tabs>
          <w:tab w:leader="none" w:pos="720" w:val="left"/>
        </w:tabs>
        <w:spacing w:line="360" w:lineRule="auto"/>
        <w:ind w:hanging="0" w:left="0" w:right="29"/>
        <w:jc w:val="both"/>
      </w:pPr>
      <w:r>
        <w:rPr/>
      </w:r>
    </w:p>
    <w:p>
      <w:pPr>
        <w:pStyle w:val="style166"/>
        <w:widowControl w:val="false"/>
        <w:tabs>
          <w:tab w:leader="none" w:pos="720" w:val="left"/>
        </w:tabs>
        <w:spacing w:line="360" w:lineRule="auto"/>
        <w:ind w:hanging="0" w:left="0" w:right="29"/>
        <w:jc w:val="both"/>
      </w:pPr>
      <w:r>
        <w:rPr/>
      </w:r>
    </w:p>
    <w:p>
      <w:pPr>
        <w:pStyle w:val="style0"/>
        <w:tabs>
          <w:tab w:leader="none" w:pos="720" w:val="left"/>
        </w:tabs>
        <w:suppressAutoHyphens w:val="false"/>
        <w:spacing w:after="200" w:before="0" w:line="276" w:lineRule="auto"/>
      </w:pPr>
      <w:r>
        <w:rPr/>
      </w:r>
    </w:p>
    <w:p>
      <w:pPr>
        <w:pStyle w:val="style166"/>
        <w:pageBreakBefore/>
        <w:widowControl w:val="false"/>
        <w:tabs>
          <w:tab w:leader="none" w:pos="720" w:val="left"/>
        </w:tabs>
        <w:spacing w:line="360" w:lineRule="auto"/>
        <w:ind w:hanging="0" w:left="0" w:right="29"/>
        <w:jc w:val="both"/>
      </w:pPr>
      <w:r>
        <w:rPr>
          <w:b/>
          <w:bCs/>
          <w:color w:val="000000"/>
          <w:sz w:val="22"/>
          <w:szCs w:val="22"/>
        </w:rPr>
        <w:t>6.  Schedule work flow diagram</w:t>
      </w:r>
    </w:p>
    <w:p>
      <w:pPr>
        <w:pStyle w:val="style166"/>
        <w:widowControl w:val="false"/>
        <w:tabs>
          <w:tab w:leader="none" w:pos="720" w:val="left"/>
        </w:tabs>
        <w:spacing w:line="100" w:lineRule="atLeast"/>
        <w:ind w:hanging="0" w:left="0" w:right="29"/>
        <w:jc w:val="both"/>
      </w:pPr>
      <w:r>
        <w:rPr/>
      </w:r>
    </w:p>
    <w:tbl>
      <w:tblPr>
        <w:jc w:val="left"/>
        <w:tblInd w:type="dxa" w:w="-1342"/>
        <w:tblBorders>
          <w:top w:color="00000A" w:space="0" w:sz="4" w:val="single"/>
          <w:left w:color="00000A" w:space="0" w:sz="4" w:val="single"/>
          <w:bottom w:color="00000A" w:space="0" w:sz="4" w:val="single"/>
          <w:right w:color="00000A" w:space="0" w:sz="4" w:val="single"/>
        </w:tblBorders>
      </w:tblPr>
      <w:tblGrid>
        <w:gridCol w:w="473"/>
        <w:gridCol w:w="473"/>
        <w:gridCol w:w="474"/>
        <w:gridCol w:w="473"/>
        <w:gridCol w:w="7573"/>
      </w:tblGrid>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S. No.</w:t>
            </w:r>
          </w:p>
        </w:tc>
        <w:tc>
          <w:tcPr>
            <w:tcW w:type="dxa" w:w="473"/>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 xml:space="preserve">Activity </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Semester II</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Semester III</w:t>
            </w:r>
          </w:p>
        </w:tc>
        <w:tc>
          <w:tcPr>
            <w:tcW w:type="dxa" w:w="7573"/>
            <w:gridSpan w:val="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Semester IV</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J</w:t>
            </w:r>
          </w:p>
        </w:tc>
        <w:tc>
          <w:tcPr>
            <w:tcW w:type="dxa" w:w="473"/>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F</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M</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M</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J</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J</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A</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S</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O</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N</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D</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J</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F</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M</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M</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J</w:t>
            </w:r>
          </w:p>
        </w:tc>
        <w:tc>
          <w:tcPr>
            <w:tcW w:type="dxa" w:w="473"/>
            <w:tcBorders>
              <w:right w:color="00000A" w:space="0" w:sz="4" w:val="single"/>
            </w:tcBorders>
            <w:shd w:fill="FFFFFF" w:val="clear"/>
            <w:tcMar>
              <w:top w:type="dxa" w:w="0"/>
              <w:left w:type="dxa" w:w="108"/>
              <w:bottom w:type="dxa" w:w="0"/>
              <w:right w:type="dxa" w:w="108"/>
            </w:tcMar>
          </w:tcPr>
          <w:p>
            <w:pPr>
              <w:pStyle w:val="style0"/>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1.</w:t>
            </w:r>
          </w:p>
        </w:tc>
        <w:tc>
          <w:tcPr>
            <w:tcW w:type="dxa" w:w="473"/>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Synopsis preparation &amp; submission</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2.</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 xml:space="preserve">Epidemiological survillence   for </w:t>
            </w:r>
            <w:r>
              <w:rPr>
                <w:i/>
                <w:iCs/>
                <w:color w:val="000000"/>
                <w:sz w:val="22"/>
                <w:szCs w:val="22"/>
              </w:rPr>
              <w:t xml:space="preserve">A.hydrophila </w:t>
            </w:r>
            <w:r>
              <w:rPr>
                <w:color w:val="000000"/>
                <w:sz w:val="22"/>
                <w:szCs w:val="22"/>
              </w:rPr>
              <w:t>and database generation for the quality of salad vegetables</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3.</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 xml:space="preserve">Biochemical &amp; molecular characterization of </w:t>
            </w:r>
            <w:r>
              <w:rPr>
                <w:i/>
                <w:iCs/>
                <w:color w:val="000000"/>
                <w:sz w:val="22"/>
                <w:szCs w:val="22"/>
              </w:rPr>
              <w:t>A.hydrophila</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4.</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Polymerase chain reaction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5.</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Thesis writting</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6.</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Thesis seminar</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7.</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Rough thesis submission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r>
      <w:tr>
        <w:trPr>
          <w:cantSplit w:val="true"/>
        </w:trPr>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8.</w:t>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both"/>
            </w:pPr>
            <w:r>
              <w:rPr>
                <w:color w:val="000000"/>
                <w:sz w:val="22"/>
                <w:szCs w:val="22"/>
              </w:rPr>
              <w:t>Final Thesis submission</w:t>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r>
          </w:p>
        </w:tc>
        <w:tc>
          <w:tcPr>
            <w:tcW w:type="dxa" w:w="47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174"/>
              <w:widowControl w:val="false"/>
              <w:tabs>
                <w:tab w:leader="none" w:pos="720" w:val="left"/>
              </w:tabs>
              <w:spacing w:after="120" w:before="120"/>
              <w:ind w:hanging="0" w:left="0" w:right="29"/>
              <w:jc w:val="center"/>
            </w:pPr>
            <w:r>
              <w:rPr>
                <w:color w:val="000000"/>
                <w:sz w:val="22"/>
                <w:szCs w:val="22"/>
              </w:rPr>
              <w:t>*</w:t>
            </w:r>
          </w:p>
        </w:tc>
      </w:tr>
    </w:tbl>
    <w:p>
      <w:pPr>
        <w:pStyle w:val="style158"/>
        <w:widowControl w:val="false"/>
        <w:tabs>
          <w:tab w:leader="none" w:pos="720" w:val="left"/>
        </w:tabs>
        <w:spacing w:after="0" w:before="0" w:line="360" w:lineRule="auto"/>
        <w:ind w:hanging="0" w:left="0" w:right="29"/>
        <w:jc w:val="both"/>
      </w:pPr>
      <w:r>
        <w:rPr/>
      </w:r>
    </w:p>
    <w:p>
      <w:pPr>
        <w:pStyle w:val="style158"/>
        <w:widowControl w:val="false"/>
        <w:tabs>
          <w:tab w:leader="none" w:pos="720" w:val="left"/>
        </w:tabs>
        <w:spacing w:after="0" w:before="0" w:line="360" w:lineRule="auto"/>
        <w:ind w:hanging="0" w:left="0" w:right="29"/>
        <w:jc w:val="both"/>
      </w:pPr>
      <w:r>
        <w:rPr>
          <w:b/>
          <w:bCs/>
          <w:color w:val="000000"/>
          <w:spacing w:val="10"/>
          <w:sz w:val="22"/>
          <w:szCs w:val="22"/>
        </w:rPr>
        <w:t xml:space="preserve">JFM…………..D refer to name of the month  </w:t>
      </w:r>
    </w:p>
    <w:p>
      <w:pPr>
        <w:pStyle w:val="style158"/>
        <w:widowControl w:val="false"/>
        <w:tabs>
          <w:tab w:leader="none" w:pos="720" w:val="left"/>
        </w:tabs>
        <w:spacing w:after="0" w:before="0" w:line="360" w:lineRule="auto"/>
        <w:ind w:hanging="0" w:left="0" w:right="29"/>
        <w:jc w:val="both"/>
      </w:pPr>
      <w:r>
        <w:rPr/>
      </w:r>
    </w:p>
    <w:p>
      <w:pPr>
        <w:pStyle w:val="style158"/>
        <w:widowControl w:val="false"/>
        <w:tabs>
          <w:tab w:leader="none" w:pos="720" w:val="left"/>
        </w:tabs>
        <w:spacing w:after="0" w:before="0" w:line="360" w:lineRule="auto"/>
        <w:ind w:hanging="0" w:left="0" w:right="29"/>
        <w:jc w:val="both"/>
      </w:pPr>
      <w:r>
        <w:rPr>
          <w:b/>
          <w:bCs/>
          <w:color w:val="000000"/>
          <w:spacing w:val="10"/>
          <w:sz w:val="22"/>
          <w:szCs w:val="22"/>
        </w:rPr>
        <w:t xml:space="preserve">7. Collaborations, if any: nil </w:t>
      </w:r>
    </w:p>
    <w:p>
      <w:pPr>
        <w:pStyle w:val="style171"/>
        <w:widowControl w:val="false"/>
        <w:tabs>
          <w:tab w:leader="none" w:pos="4680" w:val="center"/>
          <w:tab w:leader="none" w:pos="9360" w:val="right"/>
        </w:tabs>
        <w:ind w:hanging="0" w:left="0" w:right="29"/>
      </w:pPr>
      <w:r>
        <w:rPr/>
      </w:r>
    </w:p>
    <w:p>
      <w:pPr>
        <w:pStyle w:val="style0"/>
        <w:tabs>
          <w:tab w:leader="none" w:pos="720" w:val="left"/>
          <w:tab w:leader="none" w:pos="4680" w:val="center"/>
          <w:tab w:leader="none" w:pos="9360" w:val="right"/>
        </w:tabs>
        <w:suppressAutoHyphens w:val="false"/>
        <w:spacing w:after="200" w:before="0" w:line="276" w:lineRule="auto"/>
      </w:pPr>
      <w:r>
        <w:rPr/>
      </w:r>
    </w:p>
    <w:p>
      <w:pPr>
        <w:pStyle w:val="style171"/>
        <w:pageBreakBefore/>
        <w:widowControl w:val="false"/>
        <w:tabs>
          <w:tab w:leader="none" w:pos="5400" w:val="center"/>
          <w:tab w:leader="none" w:pos="6120" w:val="center"/>
          <w:tab w:leader="none" w:pos="6840" w:val="center"/>
          <w:tab w:leader="none" w:pos="7560" w:val="center"/>
          <w:tab w:leader="none" w:pos="8280" w:val="center"/>
          <w:tab w:leader="none" w:pos="9000" w:val="center"/>
          <w:tab w:leader="none" w:pos="9720" w:val="center"/>
          <w:tab w:leader="none" w:pos="10080" w:val="right"/>
          <w:tab w:leader="none" w:pos="10440" w:val="center"/>
          <w:tab w:leader="none" w:pos="10800" w:val="right"/>
          <w:tab w:leader="none" w:pos="11160" w:val="center"/>
          <w:tab w:leader="none" w:pos="11520" w:val="right"/>
          <w:tab w:leader="none" w:pos="11880" w:val="center"/>
          <w:tab w:leader="none" w:pos="12240" w:val="right"/>
          <w:tab w:leader="none" w:pos="12960" w:val="right"/>
          <w:tab w:leader="none" w:pos="13680" w:val="right"/>
          <w:tab w:leader="none" w:pos="14400" w:val="right"/>
          <w:tab w:leader="none" w:pos="15120" w:val="right"/>
          <w:tab w:leader="none" w:pos="15840" w:val="right"/>
          <w:tab w:leader="none" w:pos="16560" w:val="right"/>
        </w:tabs>
        <w:spacing w:after="240" w:before="0" w:line="360" w:lineRule="auto"/>
        <w:ind w:hanging="720" w:left="720" w:right="29"/>
        <w:jc w:val="both"/>
      </w:pPr>
      <w:r>
        <w:rPr>
          <w:b/>
          <w:color w:val="000000"/>
          <w:sz w:val="22"/>
          <w:szCs w:val="22"/>
        </w:rPr>
        <w:t>8.  References</w:t>
      </w:r>
    </w:p>
    <w:p>
      <w:pPr>
        <w:pStyle w:val="style171"/>
        <w:widowControl w:val="false"/>
        <w:tabs>
          <w:tab w:leader="none" w:pos="5400" w:val="center"/>
          <w:tab w:leader="none" w:pos="6120" w:val="center"/>
          <w:tab w:leader="none" w:pos="6840" w:val="center"/>
          <w:tab w:leader="none" w:pos="7560" w:val="center"/>
          <w:tab w:leader="none" w:pos="8280" w:val="center"/>
          <w:tab w:leader="none" w:pos="9000" w:val="center"/>
          <w:tab w:leader="none" w:pos="9720" w:val="center"/>
          <w:tab w:leader="none" w:pos="10080" w:val="right"/>
          <w:tab w:leader="none" w:pos="10440" w:val="center"/>
          <w:tab w:leader="none" w:pos="10800" w:val="right"/>
          <w:tab w:leader="none" w:pos="11160" w:val="center"/>
          <w:tab w:leader="none" w:pos="11520" w:val="right"/>
          <w:tab w:leader="none" w:pos="11880" w:val="center"/>
          <w:tab w:leader="none" w:pos="12240" w:val="right"/>
          <w:tab w:leader="none" w:pos="12960" w:val="right"/>
          <w:tab w:leader="none" w:pos="13680" w:val="right"/>
          <w:tab w:leader="none" w:pos="14400" w:val="right"/>
          <w:tab w:leader="none" w:pos="15120" w:val="right"/>
          <w:tab w:leader="none" w:pos="15840" w:val="right"/>
          <w:tab w:leader="none" w:pos="16560" w:val="right"/>
        </w:tabs>
        <w:spacing w:after="240" w:before="0" w:line="360" w:lineRule="auto"/>
        <w:ind w:hanging="720" w:left="720" w:right="29"/>
        <w:jc w:val="both"/>
      </w:pPr>
      <w:r>
        <w:rPr>
          <w:b w:val="false"/>
          <w:bCs w:val="false"/>
          <w:color w:val="000000"/>
          <w:sz w:val="22"/>
          <w:szCs w:val="22"/>
        </w:rPr>
        <w:t xml:space="preserve">Arnow L E(1937) Calorimetric detection of the components of 3,4- dihydroxyphenylalanine-tyrosine mixtures. </w:t>
      </w:r>
      <w:r>
        <w:rPr>
          <w:b w:val="false"/>
          <w:bCs w:val="false"/>
          <w:i/>
          <w:iCs/>
          <w:color w:val="000000"/>
          <w:sz w:val="22"/>
          <w:szCs w:val="22"/>
        </w:rPr>
        <w:t xml:space="preserve">J Biol Chem </w:t>
      </w:r>
      <w:r>
        <w:rPr>
          <w:b/>
          <w:bCs/>
          <w:i w:val="false"/>
          <w:iCs w:val="false"/>
          <w:color w:val="000000"/>
          <w:sz w:val="22"/>
          <w:szCs w:val="22"/>
        </w:rPr>
        <w:t xml:space="preserve">118: </w:t>
      </w:r>
      <w:r>
        <w:rPr>
          <w:b w:val="false"/>
          <w:bCs w:val="false"/>
          <w:i w:val="false"/>
          <w:iCs w:val="false"/>
          <w:color w:val="000000"/>
          <w:sz w:val="22"/>
          <w:szCs w:val="22"/>
        </w:rPr>
        <w:t>531-37.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Arunav D, M E Sindhuja, Ashi R, Mkarthikeyan, C R Santhos and G S Murgesan (2013) Diagnosis of virulent strains of motile </w:t>
      </w:r>
      <w:r>
        <w:rPr>
          <w:i/>
          <w:iCs/>
          <w:color w:val="000000"/>
          <w:sz w:val="22"/>
          <w:szCs w:val="22"/>
        </w:rPr>
        <w:t xml:space="preserve">Aeromonas </w:t>
      </w:r>
      <w:r>
        <w:rPr>
          <w:i w:val="false"/>
          <w:iCs w:val="false"/>
          <w:color w:val="000000"/>
          <w:sz w:val="22"/>
          <w:szCs w:val="22"/>
        </w:rPr>
        <w:t xml:space="preserve">from commercial food . </w:t>
      </w:r>
      <w:r>
        <w:rPr>
          <w:i/>
          <w:iCs/>
          <w:color w:val="000000"/>
          <w:sz w:val="22"/>
          <w:szCs w:val="22"/>
        </w:rPr>
        <w:t xml:space="preserve">IntJ Cur Micobl Ap Sci </w:t>
      </w:r>
      <w:r>
        <w:rPr>
          <w:b/>
          <w:bCs/>
          <w:i w:val="false"/>
          <w:iCs w:val="false"/>
          <w:color w:val="000000"/>
          <w:sz w:val="22"/>
          <w:szCs w:val="22"/>
        </w:rPr>
        <w:t>2(11)</w:t>
      </w:r>
      <w:r>
        <w:rPr>
          <w:b w:val="false"/>
          <w:bCs w:val="false"/>
          <w:i w:val="false"/>
          <w:iCs w:val="false"/>
          <w:color w:val="000000"/>
          <w:sz w:val="22"/>
          <w:szCs w:val="22"/>
        </w:rPr>
        <w:t>: 300-06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Ajlouni S, Sibrani H, Premier R and Tomkins B (2006) Ultrasonication and fresh produce (cos lettuce) preservation. </w:t>
      </w:r>
      <w:r>
        <w:rPr>
          <w:i/>
          <w:color w:val="000000"/>
          <w:sz w:val="22"/>
          <w:szCs w:val="22"/>
        </w:rPr>
        <w:t>J Food Sci</w:t>
      </w:r>
      <w:r>
        <w:rPr>
          <w:color w:val="000000"/>
          <w:sz w:val="22"/>
          <w:szCs w:val="22"/>
        </w:rPr>
        <w:t xml:space="preserve"> </w:t>
      </w:r>
      <w:r>
        <w:rPr>
          <w:b/>
          <w:color w:val="000000"/>
          <w:sz w:val="22"/>
          <w:szCs w:val="22"/>
        </w:rPr>
        <w:t>71</w:t>
      </w:r>
      <w:r>
        <w:rPr>
          <w:color w:val="000000"/>
          <w:sz w:val="22"/>
          <w:szCs w:val="22"/>
        </w:rPr>
        <w:t>(2):62-68.</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Alemmayehu D, Keetema B and Tschasige K (2014)Microbiological quality and safety of some selected vegetables sold in Jimma town, Southwestern Ehiopia. </w:t>
      </w:r>
      <w:r>
        <w:rPr>
          <w:i/>
          <w:iCs/>
          <w:color w:val="000000"/>
          <w:sz w:val="22"/>
          <w:szCs w:val="22"/>
        </w:rPr>
        <w:t xml:space="preserve">Afr J Env Sci Tech </w:t>
      </w:r>
      <w:r>
        <w:rPr>
          <w:b/>
          <w:bCs/>
          <w:color w:val="000000"/>
          <w:sz w:val="22"/>
          <w:szCs w:val="22"/>
        </w:rPr>
        <w:t>8</w:t>
      </w:r>
      <w:r>
        <w:rPr>
          <w:color w:val="000000"/>
          <w:sz w:val="22"/>
          <w:szCs w:val="22"/>
        </w:rPr>
        <w:t>(11):653-63.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Bains K and Shruti (2007) Analysis of various vegetable preparations for calcium, iron and zinc intake of Punjabi and urban rural families. </w:t>
      </w:r>
      <w:r>
        <w:rPr>
          <w:i/>
          <w:color w:val="000000"/>
          <w:sz w:val="22"/>
          <w:szCs w:val="22"/>
        </w:rPr>
        <w:t>IJNPR</w:t>
      </w:r>
      <w:r>
        <w:rPr>
          <w:color w:val="000000"/>
          <w:sz w:val="22"/>
          <w:szCs w:val="22"/>
        </w:rPr>
        <w:t xml:space="preserve"> </w:t>
      </w:r>
      <w:r>
        <w:rPr>
          <w:b/>
          <w:color w:val="000000"/>
          <w:sz w:val="22"/>
          <w:szCs w:val="22"/>
        </w:rPr>
        <w:t>6(2)</w:t>
      </w:r>
      <w:r>
        <w:rPr>
          <w:color w:val="000000"/>
          <w:sz w:val="22"/>
          <w:szCs w:val="22"/>
        </w:rPr>
        <w:t>:106-10.</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Bottero M T, Dalmasso A, Soglia D, Rosati S, Decastelli L and Civera T(2004) Development of multiplex PCR assay for the identification of pathogenic genes of </w:t>
      </w:r>
      <w:r>
        <w:rPr>
          <w:i/>
          <w:iCs/>
          <w:color w:val="000000"/>
          <w:sz w:val="22"/>
          <w:szCs w:val="22"/>
        </w:rPr>
        <w:t>E.coli</w:t>
      </w:r>
      <w:r>
        <w:rPr>
          <w:i w:val="false"/>
          <w:iCs w:val="false"/>
          <w:color w:val="000000"/>
          <w:sz w:val="22"/>
          <w:szCs w:val="22"/>
        </w:rPr>
        <w:t xml:space="preserve"> in milk and milk products. </w:t>
      </w:r>
      <w:r>
        <w:rPr>
          <w:i/>
          <w:iCs/>
          <w:color w:val="000000"/>
          <w:sz w:val="22"/>
          <w:szCs w:val="22"/>
        </w:rPr>
        <w:t xml:space="preserve">Mol Cell Probes </w:t>
      </w:r>
      <w:r>
        <w:rPr>
          <w:b/>
          <w:bCs/>
          <w:i/>
          <w:iCs/>
          <w:color w:val="000000"/>
          <w:sz w:val="22"/>
          <w:szCs w:val="22"/>
        </w:rPr>
        <w:t xml:space="preserve">18: </w:t>
      </w:r>
      <w:r>
        <w:rPr>
          <w:b w:val="false"/>
          <w:bCs w:val="false"/>
          <w:i w:val="false"/>
          <w:iCs w:val="false"/>
          <w:color w:val="000000"/>
          <w:sz w:val="22"/>
          <w:szCs w:val="22"/>
        </w:rPr>
        <w:t>283-88.</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val="false"/>
          <w:i w:val="false"/>
          <w:iCs w:val="false"/>
          <w:caps w:val="false"/>
          <w:smallCaps w:val="false"/>
          <w:color w:val="000000"/>
          <w:spacing w:val="0"/>
          <w:sz w:val="22"/>
          <w:szCs w:val="22"/>
        </w:rPr>
        <w:t xml:space="preserve">Dhiraputra C, Tiensasitorn C, Techachaiwiwat W, Jirapanakorn N, Kachintorn K and Danchaivijitr S (2005) Bacterial contamination of vegetables served in hospitals. </w:t>
      </w:r>
      <w:r>
        <w:rPr>
          <w:b w:val="false"/>
          <w:bCs w:val="false"/>
          <w:i/>
          <w:iCs w:val="false"/>
          <w:caps w:val="false"/>
          <w:smallCaps w:val="false"/>
          <w:color w:val="000000"/>
          <w:spacing w:val="0"/>
          <w:sz w:val="22"/>
          <w:szCs w:val="22"/>
        </w:rPr>
        <w:t>J Med Assoc Thai</w:t>
      </w:r>
      <w:r>
        <w:rPr>
          <w:b w:val="false"/>
          <w:bCs w:val="false"/>
          <w:i w:val="false"/>
          <w:iCs w:val="false"/>
          <w:caps w:val="false"/>
          <w:smallCaps w:val="false"/>
          <w:color w:val="000000"/>
          <w:spacing w:val="0"/>
          <w:sz w:val="22"/>
          <w:szCs w:val="22"/>
        </w:rPr>
        <w:t xml:space="preserve"> </w:t>
      </w:r>
      <w:r>
        <w:rPr>
          <w:b/>
          <w:bCs/>
          <w:i w:val="false"/>
          <w:iCs w:val="false"/>
          <w:caps w:val="false"/>
          <w:smallCaps w:val="false"/>
          <w:color w:val="000000"/>
          <w:spacing w:val="0"/>
          <w:sz w:val="22"/>
          <w:szCs w:val="22"/>
        </w:rPr>
        <w:t>88(10):</w:t>
      </w:r>
      <w:r>
        <w:rPr>
          <w:b w:val="false"/>
          <w:bCs w:val="false"/>
          <w:i w:val="false"/>
          <w:iCs w:val="false"/>
          <w:caps w:val="false"/>
          <w:smallCaps w:val="false"/>
          <w:color w:val="000000"/>
          <w:spacing w:val="0"/>
          <w:sz w:val="22"/>
          <w:szCs w:val="22"/>
        </w:rPr>
        <w:t xml:space="preserve"> S42-8.</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val="false"/>
          <w:i w:val="false"/>
          <w:iCs w:val="false"/>
          <w:caps w:val="false"/>
          <w:smallCaps w:val="false"/>
          <w:color w:val="000000"/>
          <w:spacing w:val="0"/>
          <w:sz w:val="22"/>
          <w:szCs w:val="22"/>
        </w:rPr>
        <w:t xml:space="preserve">Dugassa A, Bacha K, and Ketama T (2015). Microbiological quality and safety of some selected vegetables sold in Jimma town, Southwestern Ethiopia. </w:t>
      </w:r>
      <w:r>
        <w:rPr>
          <w:b w:val="false"/>
          <w:bCs w:val="false"/>
          <w:i/>
          <w:iCs w:val="false"/>
          <w:caps w:val="false"/>
          <w:smallCaps w:val="false"/>
          <w:color w:val="000000"/>
          <w:spacing w:val="0"/>
          <w:sz w:val="22"/>
          <w:szCs w:val="22"/>
        </w:rPr>
        <w:t>African Journal of Environmental Science and Technology</w:t>
      </w:r>
      <w:r>
        <w:rPr>
          <w:b w:val="false"/>
          <w:bCs w:val="false"/>
          <w:i w:val="false"/>
          <w:iCs w:val="false"/>
          <w:caps w:val="false"/>
          <w:smallCaps w:val="false"/>
          <w:color w:val="000000"/>
          <w:spacing w:val="0"/>
          <w:sz w:val="22"/>
          <w:szCs w:val="22"/>
        </w:rPr>
        <w:t xml:space="preserve"> </w:t>
      </w:r>
      <w:r>
        <w:rPr>
          <w:b/>
          <w:bCs/>
          <w:i/>
          <w:iCs w:val="false"/>
          <w:caps w:val="false"/>
          <w:smallCaps w:val="false"/>
          <w:color w:val="000000"/>
          <w:spacing w:val="0"/>
          <w:sz w:val="22"/>
          <w:szCs w:val="22"/>
        </w:rPr>
        <w:t>8</w:t>
      </w:r>
      <w:r>
        <w:rPr>
          <w:b/>
          <w:bCs/>
          <w:i w:val="false"/>
          <w:iCs w:val="false"/>
          <w:caps w:val="false"/>
          <w:smallCaps w:val="false"/>
          <w:color w:val="000000"/>
          <w:spacing w:val="0"/>
          <w:sz w:val="22"/>
          <w:szCs w:val="22"/>
        </w:rPr>
        <w:t>(11):</w:t>
      </w:r>
      <w:r>
        <w:rPr>
          <w:b w:val="false"/>
          <w:bCs w:val="false"/>
          <w:i w:val="false"/>
          <w:iCs w:val="false"/>
          <w:caps w:val="false"/>
          <w:smallCaps w:val="false"/>
          <w:color w:val="000000"/>
          <w:spacing w:val="0"/>
          <w:sz w:val="22"/>
          <w:szCs w:val="22"/>
        </w:rPr>
        <w:t xml:space="preserve"> 633-653.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val="false"/>
          <w:i w:val="false"/>
          <w:iCs w:val="false"/>
          <w:caps w:val="false"/>
          <w:smallCaps w:val="false"/>
          <w:color w:val="000000"/>
          <w:spacing w:val="0"/>
          <w:sz w:val="22"/>
          <w:szCs w:val="22"/>
        </w:rPr>
        <w:t xml:space="preserve">Dubois M, Gilles K, Hamilton J, Rebers P and Smith F (1956) Calometric method for determination of sugars and related substances. </w:t>
      </w:r>
      <w:r>
        <w:rPr>
          <w:b w:val="false"/>
          <w:bCs w:val="false"/>
          <w:i/>
          <w:iCs/>
          <w:caps w:val="false"/>
          <w:smallCaps w:val="false"/>
          <w:color w:val="000000"/>
          <w:spacing w:val="0"/>
          <w:sz w:val="22"/>
          <w:szCs w:val="22"/>
        </w:rPr>
        <w:t xml:space="preserve">Analyical Chemistry </w:t>
      </w:r>
      <w:r>
        <w:rPr>
          <w:b/>
          <w:bCs/>
          <w:i w:val="false"/>
          <w:iCs w:val="false"/>
          <w:caps w:val="false"/>
          <w:smallCaps w:val="false"/>
          <w:color w:val="000000"/>
          <w:spacing w:val="0"/>
          <w:sz w:val="22"/>
          <w:szCs w:val="22"/>
        </w:rPr>
        <w:t xml:space="preserve">28(3): </w:t>
      </w:r>
      <w:r>
        <w:rPr>
          <w:b w:val="false"/>
          <w:bCs w:val="false"/>
          <w:i w:val="false"/>
          <w:iCs w:val="false"/>
          <w:caps w:val="false"/>
          <w:smallCaps w:val="false"/>
          <w:color w:val="000000"/>
          <w:spacing w:val="0"/>
          <w:sz w:val="22"/>
          <w:szCs w:val="22"/>
        </w:rPr>
        <w:t>350-56.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Cs/>
          <w:color w:val="000000"/>
          <w:sz w:val="22"/>
          <w:szCs w:val="22"/>
        </w:rPr>
        <w:t xml:space="preserve">Eni A O, Oluwawemitan I A and Solomon O U (2010) Microbial quality of fruits and vegetables sold in Sango Ota, Nigeria. </w:t>
      </w:r>
      <w:r>
        <w:rPr>
          <w:bCs/>
          <w:i/>
          <w:iCs/>
          <w:color w:val="000000"/>
          <w:sz w:val="22"/>
          <w:szCs w:val="22"/>
        </w:rPr>
        <w:t xml:space="preserve">Afr J Food Sci </w:t>
      </w:r>
      <w:r>
        <w:rPr>
          <w:b/>
          <w:bCs/>
          <w:color w:val="000000"/>
          <w:sz w:val="22"/>
          <w:szCs w:val="22"/>
        </w:rPr>
        <w:t>4</w:t>
      </w:r>
      <w:r>
        <w:rPr>
          <w:bCs/>
          <w:color w:val="000000"/>
          <w:sz w:val="22"/>
          <w:szCs w:val="22"/>
        </w:rPr>
        <w:t>: 291-96.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Fadl A A, Galindo C L, Sha J, Zhang F, Garner H R, Wang H Q, Chopra A K (2007) </w:t>
      </w:r>
      <w:r>
        <w:rPr>
          <w:bCs/>
          <w:color w:val="000000"/>
          <w:sz w:val="22"/>
          <w:szCs w:val="22"/>
        </w:rPr>
        <w:t>Global transcriptional responses ofwild-type Aeromonas hydrophila and its virulence-deficient  mutant in a murine model of infection.</w:t>
      </w:r>
      <w:r>
        <w:rPr>
          <w:bCs/>
          <w:i/>
          <w:iCs/>
          <w:color w:val="000000"/>
          <w:sz w:val="22"/>
          <w:szCs w:val="22"/>
        </w:rPr>
        <w:t xml:space="preserve"> Microbial Pathogenesis.</w:t>
      </w:r>
      <w:r>
        <w:rPr>
          <w:bCs/>
          <w:color w:val="000000"/>
          <w:sz w:val="22"/>
          <w:szCs w:val="22"/>
        </w:rPr>
        <w:t xml:space="preserve"> </w:t>
      </w:r>
      <w:r>
        <w:rPr>
          <w:b/>
          <w:bCs/>
          <w:color w:val="000000"/>
          <w:sz w:val="22"/>
          <w:szCs w:val="22"/>
        </w:rPr>
        <w:t>42</w:t>
      </w:r>
      <w:r>
        <w:rPr>
          <w:bCs/>
          <w:color w:val="000000"/>
          <w:sz w:val="22"/>
          <w:szCs w:val="22"/>
        </w:rPr>
        <w:t>(5-6):193-203.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i w:val="false"/>
          <w:caps w:val="false"/>
          <w:smallCaps w:val="false"/>
          <w:color w:val="000000"/>
          <w:spacing w:val="0"/>
          <w:sz w:val="22"/>
          <w:szCs w:val="22"/>
        </w:rPr>
        <w:t xml:space="preserve"> </w:t>
      </w:r>
      <w:r>
        <w:rPr>
          <w:b w:val="false"/>
          <w:bCs/>
          <w:i w:val="false"/>
          <w:caps w:val="false"/>
          <w:smallCaps w:val="false"/>
          <w:color w:val="000000"/>
          <w:spacing w:val="0"/>
          <w:sz w:val="22"/>
          <w:szCs w:val="22"/>
        </w:rPr>
        <w:t xml:space="preserve">Guyader F S, Le Saux J C, Ambert-Balay K, Krol J, Serais O, Parnaudeau S and  Atmar R L (2008). Aichi virus, norovirus, astrovirus, enterovirus, and rotavirus involved in clinical cases from a French oyster-related gastroenteritis outbreak. </w:t>
      </w:r>
      <w:r>
        <w:rPr>
          <w:b w:val="false"/>
          <w:bCs/>
          <w:i/>
          <w:caps w:val="false"/>
          <w:smallCaps w:val="false"/>
          <w:color w:val="000000"/>
          <w:spacing w:val="0"/>
          <w:sz w:val="22"/>
          <w:szCs w:val="22"/>
        </w:rPr>
        <w:t>Journal of Clinical Microbiology</w:t>
      </w:r>
      <w:r>
        <w:rPr>
          <w:b w:val="false"/>
          <w:bCs/>
          <w:i w:val="false"/>
          <w:caps w:val="false"/>
          <w:smallCaps w:val="false"/>
          <w:color w:val="000000"/>
          <w:spacing w:val="0"/>
          <w:sz w:val="22"/>
          <w:szCs w:val="22"/>
        </w:rPr>
        <w:t xml:space="preserve"> </w:t>
      </w:r>
      <w:r>
        <w:rPr>
          <w:b/>
          <w:bCs/>
          <w:i w:val="false"/>
          <w:iCs w:val="false"/>
          <w:caps w:val="false"/>
          <w:smallCaps w:val="false"/>
          <w:color w:val="000000"/>
          <w:spacing w:val="0"/>
          <w:sz w:val="22"/>
          <w:szCs w:val="22"/>
        </w:rPr>
        <w:t>46(12):</w:t>
      </w:r>
      <w:r>
        <w:rPr>
          <w:b w:val="false"/>
          <w:bCs/>
          <w:i w:val="false"/>
          <w:caps w:val="false"/>
          <w:smallCaps w:val="false"/>
          <w:color w:val="000000"/>
          <w:spacing w:val="0"/>
          <w:sz w:val="22"/>
          <w:szCs w:val="22"/>
        </w:rPr>
        <w:t xml:space="preserve"> 4011-17.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Cs/>
          <w:color w:val="000000"/>
          <w:sz w:val="22"/>
          <w:szCs w:val="22"/>
        </w:rPr>
        <w:t xml:space="preserve">Harris L J, Farber J N, Beuchat L R, Parish m E, Sulsow T V, Garrett E H and Busta F F (2003) Outbreaks associated with fresh produce. </w:t>
      </w:r>
      <w:r>
        <w:rPr>
          <w:bCs/>
          <w:i/>
          <w:iCs/>
          <w:color w:val="000000"/>
          <w:sz w:val="22"/>
          <w:szCs w:val="22"/>
        </w:rPr>
        <w:t>Comp Rev Food Sci Food Safety</w:t>
      </w:r>
      <w:r>
        <w:rPr>
          <w:b/>
          <w:bCs/>
          <w:i/>
          <w:iCs/>
          <w:color w:val="000000"/>
          <w:sz w:val="22"/>
          <w:szCs w:val="22"/>
        </w:rPr>
        <w:t xml:space="preserve"> </w:t>
      </w:r>
      <w:r>
        <w:rPr>
          <w:b/>
          <w:bCs/>
          <w:i w:val="false"/>
          <w:iCs w:val="false"/>
          <w:color w:val="000000"/>
          <w:sz w:val="22"/>
          <w:szCs w:val="22"/>
        </w:rPr>
        <w:t>2</w:t>
      </w:r>
      <w:r>
        <w:rPr>
          <w:b/>
          <w:bCs/>
          <w:i/>
          <w:iCs/>
          <w:color w:val="000000"/>
          <w:sz w:val="22"/>
          <w:szCs w:val="22"/>
        </w:rPr>
        <w:t>:</w:t>
      </w:r>
      <w:r>
        <w:rPr>
          <w:b w:val="false"/>
          <w:bCs w:val="false"/>
          <w:i w:val="false"/>
          <w:iCs w:val="false"/>
          <w:color w:val="000000"/>
          <w:sz w:val="22"/>
          <w:szCs w:val="22"/>
        </w:rPr>
        <w:t>78-141.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i w:val="false"/>
          <w:iCs w:val="false"/>
          <w:color w:val="000000"/>
          <w:sz w:val="22"/>
          <w:szCs w:val="22"/>
        </w:rPr>
        <w:t xml:space="preserve">Hawraa N K and Al-Ammar M H (2013) Study of some virulence factors of </w:t>
      </w:r>
      <w:r>
        <w:rPr>
          <w:b w:val="false"/>
          <w:bCs/>
          <w:i/>
          <w:iCs/>
          <w:color w:val="000000"/>
          <w:sz w:val="22"/>
          <w:szCs w:val="22"/>
        </w:rPr>
        <w:t>Aeromonas hydrophila</w:t>
      </w:r>
      <w:r>
        <w:rPr>
          <w:b w:val="false"/>
          <w:bCs/>
          <w:i w:val="false"/>
          <w:iCs w:val="false"/>
          <w:color w:val="000000"/>
          <w:sz w:val="22"/>
          <w:szCs w:val="22"/>
        </w:rPr>
        <w:t xml:space="preserve"> isolated from clinical samples (Iraq). </w:t>
      </w:r>
      <w:r>
        <w:rPr>
          <w:b w:val="false"/>
          <w:bCs/>
          <w:i/>
          <w:iCs/>
          <w:color w:val="000000"/>
          <w:sz w:val="22"/>
          <w:szCs w:val="22"/>
        </w:rPr>
        <w:t xml:space="preserve">Int J Sci Engg Investigation </w:t>
      </w:r>
      <w:r>
        <w:rPr>
          <w:b/>
          <w:bCs/>
          <w:i w:val="false"/>
          <w:iCs w:val="false"/>
          <w:color w:val="000000"/>
          <w:sz w:val="22"/>
          <w:szCs w:val="22"/>
        </w:rPr>
        <w:t>2</w:t>
      </w:r>
      <w:r>
        <w:rPr>
          <w:b w:val="false"/>
          <w:bCs/>
          <w:i w:val="false"/>
          <w:iCs w:val="false"/>
          <w:color w:val="000000"/>
          <w:sz w:val="22"/>
          <w:szCs w:val="22"/>
        </w:rPr>
        <w:t>:113-21.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Huxley R R, Lean M, Crozier A, John J H and Neil H A W (2004) Effect of dietary advice to increase fruit and vegetable consumption on plasmaflavonol concentrations: results from a randomized controlled intervention trial. </w:t>
      </w:r>
      <w:r>
        <w:rPr>
          <w:i/>
          <w:color w:val="000000"/>
          <w:sz w:val="22"/>
          <w:szCs w:val="22"/>
        </w:rPr>
        <w:t xml:space="preserve">J  Epidemiol Commun Health </w:t>
      </w:r>
      <w:r>
        <w:rPr>
          <w:b/>
          <w:bCs/>
          <w:color w:val="000000"/>
          <w:sz w:val="22"/>
          <w:szCs w:val="22"/>
        </w:rPr>
        <w:t>58</w:t>
      </w:r>
      <w:r>
        <w:rPr>
          <w:color w:val="000000"/>
          <w:sz w:val="22"/>
          <w:szCs w:val="22"/>
        </w:rPr>
        <w:t>: 288-89.</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Cs/>
          <w:color w:val="000000"/>
          <w:sz w:val="22"/>
          <w:szCs w:val="22"/>
        </w:rPr>
        <w:t xml:space="preserve">Izumi H (1999) Electrolyzed water as a Disinfectant for fresh-cut vegetables. </w:t>
      </w:r>
      <w:r>
        <w:rPr>
          <w:bCs/>
          <w:i/>
          <w:iCs/>
          <w:color w:val="000000"/>
          <w:sz w:val="22"/>
          <w:szCs w:val="22"/>
        </w:rPr>
        <w:t xml:space="preserve">J Food Sci </w:t>
      </w:r>
      <w:r>
        <w:rPr>
          <w:b/>
          <w:bCs/>
          <w:color w:val="000000"/>
          <w:sz w:val="22"/>
          <w:szCs w:val="22"/>
        </w:rPr>
        <w:t>64</w:t>
      </w:r>
      <w:r>
        <w:rPr>
          <w:color w:val="000000"/>
          <w:sz w:val="22"/>
          <w:szCs w:val="22"/>
        </w:rPr>
        <w:t>(2).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Janda J M, Abbott S L (2010) The genus Aeromonas: taxonomy, pathogenicity, and infection. </w:t>
      </w:r>
      <w:r>
        <w:rPr>
          <w:i/>
          <w:iCs/>
          <w:color w:val="000000"/>
          <w:sz w:val="22"/>
          <w:szCs w:val="22"/>
        </w:rPr>
        <w:t xml:space="preserve">Clin. Microbiol. Rev </w:t>
      </w:r>
      <w:r>
        <w:rPr>
          <w:b/>
          <w:bCs/>
          <w:color w:val="000000"/>
          <w:sz w:val="22"/>
          <w:szCs w:val="22"/>
        </w:rPr>
        <w:t>23:</w:t>
      </w:r>
      <w:r>
        <w:rPr>
          <w:color w:val="000000"/>
          <w:sz w:val="22"/>
          <w:szCs w:val="22"/>
        </w:rPr>
        <w:t xml:space="preserve"> 35–73.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Johnston L M, Jaykus, L A, Moll D, Martinez M C, Anciso J, Mora B and Moe C L (2005) A Field Study of the Microbiological Quality of Fresh Produce. </w:t>
      </w:r>
      <w:r>
        <w:rPr>
          <w:i/>
          <w:iCs/>
          <w:color w:val="000000"/>
          <w:sz w:val="22"/>
          <w:szCs w:val="22"/>
        </w:rPr>
        <w:t>J Food Prot</w:t>
      </w:r>
      <w:r>
        <w:rPr>
          <w:color w:val="000000"/>
          <w:sz w:val="22"/>
          <w:szCs w:val="22"/>
        </w:rPr>
        <w:t xml:space="preserve"> </w:t>
      </w:r>
      <w:r>
        <w:rPr>
          <w:b/>
          <w:bCs/>
          <w:color w:val="000000"/>
          <w:sz w:val="22"/>
          <w:szCs w:val="22"/>
        </w:rPr>
        <w:t>68</w:t>
      </w:r>
      <w:r>
        <w:rPr>
          <w:color w:val="000000"/>
          <w:sz w:val="22"/>
          <w:szCs w:val="22"/>
        </w:rPr>
        <w:t>(9): 1840-47.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i w:val="false"/>
          <w:caps w:val="false"/>
          <w:smallCaps w:val="false"/>
          <w:color w:val="000000"/>
          <w:spacing w:val="0"/>
          <w:sz w:val="22"/>
          <w:szCs w:val="22"/>
        </w:rPr>
        <w:t xml:space="preserve">Khajanchi B K, Fadl A A, Borchardt M A, Berg R L, Horneman A J, Stemper M E and Chopra A K (2010). Distribution of virulence factors and molecular fingerprinting of Aeromonas species isolates from water and clinical samples: suggestive evidence of water-to-human transmission. </w:t>
      </w:r>
      <w:r>
        <w:rPr>
          <w:b w:val="false"/>
          <w:i/>
          <w:caps w:val="false"/>
          <w:smallCaps w:val="false"/>
          <w:color w:val="000000"/>
          <w:spacing w:val="0"/>
          <w:sz w:val="22"/>
          <w:szCs w:val="22"/>
        </w:rPr>
        <w:t>Applied and environmental microbiology</w:t>
      </w:r>
      <w:r>
        <w:rPr>
          <w:b w:val="false"/>
          <w:i w:val="false"/>
          <w:caps w:val="false"/>
          <w:smallCaps w:val="false"/>
          <w:color w:val="000000"/>
          <w:spacing w:val="0"/>
          <w:sz w:val="22"/>
          <w:szCs w:val="22"/>
        </w:rPr>
        <w:t xml:space="preserve"> </w:t>
      </w:r>
      <w:r>
        <w:rPr>
          <w:b/>
          <w:bCs/>
          <w:i w:val="false"/>
          <w:iCs w:val="false"/>
          <w:caps w:val="false"/>
          <w:smallCaps w:val="false"/>
          <w:color w:val="000000"/>
          <w:spacing w:val="0"/>
          <w:sz w:val="22"/>
          <w:szCs w:val="22"/>
        </w:rPr>
        <w:t>76(7):</w:t>
      </w:r>
      <w:r>
        <w:rPr>
          <w:b w:val="false"/>
          <w:i w:val="false"/>
          <w:caps w:val="false"/>
          <w:smallCaps w:val="false"/>
          <w:color w:val="000000"/>
          <w:spacing w:val="0"/>
          <w:sz w:val="22"/>
          <w:szCs w:val="22"/>
        </w:rPr>
        <w:t xml:space="preserve"> 2313-25.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rPr>
        <w:t>Koch KA, Kappeli O, Fiechter A, Reiser J (1991) Hydrocarbon assimilation and biosurfactant production in Pseudomonas aeruginosa mutants.</w:t>
      </w:r>
      <w:r>
        <w:rPr>
          <w:b w:val="false"/>
          <w:i/>
          <w:iCs/>
          <w:caps w:val="false"/>
          <w:smallCaps w:val="false"/>
          <w:color w:val="000000"/>
          <w:spacing w:val="0"/>
          <w:sz w:val="22"/>
          <w:szCs w:val="22"/>
        </w:rPr>
        <w:t xml:space="preserve"> J Bacteriol </w:t>
      </w:r>
      <w:r>
        <w:rPr>
          <w:b/>
          <w:bCs/>
          <w:i w:val="false"/>
          <w:caps w:val="false"/>
          <w:smallCaps w:val="false"/>
          <w:color w:val="000000"/>
          <w:spacing w:val="0"/>
          <w:sz w:val="22"/>
          <w:szCs w:val="22"/>
        </w:rPr>
        <w:t>173 :</w:t>
      </w:r>
      <w:r>
        <w:rPr>
          <w:b w:val="false"/>
          <w:i w:val="false"/>
          <w:caps w:val="false"/>
          <w:smallCaps w:val="false"/>
          <w:color w:val="000000"/>
          <w:spacing w:val="0"/>
          <w:sz w:val="22"/>
          <w:szCs w:val="22"/>
        </w:rPr>
        <w:t>4212- 4219.</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i w:val="false"/>
          <w:caps w:val="false"/>
          <w:smallCaps w:val="false"/>
          <w:color w:val="000000"/>
          <w:spacing w:val="0"/>
          <w:sz w:val="22"/>
          <w:szCs w:val="22"/>
        </w:rPr>
        <w:t xml:space="preserve">Linkish P G and Vogt W (1972) Direct hemolysin activity of phospholipase. </w:t>
      </w:r>
      <w:r>
        <w:rPr>
          <w:b w:val="false"/>
          <w:i/>
          <w:iCs/>
          <w:caps w:val="false"/>
          <w:smallCaps w:val="false"/>
          <w:color w:val="000000"/>
          <w:spacing w:val="0"/>
          <w:sz w:val="22"/>
          <w:szCs w:val="22"/>
        </w:rPr>
        <w:t xml:space="preserve">A Biohem Biophys Acta </w:t>
      </w:r>
      <w:r>
        <w:rPr>
          <w:b/>
          <w:bCs/>
          <w:i w:val="false"/>
          <w:iCs w:val="false"/>
          <w:caps w:val="false"/>
          <w:smallCaps w:val="false"/>
          <w:color w:val="000000"/>
          <w:spacing w:val="0"/>
          <w:sz w:val="22"/>
          <w:szCs w:val="22"/>
        </w:rPr>
        <w:t xml:space="preserve">270: </w:t>
      </w:r>
      <w:r>
        <w:rPr>
          <w:b w:val="false"/>
          <w:bCs w:val="false"/>
          <w:i w:val="false"/>
          <w:iCs w:val="false"/>
          <w:caps w:val="false"/>
          <w:smallCaps w:val="false"/>
          <w:color w:val="000000"/>
          <w:spacing w:val="0"/>
          <w:sz w:val="22"/>
          <w:szCs w:val="22"/>
        </w:rPr>
        <w:t>241-50.</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López-Gálvez F, Allende A, Selma M V and Gil M I (2009) Prevention of </w:t>
      </w:r>
      <w:r>
        <w:rPr>
          <w:i/>
          <w:iCs/>
          <w:color w:val="000000"/>
          <w:sz w:val="22"/>
          <w:szCs w:val="22"/>
        </w:rPr>
        <w:t xml:space="preserve">Escherichia coli </w:t>
      </w:r>
      <w:r>
        <w:rPr>
          <w:color w:val="000000"/>
          <w:sz w:val="22"/>
          <w:szCs w:val="22"/>
        </w:rPr>
        <w:t xml:space="preserve">cross-contamination by different commercial sanitizers during washing of fresh-cut lettuce. </w:t>
      </w:r>
      <w:r>
        <w:rPr>
          <w:i/>
          <w:color w:val="000000"/>
          <w:sz w:val="22"/>
          <w:szCs w:val="22"/>
        </w:rPr>
        <w:t xml:space="preserve">Int J Food Microbiol </w:t>
      </w:r>
      <w:r>
        <w:rPr>
          <w:b/>
          <w:bCs/>
          <w:color w:val="000000"/>
          <w:sz w:val="22"/>
          <w:szCs w:val="22"/>
        </w:rPr>
        <w:t>133</w:t>
      </w:r>
      <w:r>
        <w:rPr>
          <w:color w:val="000000"/>
          <w:sz w:val="22"/>
          <w:szCs w:val="22"/>
        </w:rPr>
        <w:t>(1-2):167-71.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Lowry O H, Rosebrough N J, Farr A L and Randall R J(1951) Protein measurement with the Folin phenol reagent. </w:t>
      </w:r>
      <w:r>
        <w:rPr>
          <w:i/>
          <w:iCs/>
          <w:color w:val="000000"/>
          <w:sz w:val="22"/>
          <w:szCs w:val="22"/>
        </w:rPr>
        <w:t xml:space="preserve">J Biol Chem </w:t>
      </w:r>
      <w:r>
        <w:rPr>
          <w:b/>
          <w:bCs/>
          <w:i w:val="false"/>
          <w:iCs w:val="false"/>
          <w:color w:val="000000"/>
          <w:sz w:val="22"/>
          <w:szCs w:val="22"/>
        </w:rPr>
        <w:t xml:space="preserve">193: </w:t>
      </w:r>
      <w:r>
        <w:rPr>
          <w:b w:val="false"/>
          <w:bCs w:val="false"/>
          <w:i w:val="false"/>
          <w:iCs w:val="false"/>
          <w:color w:val="000000"/>
          <w:sz w:val="22"/>
          <w:szCs w:val="22"/>
        </w:rPr>
        <w:t>265-75.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Maria E M, Luca F, Filomena M, Enrico N and Barbara C (2013) </w:t>
      </w:r>
      <w:r>
        <w:rPr>
          <w:i/>
          <w:iCs/>
          <w:color w:val="000000"/>
          <w:sz w:val="22"/>
          <w:szCs w:val="22"/>
        </w:rPr>
        <w:t>Aeromonas</w:t>
      </w:r>
      <w:r>
        <w:rPr>
          <w:color w:val="000000"/>
          <w:sz w:val="22"/>
          <w:szCs w:val="22"/>
        </w:rPr>
        <w:t xml:space="preserve"> spp.: ubiquitous or specialized bugs? </w:t>
      </w:r>
      <w:r>
        <w:rPr>
          <w:i/>
          <w:iCs/>
          <w:color w:val="000000"/>
          <w:sz w:val="22"/>
          <w:szCs w:val="22"/>
        </w:rPr>
        <w:t>SOAM</w:t>
      </w:r>
      <w:r>
        <w:rPr>
          <w:b/>
          <w:bCs/>
          <w:color w:val="000000"/>
          <w:sz w:val="22"/>
          <w:szCs w:val="22"/>
        </w:rPr>
        <w:t xml:space="preserve">  10</w:t>
      </w:r>
      <w:r>
        <w:rPr>
          <w:color w:val="000000"/>
          <w:sz w:val="22"/>
          <w:szCs w:val="22"/>
        </w:rPr>
        <w:t>.</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Maria I G, Maria V S, Francisco L G and Ana A (2009) Fresh-cut product sanitation and wash water disinfection: Problems and solution. </w:t>
      </w:r>
      <w:r>
        <w:rPr>
          <w:i/>
          <w:iCs/>
          <w:color w:val="000000"/>
          <w:sz w:val="22"/>
          <w:szCs w:val="22"/>
        </w:rPr>
        <w:t xml:space="preserve">Int J Food Microbiol. </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i w:val="false"/>
          <w:iCs w:val="false"/>
          <w:color w:val="000000"/>
          <w:sz w:val="22"/>
          <w:szCs w:val="22"/>
        </w:rPr>
        <w:t xml:space="preserve">Mathee K, Ciofu O, Stenberg C, Lindum P W, Campbell J I, Jenson P and Kharazmi A (1999) Mucoid conversion of Pseudomonas aeruginosa by hydrogen peroxide: a mechanism for virulence activation in the cystic fibrosis lung. </w:t>
      </w:r>
      <w:r>
        <w:rPr>
          <w:i/>
          <w:iCs/>
          <w:color w:val="000000"/>
          <w:sz w:val="22"/>
          <w:szCs w:val="22"/>
        </w:rPr>
        <w:t xml:space="preserve">Microbilogy </w:t>
      </w:r>
      <w:r>
        <w:rPr>
          <w:b/>
          <w:bCs/>
          <w:i w:val="false"/>
          <w:iCs w:val="false"/>
          <w:color w:val="000000"/>
          <w:sz w:val="22"/>
          <w:szCs w:val="22"/>
        </w:rPr>
        <w:t xml:space="preserve">145(6): </w:t>
      </w:r>
      <w:r>
        <w:rPr>
          <w:b w:val="false"/>
          <w:bCs w:val="false"/>
          <w:i w:val="false"/>
          <w:iCs w:val="false"/>
          <w:color w:val="000000"/>
          <w:sz w:val="22"/>
          <w:szCs w:val="22"/>
        </w:rPr>
        <w:t>1349-57.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val="false"/>
          <w:i w:val="false"/>
          <w:iCs w:val="false"/>
          <w:color w:val="000000"/>
          <w:sz w:val="22"/>
          <w:szCs w:val="22"/>
        </w:rPr>
        <w:t xml:space="preserve">Morrison D C and Leive L (1975) Fractions of lipopolysaccharide from from Escherichia coli O111:B4 prepared by two extraction procedures. </w:t>
      </w:r>
      <w:r>
        <w:rPr>
          <w:b w:val="false"/>
          <w:bCs w:val="false"/>
          <w:i/>
          <w:iCs/>
          <w:color w:val="000000"/>
          <w:sz w:val="22"/>
          <w:szCs w:val="22"/>
        </w:rPr>
        <w:t xml:space="preserve">J of Biological Chem </w:t>
      </w:r>
      <w:r>
        <w:rPr>
          <w:b/>
          <w:bCs/>
          <w:i w:val="false"/>
          <w:iCs w:val="false"/>
          <w:color w:val="000000"/>
          <w:sz w:val="22"/>
          <w:szCs w:val="22"/>
        </w:rPr>
        <w:t xml:space="preserve">250(8): </w:t>
      </w:r>
      <w:r>
        <w:rPr>
          <w:b w:val="false"/>
          <w:bCs w:val="false"/>
          <w:i w:val="false"/>
          <w:iCs w:val="false"/>
          <w:color w:val="000000"/>
          <w:sz w:val="22"/>
          <w:szCs w:val="22"/>
        </w:rPr>
        <w:t>2911-19.</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Painter J A, Hoekstra R M and Ayers T (2013) Attribution of foodborne illnesses, hospitalizations, and deaths to food commodities by using outbreak data, United States, 1998–2008</w:t>
      </w:r>
      <w:r>
        <w:rPr>
          <w:i/>
          <w:color w:val="000000"/>
          <w:sz w:val="22"/>
          <w:szCs w:val="22"/>
        </w:rPr>
        <w:t xml:space="preserve">. Emerg Infect Dis </w:t>
      </w:r>
      <w:r>
        <w:rPr>
          <w:b/>
          <w:bCs/>
          <w:color w:val="000000"/>
          <w:sz w:val="22"/>
          <w:szCs w:val="22"/>
        </w:rPr>
        <w:t>19</w:t>
      </w:r>
      <w:r>
        <w:rPr>
          <w:color w:val="000000"/>
          <w:sz w:val="22"/>
          <w:szCs w:val="22"/>
        </w:rPr>
        <w:t>:407–15.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i w:val="false"/>
          <w:caps w:val="false"/>
          <w:smallCaps w:val="false"/>
          <w:color w:val="000000"/>
          <w:spacing w:val="0"/>
          <w:sz w:val="22"/>
          <w:szCs w:val="22"/>
        </w:rPr>
        <w:t xml:space="preserve">Palumbo S  A, and Buchanan R L (1988). Factors affecting growth or survival of Aeromonas hydrophila in foods. </w:t>
      </w:r>
      <w:r>
        <w:rPr>
          <w:b w:val="false"/>
          <w:i/>
          <w:caps w:val="false"/>
          <w:smallCaps w:val="false"/>
          <w:color w:val="000000"/>
          <w:spacing w:val="0"/>
          <w:sz w:val="22"/>
          <w:szCs w:val="22"/>
        </w:rPr>
        <w:t>Journal of Food Safety</w:t>
      </w:r>
      <w:r>
        <w:rPr>
          <w:b w:val="false"/>
          <w:i w:val="false"/>
          <w:caps w:val="false"/>
          <w:smallCaps w:val="false"/>
          <w:color w:val="000000"/>
          <w:spacing w:val="0"/>
          <w:sz w:val="22"/>
          <w:szCs w:val="22"/>
        </w:rPr>
        <w:t xml:space="preserve"> </w:t>
      </w:r>
      <w:r>
        <w:rPr>
          <w:b/>
          <w:bCs/>
          <w:i/>
          <w:caps w:val="false"/>
          <w:smallCaps w:val="false"/>
          <w:color w:val="000000"/>
          <w:spacing w:val="0"/>
          <w:sz w:val="22"/>
          <w:szCs w:val="22"/>
        </w:rPr>
        <w:t>9</w:t>
      </w:r>
      <w:r>
        <w:rPr>
          <w:b/>
          <w:bCs/>
          <w:i w:val="false"/>
          <w:caps w:val="false"/>
          <w:smallCaps w:val="false"/>
          <w:color w:val="000000"/>
          <w:spacing w:val="0"/>
          <w:sz w:val="22"/>
          <w:szCs w:val="22"/>
        </w:rPr>
        <w:t>(1):</w:t>
      </w:r>
      <w:r>
        <w:rPr>
          <w:b w:val="false"/>
          <w:i w:val="false"/>
          <w:caps w:val="false"/>
          <w:smallCaps w:val="false"/>
          <w:color w:val="000000"/>
          <w:spacing w:val="0"/>
          <w:sz w:val="22"/>
          <w:szCs w:val="22"/>
        </w:rPr>
        <w:t xml:space="preserve"> 37-51.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i w:val="false"/>
          <w:caps w:val="false"/>
          <w:smallCaps w:val="false"/>
          <w:color w:val="000000"/>
          <w:spacing w:val="0"/>
          <w:sz w:val="22"/>
          <w:szCs w:val="22"/>
        </w:rPr>
        <w:t xml:space="preserve">Perez P F, Minnaard Y, Disalvo E A and Antoni G L (1998) Surface properties of Bifidobacterial strains of human origin. </w:t>
      </w:r>
      <w:r>
        <w:rPr>
          <w:b w:val="false"/>
          <w:i/>
          <w:iCs/>
          <w:caps w:val="false"/>
          <w:smallCaps w:val="false"/>
          <w:color w:val="000000"/>
          <w:spacing w:val="0"/>
          <w:sz w:val="22"/>
          <w:szCs w:val="22"/>
        </w:rPr>
        <w:t xml:space="preserve">Appl Env Microbiol </w:t>
      </w:r>
      <w:r>
        <w:rPr>
          <w:b/>
          <w:bCs/>
          <w:i w:val="false"/>
          <w:iCs w:val="false"/>
          <w:caps w:val="false"/>
          <w:smallCaps w:val="false"/>
          <w:color w:val="000000"/>
          <w:spacing w:val="0"/>
          <w:sz w:val="22"/>
          <w:szCs w:val="22"/>
        </w:rPr>
        <w:t>64(1):</w:t>
      </w:r>
      <w:r>
        <w:rPr>
          <w:b w:val="false"/>
          <w:bCs w:val="false"/>
          <w:i w:val="false"/>
          <w:iCs w:val="false"/>
          <w:caps w:val="false"/>
          <w:smallCaps w:val="false"/>
          <w:color w:val="000000"/>
          <w:spacing w:val="0"/>
          <w:sz w:val="22"/>
          <w:szCs w:val="22"/>
        </w:rPr>
        <w:t>21-26.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Puttalingamma V, Niveditha S P and Batra H (2013)A multiplex PCR for detection of haemolytic aeromonas hydrophila from vegetable sources in Karnataka, India.  </w:t>
      </w:r>
      <w:r>
        <w:rPr>
          <w:i/>
          <w:iCs/>
          <w:color w:val="000000"/>
          <w:sz w:val="22"/>
          <w:szCs w:val="22"/>
        </w:rPr>
        <w:t>RRST</w:t>
      </w:r>
      <w:r>
        <w:rPr>
          <w:color w:val="000000"/>
          <w:sz w:val="22"/>
          <w:szCs w:val="22"/>
        </w:rPr>
        <w:t xml:space="preserve"> </w:t>
      </w:r>
      <w:r>
        <w:rPr>
          <w:b/>
          <w:bCs/>
          <w:color w:val="000000"/>
          <w:sz w:val="22"/>
          <w:szCs w:val="22"/>
        </w:rPr>
        <w:t>5</w:t>
      </w:r>
      <w:r>
        <w:rPr>
          <w:color w:val="000000"/>
          <w:sz w:val="22"/>
          <w:szCs w:val="22"/>
        </w:rPr>
        <w:t>(3):19-23.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Qian Z, Guo-Qing S, Guang-Peng T, Zhi-Tin Z, Guang-Hai Y and Guang Z (2012) A foodborne outbreak of Aeromonas hydrophila in a college, Xingyi City, Guizhou, China, 2012. </w:t>
      </w:r>
      <w:r>
        <w:rPr>
          <w:i/>
          <w:iCs/>
          <w:color w:val="000000"/>
          <w:sz w:val="22"/>
          <w:szCs w:val="22"/>
        </w:rPr>
        <w:t>WPSAR</w:t>
      </w:r>
      <w:r>
        <w:rPr>
          <w:color w:val="000000"/>
          <w:sz w:val="22"/>
          <w:szCs w:val="22"/>
        </w:rPr>
        <w:t xml:space="preserve"> </w:t>
      </w:r>
      <w:r>
        <w:rPr>
          <w:b/>
          <w:bCs/>
          <w:color w:val="000000"/>
          <w:sz w:val="22"/>
          <w:szCs w:val="22"/>
        </w:rPr>
        <w:t>3</w:t>
      </w:r>
      <w:r>
        <w:rPr>
          <w:color w:val="000000"/>
          <w:sz w:val="22"/>
          <w:szCs w:val="22"/>
        </w:rPr>
        <w:t>(4):38-42.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Rashid M H and Kornberg A (2000) Inorganic polyphosphate is needed for swimming, swarming and twitching motilities of Pseudomonas aeuroginosa. </w:t>
      </w:r>
      <w:r>
        <w:rPr>
          <w:i/>
          <w:iCs/>
          <w:color w:val="000000"/>
          <w:sz w:val="22"/>
          <w:szCs w:val="22"/>
        </w:rPr>
        <w:t xml:space="preserve">Proc Natl Acad Sci USA </w:t>
      </w:r>
      <w:r>
        <w:rPr>
          <w:b/>
          <w:bCs/>
          <w:i w:val="false"/>
          <w:iCs w:val="false"/>
          <w:color w:val="000000"/>
          <w:sz w:val="22"/>
          <w:szCs w:val="22"/>
        </w:rPr>
        <w:t xml:space="preserve">25: </w:t>
      </w:r>
      <w:r>
        <w:rPr>
          <w:b w:val="false"/>
          <w:bCs w:val="false"/>
          <w:i w:val="false"/>
          <w:iCs w:val="false"/>
          <w:color w:val="000000"/>
          <w:sz w:val="22"/>
          <w:szCs w:val="22"/>
        </w:rPr>
        <w:t>4885-90.</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 </w:t>
      </w:r>
      <w:r>
        <w:rPr>
          <w:color w:val="000000"/>
          <w:sz w:val="22"/>
          <w:szCs w:val="22"/>
        </w:rPr>
        <w:t xml:space="preserve">Schuman J D, Shledon B W, Foegeding PM(1997) Thermal Resistance of Aeromonas hydrophila in Liquid Whole Egg. </w:t>
      </w:r>
      <w:r>
        <w:rPr>
          <w:i/>
          <w:iCs/>
          <w:color w:val="000000"/>
          <w:sz w:val="22"/>
          <w:szCs w:val="22"/>
        </w:rPr>
        <w:t>J. Food Prot</w:t>
      </w:r>
      <w:r>
        <w:rPr>
          <w:color w:val="000000"/>
          <w:sz w:val="22"/>
          <w:szCs w:val="22"/>
        </w:rPr>
        <w:t xml:space="preserve"> </w:t>
      </w:r>
      <w:r>
        <w:rPr>
          <w:b/>
          <w:bCs/>
          <w:color w:val="000000"/>
          <w:sz w:val="22"/>
          <w:szCs w:val="22"/>
        </w:rPr>
        <w:t>60:</w:t>
      </w:r>
      <w:r>
        <w:rPr>
          <w:color w:val="000000"/>
          <w:sz w:val="22"/>
          <w:szCs w:val="22"/>
        </w:rPr>
        <w:t xml:space="preserve"> 231-36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Sen K and Rodger M (2004) Distribution of six virulence factors in Aeromonas species isolated from  US drinking water utilities: a PCR identificat</w:t>
      </w:r>
      <w:r>
        <w:rPr>
          <w:i/>
          <w:iCs/>
          <w:color w:val="000000"/>
          <w:sz w:val="22"/>
          <w:szCs w:val="22"/>
        </w:rPr>
        <w:t xml:space="preserve">ion. J Appl Microbiol </w:t>
      </w:r>
      <w:r>
        <w:rPr>
          <w:b/>
          <w:bCs/>
          <w:color w:val="000000"/>
          <w:sz w:val="22"/>
          <w:szCs w:val="22"/>
        </w:rPr>
        <w:t>97</w:t>
      </w:r>
      <w:r>
        <w:rPr>
          <w:color w:val="000000"/>
          <w:sz w:val="22"/>
          <w:szCs w:val="22"/>
        </w:rPr>
        <w:t xml:space="preserve">(5)1077-86. </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Seymour I J, Burfoot D, Smith R L, Cox L A and Lockwood A (2002) Ultrasound decontamination of minimally processed fruits and vegetables. </w:t>
      </w:r>
      <w:r>
        <w:rPr>
          <w:i/>
          <w:color w:val="000000"/>
          <w:sz w:val="22"/>
          <w:szCs w:val="22"/>
        </w:rPr>
        <w:t xml:space="preserve">Int J Food Sci Technol </w:t>
      </w:r>
      <w:r>
        <w:rPr>
          <w:b/>
          <w:bCs/>
          <w:color w:val="000000"/>
          <w:sz w:val="22"/>
          <w:szCs w:val="22"/>
        </w:rPr>
        <w:t>37</w:t>
      </w:r>
      <w:r>
        <w:rPr>
          <w:color w:val="000000"/>
          <w:sz w:val="22"/>
          <w:szCs w:val="22"/>
        </w:rPr>
        <w:t>: 547-57.</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Sivapalasingam S, Friedman C R, Cohen L and Tauxe R V</w:t>
      </w:r>
      <w:r>
        <w:rPr>
          <w:color w:val="000000"/>
          <w:sz w:val="22"/>
          <w:szCs w:val="22"/>
          <w:vertAlign w:val="superscript"/>
        </w:rPr>
        <w:t xml:space="preserve"> </w:t>
      </w:r>
      <w:r>
        <w:rPr>
          <w:color w:val="000000"/>
          <w:sz w:val="22"/>
          <w:szCs w:val="22"/>
        </w:rPr>
        <w:t xml:space="preserve">(2004) Fresh Produce: A Growing Cause of Outbreaks of Foodborne Illness in the United States, 1973 through 1997. </w:t>
      </w:r>
      <w:r>
        <w:rPr>
          <w:i/>
          <w:color w:val="000000"/>
          <w:sz w:val="22"/>
          <w:szCs w:val="22"/>
        </w:rPr>
        <w:t>J Food Protect</w:t>
      </w:r>
      <w:r>
        <w:rPr>
          <w:color w:val="000000"/>
          <w:sz w:val="22"/>
          <w:szCs w:val="22"/>
        </w:rPr>
        <w:t xml:space="preserve"> </w:t>
      </w:r>
      <w:r>
        <w:rPr>
          <w:b/>
          <w:bCs/>
          <w:color w:val="000000"/>
          <w:sz w:val="22"/>
          <w:szCs w:val="22"/>
        </w:rPr>
        <w:t xml:space="preserve"> 67(10)</w:t>
      </w:r>
      <w:r>
        <w:rPr>
          <w:color w:val="000000"/>
          <w:sz w:val="22"/>
          <w:szCs w:val="22"/>
        </w:rPr>
        <w:t>: 2342-53.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Soren P, Al-Shuweli S, Seval Y, Johan J N and Katharina E P (2014)</w:t>
      </w:r>
      <w:bookmarkStart w:id="6" w:name="article-title-1"/>
      <w:bookmarkEnd w:id="6"/>
      <w:r>
        <w:rPr>
          <w:color w:val="000000"/>
          <w:sz w:val="22"/>
          <w:szCs w:val="22"/>
        </w:rPr>
        <w:t xml:space="preserve"> Identification of Clinical </w:t>
      </w:r>
      <w:r>
        <w:rPr>
          <w:i/>
          <w:iCs/>
          <w:color w:val="000000"/>
          <w:sz w:val="22"/>
          <w:szCs w:val="22"/>
        </w:rPr>
        <w:t xml:space="preserve">Aeromonas </w:t>
      </w:r>
      <w:r>
        <w:rPr>
          <w:color w:val="000000"/>
          <w:sz w:val="22"/>
          <w:szCs w:val="22"/>
        </w:rPr>
        <w:t xml:space="preserve">species by </w:t>
      </w:r>
      <w:r>
        <w:rPr>
          <w:i/>
          <w:iCs/>
          <w:color w:val="000000"/>
          <w:sz w:val="22"/>
          <w:szCs w:val="22"/>
        </w:rPr>
        <w:t xml:space="preserve">rpoB </w:t>
      </w:r>
      <w:r>
        <w:rPr>
          <w:color w:val="000000"/>
          <w:sz w:val="22"/>
          <w:szCs w:val="22"/>
        </w:rPr>
        <w:t xml:space="preserve"> and </w:t>
      </w:r>
      <w:r>
        <w:rPr>
          <w:i/>
          <w:iCs/>
          <w:color w:val="000000"/>
          <w:sz w:val="22"/>
          <w:szCs w:val="22"/>
        </w:rPr>
        <w:t xml:space="preserve">gyrB </w:t>
      </w:r>
      <w:r>
        <w:rPr>
          <w:color w:val="000000"/>
          <w:sz w:val="22"/>
          <w:szCs w:val="22"/>
        </w:rPr>
        <w:t xml:space="preserve"> Sequencing and Development of a Multiplex PCR Method for Detection of </w:t>
      </w:r>
      <w:r>
        <w:rPr>
          <w:i/>
          <w:iCs/>
          <w:color w:val="000000"/>
          <w:sz w:val="22"/>
          <w:szCs w:val="22"/>
        </w:rPr>
        <w:t>Aeromonas hydrophila. A.caviae, A. veronii and A. media. J Clin Microbiol</w:t>
      </w:r>
      <w:r>
        <w:rPr>
          <w:b/>
          <w:bCs/>
          <w:i/>
          <w:iCs/>
          <w:color w:val="000000"/>
          <w:sz w:val="22"/>
          <w:szCs w:val="22"/>
        </w:rPr>
        <w:t xml:space="preserve"> </w:t>
      </w:r>
      <w:r>
        <w:rPr>
          <w:b/>
          <w:bCs/>
          <w:color w:val="000000"/>
          <w:sz w:val="22"/>
          <w:szCs w:val="22"/>
        </w:rPr>
        <w:t>53</w:t>
      </w:r>
      <w:bookmarkStart w:id="7" w:name="named-content-2"/>
      <w:bookmarkStart w:id="8" w:name="named-content-1"/>
      <w:bookmarkEnd w:id="7"/>
      <w:bookmarkEnd w:id="8"/>
      <w:r>
        <w:rPr>
          <w:color w:val="000000"/>
          <w:sz w:val="22"/>
          <w:szCs w:val="22"/>
        </w:rPr>
        <w:t>:653-56.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Solomon E B and Matthews K R (2006) Interaction of live and dead Escherichia coli O157.H7 and fluorescent microsphere with lettuce tissue suggests bacterial processes do not mediate adherence. </w:t>
      </w:r>
      <w:r>
        <w:rPr>
          <w:i/>
          <w:iCs/>
          <w:color w:val="000000"/>
          <w:sz w:val="22"/>
          <w:szCs w:val="22"/>
        </w:rPr>
        <w:t xml:space="preserve"> Let Appl Microbiol </w:t>
      </w:r>
      <w:r>
        <w:rPr>
          <w:b/>
          <w:bCs/>
          <w:i w:val="false"/>
          <w:iCs w:val="false"/>
          <w:color w:val="000000"/>
          <w:sz w:val="22"/>
          <w:szCs w:val="22"/>
        </w:rPr>
        <w:t xml:space="preserve">42(2): </w:t>
      </w:r>
      <w:r>
        <w:rPr>
          <w:b w:val="false"/>
          <w:bCs w:val="false"/>
          <w:i w:val="false"/>
          <w:iCs w:val="false"/>
          <w:color w:val="000000"/>
          <w:sz w:val="22"/>
          <w:szCs w:val="22"/>
        </w:rPr>
        <w:t>88-93.</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val="false"/>
          <w:i w:val="false"/>
          <w:iCs w:val="false"/>
          <w:color w:val="000000"/>
          <w:sz w:val="22"/>
          <w:szCs w:val="22"/>
        </w:rPr>
        <w:t xml:space="preserve">Tauxe R V (1997) Emerging foodborne diseases : an evolving public health challenge. </w:t>
      </w:r>
      <w:r>
        <w:rPr>
          <w:b w:val="false"/>
          <w:bCs w:val="false"/>
          <w:i/>
          <w:iCs/>
          <w:color w:val="000000"/>
          <w:sz w:val="22"/>
          <w:szCs w:val="22"/>
        </w:rPr>
        <w:t>Emerg Infest is</w:t>
      </w:r>
      <w:r>
        <w:rPr>
          <w:b/>
          <w:bCs/>
          <w:i w:val="false"/>
          <w:iCs w:val="false"/>
          <w:color w:val="000000"/>
          <w:sz w:val="22"/>
          <w:szCs w:val="22"/>
        </w:rPr>
        <w:tab/>
        <w:t xml:space="preserve">3(4): </w:t>
      </w:r>
      <w:r>
        <w:rPr>
          <w:b w:val="false"/>
          <w:bCs w:val="false"/>
          <w:i w:val="false"/>
          <w:iCs w:val="false"/>
          <w:color w:val="000000"/>
          <w:sz w:val="22"/>
          <w:szCs w:val="22"/>
        </w:rPr>
        <w:t>425-34.</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val="false"/>
          <w:i w:val="false"/>
          <w:iCs w:val="false"/>
          <w:color w:val="000000"/>
          <w:sz w:val="22"/>
          <w:szCs w:val="22"/>
        </w:rPr>
        <w:t xml:space="preserve">Visca P, Charini F, Mansi A, Vetriani C, Serino L and Orsi N (1992) Virulence determinants in Pseudomonas aeruginosa strains from urinary tract infections. </w:t>
      </w:r>
      <w:r>
        <w:rPr>
          <w:b w:val="false"/>
          <w:bCs w:val="false"/>
          <w:i/>
          <w:iCs/>
          <w:color w:val="000000"/>
          <w:sz w:val="22"/>
          <w:szCs w:val="22"/>
        </w:rPr>
        <w:t xml:space="preserve">Epidemiology and infest </w:t>
      </w:r>
      <w:r>
        <w:rPr>
          <w:b/>
          <w:bCs/>
          <w:i w:val="false"/>
          <w:iCs w:val="false"/>
          <w:color w:val="000000"/>
          <w:sz w:val="22"/>
          <w:szCs w:val="22"/>
        </w:rPr>
        <w:t xml:space="preserve">108(2): </w:t>
      </w:r>
      <w:r>
        <w:rPr>
          <w:b w:val="false"/>
          <w:bCs w:val="false"/>
          <w:i w:val="false"/>
          <w:iCs w:val="false"/>
          <w:color w:val="000000"/>
          <w:sz w:val="22"/>
          <w:szCs w:val="22"/>
        </w:rPr>
        <w:t>232-36.</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b w:val="false"/>
          <w:bCs w:val="false"/>
          <w:i w:val="false"/>
          <w:iCs w:val="false"/>
          <w:caps w:val="false"/>
          <w:smallCaps w:val="false"/>
          <w:color w:val="000000"/>
          <w:spacing w:val="0"/>
          <w:sz w:val="22"/>
          <w:szCs w:val="22"/>
        </w:rPr>
        <w:t xml:space="preserve">Wang G, Tyler K D, Munro C K and Johnson W M (1996) Characterization of cytotoxic, hemolytic Aeromonas caviae clinical isolates and their identification by determining presence of a unique hemolysin gene. </w:t>
      </w:r>
      <w:r>
        <w:rPr>
          <w:b w:val="false"/>
          <w:bCs w:val="false"/>
          <w:i/>
          <w:iCs w:val="false"/>
          <w:caps w:val="false"/>
          <w:smallCaps w:val="false"/>
          <w:color w:val="000000"/>
          <w:spacing w:val="0"/>
          <w:sz w:val="22"/>
          <w:szCs w:val="22"/>
        </w:rPr>
        <w:t>Journal of Clinical microbiology</w:t>
      </w:r>
      <w:r>
        <w:rPr>
          <w:b w:val="false"/>
          <w:bCs w:val="false"/>
          <w:i w:val="false"/>
          <w:iCs w:val="false"/>
          <w:caps w:val="false"/>
          <w:smallCaps w:val="false"/>
          <w:color w:val="000000"/>
          <w:spacing w:val="0"/>
          <w:sz w:val="22"/>
          <w:szCs w:val="22"/>
        </w:rPr>
        <w:t xml:space="preserve"> </w:t>
      </w:r>
      <w:r>
        <w:rPr>
          <w:b/>
          <w:bCs/>
          <w:i w:val="false"/>
          <w:iCs w:val="false"/>
          <w:caps w:val="false"/>
          <w:smallCaps w:val="false"/>
          <w:color w:val="000000"/>
          <w:spacing w:val="0"/>
          <w:sz w:val="22"/>
          <w:szCs w:val="22"/>
        </w:rPr>
        <w:t xml:space="preserve">34(12): </w:t>
      </w:r>
      <w:r>
        <w:rPr>
          <w:b w:val="false"/>
          <w:bCs w:val="false"/>
          <w:i w:val="false"/>
          <w:iCs w:val="false"/>
          <w:caps w:val="false"/>
          <w:smallCaps w:val="false"/>
          <w:color w:val="000000"/>
          <w:spacing w:val="0"/>
          <w:sz w:val="22"/>
          <w:szCs w:val="22"/>
        </w:rPr>
        <w:t>3203-05.</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Yigal S, Shifra, KenDror, Irina V, Dvora B, Ido I and Malka H (2012) A Molecular Study on the Prevalence and Virulence Potential of Aeromonas spp. Recovered from Patients Suffering from Diarrhea in Israel. </w:t>
      </w:r>
      <w:r>
        <w:rPr>
          <w:i/>
          <w:iCs/>
          <w:color w:val="000000"/>
          <w:sz w:val="22"/>
          <w:szCs w:val="22"/>
        </w:rPr>
        <w:t>Plos One</w:t>
      </w:r>
      <w:r>
        <w:rPr>
          <w:color w:val="000000"/>
          <w:sz w:val="22"/>
          <w:szCs w:val="22"/>
        </w:rPr>
        <w:t xml:space="preserve"> </w:t>
      </w:r>
      <w:r>
        <w:rPr>
          <w:b/>
          <w:bCs/>
          <w:color w:val="000000"/>
          <w:sz w:val="22"/>
          <w:szCs w:val="22"/>
        </w:rPr>
        <w:t>7(2)</w:t>
      </w:r>
      <w:r>
        <w:rPr>
          <w:color w:val="000000"/>
          <w:sz w:val="22"/>
          <w:szCs w:val="22"/>
        </w:rPr>
        <w:t>.</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Yousr A H, Napis S, Rusul G R A and Son R (2007) Detection of Aerolysin gene in </w:t>
      </w:r>
      <w:r>
        <w:rPr>
          <w:i/>
          <w:iCs/>
          <w:color w:val="000000"/>
          <w:sz w:val="22"/>
          <w:szCs w:val="22"/>
        </w:rPr>
        <w:t>Aeromonas</w:t>
      </w:r>
      <w:r>
        <w:rPr>
          <w:color w:val="000000"/>
          <w:sz w:val="22"/>
          <w:szCs w:val="22"/>
        </w:rPr>
        <w:t xml:space="preserve"> spp. Isolated from Environmental and Shellfish Sources by Polymerase Chain Reaction.</w:t>
      </w:r>
      <w:r>
        <w:rPr>
          <w:i/>
          <w:iCs/>
          <w:color w:val="000000"/>
          <w:sz w:val="22"/>
          <w:szCs w:val="22"/>
        </w:rPr>
        <w:t xml:space="preserve"> Asean Food J </w:t>
      </w:r>
      <w:r>
        <w:rPr>
          <w:b/>
          <w:bCs/>
          <w:color w:val="000000"/>
          <w:sz w:val="22"/>
          <w:szCs w:val="22"/>
        </w:rPr>
        <w:t>14</w:t>
      </w:r>
      <w:r>
        <w:rPr>
          <w:color w:val="000000"/>
          <w:sz w:val="22"/>
          <w:szCs w:val="22"/>
        </w:rPr>
        <w:t>(2): 115-22.</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color w:val="000000"/>
          <w:sz w:val="22"/>
          <w:szCs w:val="22"/>
        </w:rPr>
        <w:t xml:space="preserve">Zhang S and Faber J M (1996) The effects of various disinfectants against Listeria monocytogenson freshcut vegetables. </w:t>
      </w:r>
      <w:r>
        <w:rPr>
          <w:i/>
          <w:iCs/>
          <w:color w:val="000000"/>
          <w:sz w:val="22"/>
          <w:szCs w:val="22"/>
        </w:rPr>
        <w:t xml:space="preserve">Food Microbiol </w:t>
      </w:r>
      <w:r>
        <w:rPr>
          <w:b/>
          <w:bCs/>
          <w:i w:val="false"/>
          <w:iCs w:val="false"/>
          <w:color w:val="000000"/>
          <w:sz w:val="22"/>
          <w:szCs w:val="22"/>
        </w:rPr>
        <w:t xml:space="preserve">13: </w:t>
      </w:r>
      <w:r>
        <w:rPr>
          <w:b w:val="false"/>
          <w:bCs w:val="false"/>
          <w:i w:val="false"/>
          <w:iCs w:val="false"/>
          <w:color w:val="000000"/>
          <w:sz w:val="22"/>
          <w:szCs w:val="22"/>
        </w:rPr>
        <w:t>311-21.</w:t>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12600" w:val="center"/>
          <w:tab w:leader="none" w:pos="17280" w:val="right"/>
        </w:tabs>
        <w:spacing w:after="240" w:before="0"/>
        <w:ind w:hanging="720" w:left="720" w:right="29"/>
        <w:jc w:val="both"/>
      </w:pPr>
      <w:r>
        <w:rPr/>
      </w:r>
    </w:p>
    <w:p>
      <w:pPr>
        <w:pStyle w:val="style171"/>
        <w:widowControl w:val="false"/>
        <w:tabs>
          <w:tab w:leader="none" w:pos="4680" w:val="center"/>
          <w:tab w:leader="none" w:pos="9360" w:val="right"/>
        </w:tabs>
        <w:spacing w:after="240" w:before="0" w:line="360" w:lineRule="auto"/>
        <w:ind w:hanging="0" w:left="0" w:right="29"/>
        <w:jc w:val="right"/>
      </w:pPr>
      <w:r>
        <w:rPr/>
      </w:r>
    </w:p>
    <w:p>
      <w:pPr>
        <w:pStyle w:val="style171"/>
        <w:widowControl w:val="false"/>
        <w:tabs>
          <w:tab w:leader="none" w:pos="4680" w:val="center"/>
          <w:tab w:leader="none" w:pos="9360" w:val="right"/>
        </w:tabs>
        <w:spacing w:after="240" w:before="0" w:line="360" w:lineRule="auto"/>
        <w:ind w:hanging="0" w:left="0" w:right="29"/>
        <w:jc w:val="right"/>
      </w:pPr>
      <w:r>
        <w:rPr/>
      </w:r>
    </w:p>
    <w:p>
      <w:pPr>
        <w:pStyle w:val="style171"/>
        <w:widowControl w:val="false"/>
        <w:tabs>
          <w:tab w:leader="none" w:pos="4680" w:val="center"/>
          <w:tab w:leader="none" w:pos="9360" w:val="right"/>
        </w:tabs>
        <w:spacing w:after="240" w:before="0" w:line="360" w:lineRule="auto"/>
        <w:ind w:hanging="0" w:left="0" w:right="29"/>
        <w:jc w:val="right"/>
      </w:pPr>
      <w:r>
        <w:rPr>
          <w:b/>
          <w:color w:val="000000"/>
          <w:spacing w:val="10"/>
          <w:sz w:val="22"/>
          <w:szCs w:val="22"/>
        </w:rPr>
        <w:t xml:space="preserve">                                                                                                                                                           </w:t>
      </w:r>
    </w:p>
    <w:p>
      <w:pPr>
        <w:pStyle w:val="style171"/>
        <w:widowControl w:val="false"/>
        <w:tabs>
          <w:tab w:leader="none" w:pos="4680" w:val="center"/>
          <w:tab w:leader="none" w:pos="9360" w:val="right"/>
        </w:tabs>
        <w:spacing w:after="240" w:before="0" w:line="100" w:lineRule="atLeast"/>
        <w:ind w:hanging="0" w:left="0" w:right="29"/>
        <w:jc w:val="right"/>
      </w:pPr>
      <w:r>
        <w:rPr>
          <w:b/>
          <w:color w:val="000000"/>
          <w:spacing w:val="10"/>
          <w:sz w:val="22"/>
          <w:szCs w:val="22"/>
        </w:rPr>
        <w:t>____________________                                                                                                                                                        Signature of the student</w:t>
      </w:r>
    </w:p>
    <w:p>
      <w:pPr>
        <w:pStyle w:val="style163"/>
        <w:widowControl w:val="false"/>
        <w:tabs>
          <w:tab w:leader="none" w:pos="720" w:val="left"/>
        </w:tabs>
        <w:spacing w:after="240" w:before="0" w:line="100" w:lineRule="atLeast"/>
        <w:ind w:hanging="0" w:left="0" w:right="29"/>
      </w:pPr>
      <w:r>
        <w:rPr/>
      </w:r>
    </w:p>
    <w:p>
      <w:pPr>
        <w:pStyle w:val="style163"/>
        <w:widowControl w:val="false"/>
        <w:tabs>
          <w:tab w:leader="none" w:pos="720" w:val="left"/>
        </w:tabs>
        <w:spacing w:after="240" w:before="0" w:line="360" w:lineRule="auto"/>
        <w:ind w:hanging="0" w:left="0" w:right="29"/>
      </w:pPr>
      <w:r>
        <w:rPr>
          <w:b/>
          <w:bCs/>
          <w:color w:val="000000"/>
          <w:sz w:val="22"/>
          <w:szCs w:val="22"/>
        </w:rPr>
        <w:t xml:space="preserve">                                              </w:t>
      </w:r>
      <w:r>
        <w:rPr>
          <w:rFonts w:cs="Times New Roman" w:eastAsia="Calibri"/>
          <w:b/>
          <w:bCs/>
          <w:color w:val="000000"/>
          <w:sz w:val="22"/>
          <w:szCs w:val="22"/>
        </w:rPr>
        <w:t>ADVISORY COMMITTEE</w:t>
      </w:r>
    </w:p>
    <w:tbl>
      <w:tblPr>
        <w:jc w:val="center"/>
        <w:tblBorders>
          <w:top w:color="00000A" w:space="0" w:sz="4" w:val="single"/>
          <w:bottom w:color="00000A" w:space="0" w:sz="4" w:val="single"/>
        </w:tblBorders>
      </w:tblPr>
      <w:tblGrid>
        <w:gridCol w:w="1421"/>
        <w:gridCol w:w="2897"/>
        <w:gridCol w:w="2165"/>
        <w:gridCol w:w="1972"/>
        <w:gridCol w:w="1813"/>
      </w:tblGrid>
      <w:tr>
        <w:trPr>
          <w:trHeight w:hRule="atLeast" w:val="297"/>
          <w:cantSplit w:val="false"/>
        </w:trPr>
        <w:tc>
          <w:tcPr>
            <w:tcW w:type="dxa" w:w="1421"/>
            <w:tcBorders>
              <w:top w:color="00000A" w:space="0" w:sz="4" w:val="single"/>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0" w:left="0" w:right="-81"/>
              <w:jc w:val="center"/>
            </w:pPr>
            <w:r>
              <w:rPr/>
            </w:r>
          </w:p>
        </w:tc>
        <w:tc>
          <w:tcPr>
            <w:tcW w:type="dxa" w:w="2897"/>
            <w:tcBorders>
              <w:top w:color="00000A" w:space="0" w:sz="4" w:val="single"/>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0" w:left="0" w:right="-81"/>
            </w:pPr>
            <w:r>
              <w:rPr>
                <w:rFonts w:cs="Times New Roman" w:eastAsia="Calibri"/>
                <w:b/>
                <w:sz w:val="22"/>
                <w:szCs w:val="22"/>
              </w:rPr>
              <w:t>Name</w:t>
            </w:r>
          </w:p>
        </w:tc>
        <w:tc>
          <w:tcPr>
            <w:tcW w:type="dxa" w:w="2165"/>
            <w:tcBorders>
              <w:top w:color="00000A" w:space="0" w:sz="4" w:val="single"/>
              <w:bottom w:color="00000A" w:space="0" w:sz="4" w:val="single"/>
            </w:tcBorders>
            <w:shd w:fill="FFFFFF" w:val="clear"/>
            <w:tcMar>
              <w:top w:type="dxa" w:w="0"/>
              <w:left w:type="dxa" w:w="108"/>
              <w:bottom w:type="dxa" w:w="0"/>
              <w:right w:type="dxa" w:w="108"/>
            </w:tcMar>
          </w:tcPr>
          <w:p>
            <w:pPr>
              <w:pStyle w:val="style167"/>
              <w:widowControl w:val="false"/>
              <w:spacing w:after="0" w:before="120"/>
            </w:pPr>
            <w:r>
              <w:rPr>
                <w:rFonts w:ascii="Times New Roman" w:hAnsi="Times New Roman"/>
                <w:b/>
                <w:sz w:val="22"/>
                <w:szCs w:val="22"/>
              </w:rPr>
              <w:t>Designation</w:t>
            </w:r>
          </w:p>
        </w:tc>
        <w:tc>
          <w:tcPr>
            <w:tcW w:type="dxa" w:w="1972"/>
            <w:tcBorders>
              <w:top w:color="00000A" w:space="0" w:sz="4" w:val="single"/>
              <w:bottom w:color="00000A" w:space="0" w:sz="4" w:val="single"/>
            </w:tcBorders>
            <w:shd w:fill="FFFFFF" w:val="clear"/>
            <w:tcMar>
              <w:top w:type="dxa" w:w="0"/>
              <w:left w:type="dxa" w:w="108"/>
              <w:bottom w:type="dxa" w:w="0"/>
              <w:right w:type="dxa" w:w="108"/>
            </w:tcMar>
          </w:tcPr>
          <w:p>
            <w:pPr>
              <w:pStyle w:val="style167"/>
              <w:widowControl w:val="false"/>
              <w:spacing w:after="0" w:before="120"/>
            </w:pPr>
            <w:r>
              <w:rPr>
                <w:rFonts w:ascii="Times New Roman" w:hAnsi="Times New Roman"/>
                <w:b/>
                <w:sz w:val="22"/>
                <w:szCs w:val="22"/>
              </w:rPr>
              <w:t>Department</w:t>
            </w:r>
          </w:p>
        </w:tc>
        <w:tc>
          <w:tcPr>
            <w:tcW w:type="dxa" w:w="1813"/>
            <w:tcBorders>
              <w:top w:color="00000A" w:space="0" w:sz="4" w:val="single"/>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162" w:left="522" w:right="-81"/>
            </w:pPr>
            <w:r>
              <w:rPr>
                <w:rFonts w:cs="Times New Roman" w:eastAsia="Calibri"/>
                <w:b/>
                <w:sz w:val="22"/>
                <w:szCs w:val="22"/>
              </w:rPr>
              <w:t>Signature</w:t>
            </w:r>
          </w:p>
        </w:tc>
      </w:tr>
      <w:tr>
        <w:trPr>
          <w:trHeight w:hRule="atLeast" w:val="318"/>
          <w:cantSplit w:val="false"/>
        </w:trPr>
        <w:tc>
          <w:tcPr>
            <w:tcW w:type="dxa" w:w="1421"/>
            <w:tcBorders>
              <w:top w:color="00000A" w:space="0" w:sz="4" w:val="single"/>
            </w:tcBorders>
            <w:shd w:fill="FFFFFF" w:val="clear"/>
            <w:tcMar>
              <w:top w:type="dxa" w:w="0"/>
              <w:left w:type="dxa" w:w="108"/>
              <w:bottom w:type="dxa" w:w="0"/>
              <w:right w:type="dxa" w:w="108"/>
            </w:tcMar>
          </w:tcPr>
          <w:p>
            <w:pPr>
              <w:pStyle w:val="style0"/>
              <w:widowControl w:val="false"/>
              <w:spacing w:after="200" w:before="120"/>
              <w:ind w:hanging="0" w:left="0" w:right="-81"/>
            </w:pPr>
            <w:r>
              <w:rPr>
                <w:rFonts w:cs="Times New Roman" w:eastAsia="Calibri"/>
                <w:sz w:val="22"/>
                <w:szCs w:val="22"/>
              </w:rPr>
              <w:t>Major Advisor</w:t>
            </w:r>
          </w:p>
        </w:tc>
        <w:tc>
          <w:tcPr>
            <w:tcW w:type="dxa" w:w="2897"/>
            <w:tcBorders>
              <w:top w:color="00000A" w:space="0" w:sz="4" w:val="single"/>
            </w:tcBorders>
            <w:shd w:fill="FFFFFF" w:val="clear"/>
            <w:tcMar>
              <w:top w:type="dxa" w:w="0"/>
              <w:left w:type="dxa" w:w="108"/>
              <w:bottom w:type="dxa" w:w="0"/>
              <w:right w:type="dxa" w:w="108"/>
            </w:tcMar>
          </w:tcPr>
          <w:p>
            <w:pPr>
              <w:pStyle w:val="style0"/>
              <w:widowControl w:val="false"/>
              <w:spacing w:after="200" w:before="120"/>
              <w:ind w:hanging="0" w:left="7" w:right="-81"/>
            </w:pPr>
            <w:r>
              <w:rPr>
                <w:rFonts w:cs="Times New Roman" w:eastAsia="Calibri"/>
                <w:sz w:val="22"/>
                <w:szCs w:val="22"/>
              </w:rPr>
              <w:t>Dr. (Mrs.) Param Pal Sahota</w:t>
            </w:r>
          </w:p>
        </w:tc>
        <w:tc>
          <w:tcPr>
            <w:tcW w:type="dxa" w:w="2165"/>
            <w:tcBorders>
              <w:top w:color="00000A" w:space="0" w:sz="4" w:val="single"/>
            </w:tcBorders>
            <w:shd w:fill="FFFFFF" w:val="clear"/>
            <w:tcMar>
              <w:top w:type="dxa" w:w="0"/>
              <w:left w:type="dxa" w:w="108"/>
              <w:bottom w:type="dxa" w:w="0"/>
              <w:right w:type="dxa" w:w="108"/>
            </w:tcMar>
          </w:tcPr>
          <w:p>
            <w:pPr>
              <w:pStyle w:val="style167"/>
              <w:widowControl w:val="false"/>
              <w:spacing w:after="0" w:before="120"/>
            </w:pPr>
            <w:r>
              <w:rPr>
                <w:rFonts w:ascii="Times New Roman" w:hAnsi="Times New Roman"/>
                <w:sz w:val="22"/>
                <w:szCs w:val="22"/>
              </w:rPr>
              <w:t>Sr. Microbiologist</w:t>
            </w:r>
          </w:p>
        </w:tc>
        <w:tc>
          <w:tcPr>
            <w:tcW w:type="dxa" w:w="1972"/>
            <w:tcBorders>
              <w:top w:color="00000A" w:space="0" w:sz="4" w:val="single"/>
            </w:tcBorders>
            <w:shd w:fill="FFFFFF" w:val="clear"/>
            <w:tcMar>
              <w:top w:type="dxa" w:w="0"/>
              <w:left w:type="dxa" w:w="108"/>
              <w:bottom w:type="dxa" w:w="0"/>
              <w:right w:type="dxa" w:w="108"/>
            </w:tcMar>
          </w:tcPr>
          <w:p>
            <w:pPr>
              <w:pStyle w:val="style167"/>
              <w:widowControl w:val="false"/>
              <w:spacing w:after="0" w:before="120"/>
            </w:pPr>
            <w:r>
              <w:rPr>
                <w:rFonts w:ascii="Times New Roman" w:hAnsi="Times New Roman"/>
                <w:sz w:val="22"/>
                <w:szCs w:val="22"/>
              </w:rPr>
              <w:t>Microbiology</w:t>
            </w:r>
          </w:p>
        </w:tc>
        <w:tc>
          <w:tcPr>
            <w:tcW w:type="dxa" w:w="1813"/>
            <w:tcBorders>
              <w:top w:color="00000A" w:space="0" w:sz="4" w:val="single"/>
            </w:tcBorders>
            <w:shd w:fill="FFFFFF" w:val="clear"/>
            <w:tcMar>
              <w:top w:type="dxa" w:w="0"/>
              <w:left w:type="dxa" w:w="108"/>
              <w:bottom w:type="dxa" w:w="0"/>
              <w:right w:type="dxa" w:w="108"/>
            </w:tcMar>
          </w:tcPr>
          <w:p>
            <w:pPr>
              <w:pStyle w:val="style167"/>
              <w:widowControl w:val="false"/>
              <w:spacing w:after="0" w:before="120"/>
              <w:ind w:hanging="0" w:left="342" w:right="0"/>
            </w:pPr>
            <w:r>
              <w:rPr/>
            </w:r>
          </w:p>
        </w:tc>
      </w:tr>
      <w:tr>
        <w:trPr>
          <w:trHeight w:hRule="atLeast" w:val="765"/>
          <w:cantSplit w:val="false"/>
        </w:trPr>
        <w:tc>
          <w:tcPr>
            <w:tcW w:type="dxa" w:w="1421"/>
            <w:tcBorders/>
            <w:shd w:fill="FFFFFF" w:val="clear"/>
            <w:tcMar>
              <w:top w:type="dxa" w:w="0"/>
              <w:left w:type="dxa" w:w="108"/>
              <w:bottom w:type="dxa" w:w="0"/>
              <w:right w:type="dxa" w:w="108"/>
            </w:tcMar>
          </w:tcPr>
          <w:p>
            <w:pPr>
              <w:pStyle w:val="style0"/>
              <w:widowControl w:val="false"/>
              <w:spacing w:after="200" w:before="120"/>
              <w:ind w:hanging="0" w:left="0" w:right="-81"/>
            </w:pPr>
            <w:r>
              <w:rPr>
                <w:rFonts w:cs="Times New Roman" w:eastAsia="Calibri"/>
                <w:sz w:val="22"/>
                <w:szCs w:val="22"/>
              </w:rPr>
              <w:t>Member</w:t>
            </w:r>
          </w:p>
        </w:tc>
        <w:tc>
          <w:tcPr>
            <w:tcW w:type="dxa" w:w="2897"/>
            <w:tcBorders/>
            <w:shd w:fill="FFFFFF" w:val="clear"/>
            <w:tcMar>
              <w:top w:type="dxa" w:w="0"/>
              <w:left w:type="dxa" w:w="108"/>
              <w:bottom w:type="dxa" w:w="0"/>
              <w:right w:type="dxa" w:w="108"/>
            </w:tcMar>
          </w:tcPr>
          <w:p>
            <w:pPr>
              <w:pStyle w:val="style0"/>
              <w:widowControl w:val="false"/>
              <w:spacing w:after="200" w:before="120"/>
              <w:ind w:hanging="0" w:left="7" w:right="-81"/>
            </w:pPr>
            <w:r>
              <w:rPr>
                <w:rFonts w:cs="Times New Roman"/>
                <w:sz w:val="22"/>
                <w:szCs w:val="22"/>
              </w:rPr>
              <w:t xml:space="preserve">Dr.Mandeep Singh Hunjan </w:t>
            </w:r>
          </w:p>
        </w:tc>
        <w:tc>
          <w:tcPr>
            <w:tcW w:type="dxa" w:w="2165"/>
            <w:tcBorders/>
            <w:shd w:fill="FFFFFF" w:val="clear"/>
            <w:tcMar>
              <w:top w:type="dxa" w:w="0"/>
              <w:left w:type="dxa" w:w="108"/>
              <w:bottom w:type="dxa" w:w="0"/>
              <w:right w:type="dxa" w:w="108"/>
            </w:tcMar>
          </w:tcPr>
          <w:p>
            <w:pPr>
              <w:pStyle w:val="style167"/>
              <w:widowControl w:val="false"/>
              <w:spacing w:after="0" w:before="120"/>
              <w:ind w:hanging="0" w:left="0" w:right="-317"/>
            </w:pPr>
            <w:r>
              <w:rPr>
                <w:rFonts w:ascii="Times New Roman" w:hAnsi="Times New Roman"/>
                <w:sz w:val="22"/>
                <w:szCs w:val="22"/>
              </w:rPr>
              <w:t>Assistant Plant Bacteriologist</w:t>
            </w:r>
          </w:p>
        </w:tc>
        <w:tc>
          <w:tcPr>
            <w:tcW w:type="dxa" w:w="1972"/>
            <w:tcBorders/>
            <w:shd w:fill="FFFFFF" w:val="clear"/>
            <w:tcMar>
              <w:top w:type="dxa" w:w="0"/>
              <w:left w:type="dxa" w:w="108"/>
              <w:bottom w:type="dxa" w:w="0"/>
              <w:right w:type="dxa" w:w="108"/>
            </w:tcMar>
          </w:tcPr>
          <w:p>
            <w:pPr>
              <w:pStyle w:val="style167"/>
              <w:widowControl w:val="false"/>
              <w:spacing w:after="0" w:before="120"/>
            </w:pPr>
            <w:r>
              <w:rPr>
                <w:rFonts w:ascii="Times New Roman" w:hAnsi="Times New Roman"/>
                <w:sz w:val="22"/>
                <w:szCs w:val="22"/>
              </w:rPr>
              <w:t>Plant Pathology</w:t>
            </w:r>
          </w:p>
        </w:tc>
        <w:tc>
          <w:tcPr>
            <w:tcW w:type="dxa" w:w="1813"/>
            <w:tcBorders/>
            <w:shd w:fill="FFFFFF" w:val="clear"/>
            <w:tcMar>
              <w:top w:type="dxa" w:w="0"/>
              <w:left w:type="dxa" w:w="108"/>
              <w:bottom w:type="dxa" w:w="0"/>
              <w:right w:type="dxa" w:w="108"/>
            </w:tcMar>
          </w:tcPr>
          <w:p>
            <w:pPr>
              <w:pStyle w:val="style167"/>
              <w:widowControl w:val="false"/>
              <w:spacing w:after="0" w:before="120"/>
              <w:ind w:hanging="0" w:left="342" w:right="0"/>
              <w:jc w:val="center"/>
            </w:pPr>
            <w:r>
              <w:rPr/>
            </w:r>
          </w:p>
        </w:tc>
      </w:tr>
      <w:tr>
        <w:trPr>
          <w:trHeight w:hRule="atLeast" w:val="318"/>
          <w:cantSplit w:val="false"/>
        </w:trPr>
        <w:tc>
          <w:tcPr>
            <w:tcW w:type="dxa" w:w="1421"/>
            <w:tcBorders/>
            <w:shd w:fill="FFFFFF" w:val="clear"/>
            <w:tcMar>
              <w:top w:type="dxa" w:w="0"/>
              <w:left w:type="dxa" w:w="108"/>
              <w:bottom w:type="dxa" w:w="0"/>
              <w:right w:type="dxa" w:w="108"/>
            </w:tcMar>
          </w:tcPr>
          <w:p>
            <w:pPr>
              <w:pStyle w:val="style0"/>
              <w:widowControl w:val="false"/>
              <w:spacing w:after="200" w:before="120"/>
              <w:ind w:hanging="360" w:left="360" w:right="-81"/>
            </w:pPr>
            <w:r>
              <w:rPr>
                <w:rFonts w:cs="Times New Roman" w:eastAsia="Calibri"/>
                <w:sz w:val="22"/>
                <w:szCs w:val="22"/>
              </w:rPr>
              <w:t>Member</w:t>
            </w:r>
          </w:p>
          <w:p>
            <w:pPr>
              <w:pStyle w:val="style0"/>
              <w:widowControl w:val="false"/>
              <w:spacing w:after="200" w:before="120"/>
              <w:ind w:hanging="0" w:left="0" w:right="-81"/>
            </w:pPr>
            <w:r>
              <w:rPr>
                <w:rFonts w:cs="Times New Roman" w:eastAsia="Calibri"/>
                <w:sz w:val="22"/>
                <w:szCs w:val="22"/>
              </w:rPr>
              <w:t xml:space="preserve">           </w:t>
            </w:r>
          </w:p>
          <w:p>
            <w:pPr>
              <w:pStyle w:val="style0"/>
              <w:widowControl w:val="false"/>
              <w:spacing w:after="200" w:before="120"/>
              <w:ind w:hanging="0" w:left="0" w:right="-81"/>
            </w:pPr>
            <w:r>
              <w:rPr>
                <w:rFonts w:cs="Times New Roman" w:eastAsia="Calibri"/>
                <w:sz w:val="22"/>
                <w:szCs w:val="22"/>
              </w:rPr>
              <w:t>Member</w:t>
            </w:r>
          </w:p>
          <w:p>
            <w:pPr>
              <w:pStyle w:val="style0"/>
              <w:widowControl w:val="false"/>
              <w:spacing w:after="200" w:before="120"/>
              <w:ind w:hanging="360" w:left="360" w:right="-81"/>
            </w:pPr>
            <w:r>
              <w:rPr/>
            </w:r>
          </w:p>
        </w:tc>
        <w:tc>
          <w:tcPr>
            <w:tcW w:type="dxa" w:w="2897"/>
            <w:tcBorders/>
            <w:shd w:fill="FFFFFF" w:val="clear"/>
            <w:tcMar>
              <w:top w:type="dxa" w:w="0"/>
              <w:left w:type="dxa" w:w="108"/>
              <w:bottom w:type="dxa" w:w="0"/>
              <w:right w:type="dxa" w:w="108"/>
            </w:tcMar>
          </w:tcPr>
          <w:p>
            <w:pPr>
              <w:pStyle w:val="style0"/>
              <w:widowControl w:val="false"/>
              <w:spacing w:after="200" w:before="120"/>
              <w:ind w:hanging="0" w:left="7" w:right="-81"/>
            </w:pPr>
            <w:r>
              <w:rPr>
                <w:rFonts w:cs="Times New Roman"/>
                <w:sz w:val="22"/>
                <w:szCs w:val="22"/>
              </w:rPr>
              <w:t>Dr. (Mrs.) Rachna D Bhardwaj</w:t>
            </w:r>
            <w:r>
              <w:rPr>
                <w:rFonts w:cs="Times New Roman" w:eastAsia="Calibri"/>
                <w:sz w:val="22"/>
                <w:szCs w:val="22"/>
              </w:rPr>
              <w:t xml:space="preserve"> </w:t>
            </w:r>
          </w:p>
          <w:p>
            <w:pPr>
              <w:pStyle w:val="style0"/>
              <w:widowControl w:val="false"/>
              <w:spacing w:after="200" w:before="120"/>
              <w:ind w:hanging="0" w:left="7" w:right="-81"/>
            </w:pPr>
            <w:r>
              <w:rPr/>
            </w:r>
          </w:p>
          <w:p>
            <w:pPr>
              <w:pStyle w:val="style0"/>
            </w:pPr>
            <w:r>
              <w:rPr>
                <w:rFonts w:cs="Times New Roman"/>
                <w:sz w:val="22"/>
                <w:szCs w:val="22"/>
              </w:rPr>
              <w:t>Dr. Madhurama Gangwar</w:t>
            </w:r>
          </w:p>
          <w:p>
            <w:pPr>
              <w:pStyle w:val="style0"/>
              <w:widowControl w:val="false"/>
              <w:spacing w:after="200" w:before="120"/>
              <w:ind w:hanging="0" w:left="7" w:right="-81"/>
            </w:pPr>
            <w:r>
              <w:rPr/>
            </w:r>
          </w:p>
        </w:tc>
        <w:tc>
          <w:tcPr>
            <w:tcW w:type="dxa" w:w="2165"/>
            <w:tcBorders/>
            <w:shd w:fill="FFFFFF" w:val="clear"/>
            <w:tcMar>
              <w:top w:type="dxa" w:w="0"/>
              <w:left w:type="dxa" w:w="108"/>
              <w:bottom w:type="dxa" w:w="0"/>
              <w:right w:type="dxa" w:w="108"/>
            </w:tcMar>
          </w:tcPr>
          <w:p>
            <w:pPr>
              <w:pStyle w:val="style167"/>
              <w:widowControl w:val="false"/>
              <w:spacing w:after="0" w:before="120"/>
              <w:ind w:hanging="0" w:left="0" w:right="527"/>
            </w:pPr>
            <w:r>
              <w:rPr>
                <w:rFonts w:ascii="Times New Roman" w:hAnsi="Times New Roman"/>
                <w:sz w:val="22"/>
                <w:szCs w:val="22"/>
              </w:rPr>
              <w:t>Assistant Biochemist</w:t>
            </w:r>
          </w:p>
          <w:p>
            <w:pPr>
              <w:pStyle w:val="style167"/>
              <w:widowControl w:val="false"/>
              <w:spacing w:after="0" w:before="120"/>
              <w:ind w:hanging="0" w:left="0" w:right="527"/>
            </w:pPr>
            <w:r>
              <w:rPr/>
            </w:r>
          </w:p>
          <w:p>
            <w:pPr>
              <w:pStyle w:val="style167"/>
              <w:widowControl w:val="false"/>
              <w:spacing w:after="0" w:before="120"/>
            </w:pPr>
            <w:r>
              <w:rPr>
                <w:rFonts w:ascii="Times New Roman" w:hAnsi="Times New Roman"/>
                <w:color w:val="000000"/>
                <w:sz w:val="22"/>
                <w:szCs w:val="22"/>
                <w:shd w:fill="FFFFFF" w:val="clear"/>
              </w:rPr>
              <w:t xml:space="preserve">    </w:t>
            </w:r>
            <w:r>
              <w:rPr>
                <w:rFonts w:ascii="Times New Roman" w:hAnsi="Times New Roman"/>
                <w:color w:val="000000"/>
                <w:sz w:val="22"/>
                <w:szCs w:val="22"/>
                <w:shd w:fill="FFFFFF" w:val="clear"/>
              </w:rPr>
              <w:t>Senior</w:t>
            </w:r>
          </w:p>
          <w:p>
            <w:pPr>
              <w:pStyle w:val="style167"/>
              <w:widowControl w:val="false"/>
              <w:spacing w:after="0" w:before="120"/>
            </w:pPr>
            <w:r>
              <w:rPr>
                <w:rFonts w:ascii="Times New Roman" w:hAnsi="Times New Roman"/>
                <w:color w:val="000000"/>
                <w:sz w:val="22"/>
                <w:szCs w:val="22"/>
                <w:shd w:fill="FFFFFF" w:val="clear"/>
              </w:rPr>
              <w:t>Microbiologist</w:t>
            </w:r>
          </w:p>
        </w:tc>
        <w:tc>
          <w:tcPr>
            <w:tcW w:type="dxa" w:w="1972"/>
            <w:tcBorders/>
            <w:shd w:fill="FFFFFF" w:val="clear"/>
            <w:tcMar>
              <w:top w:type="dxa" w:w="0"/>
              <w:left w:type="dxa" w:w="108"/>
              <w:bottom w:type="dxa" w:w="0"/>
              <w:right w:type="dxa" w:w="108"/>
            </w:tcMar>
          </w:tcPr>
          <w:p>
            <w:pPr>
              <w:pStyle w:val="style167"/>
              <w:widowControl w:val="false"/>
              <w:spacing w:after="0" w:before="120"/>
            </w:pPr>
            <w:r>
              <w:rPr>
                <w:rFonts w:ascii="Times New Roman" w:hAnsi="Times New Roman"/>
                <w:sz w:val="22"/>
                <w:szCs w:val="22"/>
              </w:rPr>
              <w:t>Biochemistry</w:t>
            </w:r>
          </w:p>
          <w:p>
            <w:pPr>
              <w:pStyle w:val="style167"/>
              <w:widowControl w:val="false"/>
              <w:spacing w:after="0" w:before="120"/>
            </w:pPr>
            <w:r>
              <w:rPr>
                <w:rFonts w:ascii="Times New Roman" w:hAnsi="Times New Roman"/>
                <w:sz w:val="22"/>
                <w:szCs w:val="22"/>
              </w:rPr>
              <w:t xml:space="preserve">                        </w:t>
            </w:r>
          </w:p>
          <w:p>
            <w:pPr>
              <w:pStyle w:val="style167"/>
              <w:widowControl w:val="false"/>
              <w:spacing w:after="0" w:before="120"/>
            </w:pPr>
            <w:r>
              <w:rPr/>
            </w:r>
          </w:p>
          <w:p>
            <w:pPr>
              <w:pStyle w:val="style167"/>
              <w:widowControl w:val="false"/>
              <w:spacing w:after="0" w:before="120"/>
            </w:pPr>
            <w:r>
              <w:rPr>
                <w:rFonts w:ascii="Times New Roman" w:hAnsi="Times New Roman"/>
                <w:color w:val="000000"/>
                <w:sz w:val="22"/>
                <w:szCs w:val="22"/>
                <w:shd w:fill="FFFFFF" w:val="clear"/>
              </w:rPr>
              <w:t>Microbiology</w:t>
            </w:r>
          </w:p>
        </w:tc>
        <w:tc>
          <w:tcPr>
            <w:tcW w:type="dxa" w:w="1813"/>
            <w:tcBorders/>
            <w:shd w:fill="FFFFFF" w:val="clear"/>
            <w:tcMar>
              <w:top w:type="dxa" w:w="0"/>
              <w:left w:type="dxa" w:w="108"/>
              <w:bottom w:type="dxa" w:w="0"/>
              <w:right w:type="dxa" w:w="108"/>
            </w:tcMar>
          </w:tcPr>
          <w:p>
            <w:pPr>
              <w:pStyle w:val="style167"/>
              <w:widowControl w:val="false"/>
              <w:spacing w:after="0" w:before="120"/>
              <w:ind w:hanging="0" w:left="342" w:right="0"/>
              <w:jc w:val="center"/>
            </w:pPr>
            <w:r>
              <w:rPr/>
            </w:r>
          </w:p>
        </w:tc>
      </w:tr>
      <w:tr>
        <w:trPr>
          <w:trHeight w:hRule="atLeast" w:val="318"/>
          <w:cantSplit w:val="false"/>
        </w:trPr>
        <w:tc>
          <w:tcPr>
            <w:tcW w:type="dxa" w:w="1421"/>
            <w:tcBorders>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0" w:left="0" w:right="-81"/>
            </w:pPr>
            <w:r>
              <w:rPr>
                <w:rFonts w:cs="Times New Roman" w:eastAsia="Calibri"/>
                <w:sz w:val="22"/>
                <w:szCs w:val="22"/>
              </w:rPr>
              <w:t>Nominee of Dean PGS</w:t>
            </w:r>
          </w:p>
        </w:tc>
        <w:tc>
          <w:tcPr>
            <w:tcW w:type="dxa" w:w="2897"/>
            <w:tcBorders>
              <w:bottom w:color="00000A" w:space="0" w:sz="4" w:val="single"/>
            </w:tcBorders>
            <w:shd w:fill="FFFFFF" w:val="clear"/>
            <w:tcMar>
              <w:top w:type="dxa" w:w="0"/>
              <w:left w:type="dxa" w:w="108"/>
              <w:bottom w:type="dxa" w:w="0"/>
              <w:right w:type="dxa" w:w="108"/>
            </w:tcMar>
          </w:tcPr>
          <w:p>
            <w:pPr>
              <w:pStyle w:val="style0"/>
              <w:widowControl w:val="false"/>
              <w:spacing w:after="200" w:before="120"/>
              <w:ind w:hanging="0" w:left="7" w:right="-81"/>
            </w:pPr>
            <w:r>
              <w:rPr>
                <w:rFonts w:cs="Times New Roman" w:eastAsia="Calibri"/>
                <w:sz w:val="22"/>
                <w:szCs w:val="22"/>
              </w:rPr>
              <w:t>Dr. (Mrs.) Veena Khanna</w:t>
            </w:r>
          </w:p>
        </w:tc>
        <w:tc>
          <w:tcPr>
            <w:tcW w:type="dxa" w:w="2165"/>
            <w:tcBorders>
              <w:bottom w:color="00000A" w:space="0" w:sz="4" w:val="single"/>
            </w:tcBorders>
            <w:shd w:fill="FFFFFF" w:val="clear"/>
            <w:tcMar>
              <w:top w:type="dxa" w:w="0"/>
              <w:left w:type="dxa" w:w="108"/>
              <w:bottom w:type="dxa" w:w="0"/>
              <w:right w:type="dxa" w:w="108"/>
            </w:tcMar>
          </w:tcPr>
          <w:p>
            <w:pPr>
              <w:pStyle w:val="style167"/>
              <w:widowControl w:val="false"/>
              <w:spacing w:after="0" w:before="120"/>
            </w:pPr>
            <w:r>
              <w:rPr>
                <w:rFonts w:ascii="Times New Roman" w:hAnsi="Times New Roman"/>
                <w:sz w:val="22"/>
                <w:szCs w:val="22"/>
              </w:rPr>
              <w:t>Sr. Microbiologist</w:t>
            </w:r>
          </w:p>
        </w:tc>
        <w:tc>
          <w:tcPr>
            <w:tcW w:type="dxa" w:w="1972"/>
            <w:tcBorders>
              <w:bottom w:color="00000A" w:space="0" w:sz="4" w:val="single"/>
            </w:tcBorders>
            <w:shd w:fill="FFFFFF" w:val="clear"/>
            <w:tcMar>
              <w:top w:type="dxa" w:w="0"/>
              <w:left w:type="dxa" w:w="108"/>
              <w:bottom w:type="dxa" w:w="0"/>
              <w:right w:type="dxa" w:w="108"/>
            </w:tcMar>
          </w:tcPr>
          <w:p>
            <w:pPr>
              <w:pStyle w:val="style167"/>
              <w:widowControl w:val="false"/>
              <w:spacing w:after="0" w:before="120"/>
            </w:pPr>
            <w:r>
              <w:rPr>
                <w:rFonts w:ascii="Times New Roman" w:hAnsi="Times New Roman"/>
                <w:sz w:val="22"/>
                <w:szCs w:val="22"/>
              </w:rPr>
              <w:t>Plant Breeding and   Genetics</w:t>
            </w:r>
          </w:p>
        </w:tc>
        <w:tc>
          <w:tcPr>
            <w:tcW w:type="dxa" w:w="1813"/>
            <w:tcBorders>
              <w:bottom w:color="00000A" w:space="0" w:sz="4" w:val="single"/>
            </w:tcBorders>
            <w:shd w:fill="FFFFFF" w:val="clear"/>
            <w:tcMar>
              <w:top w:type="dxa" w:w="0"/>
              <w:left w:type="dxa" w:w="108"/>
              <w:bottom w:type="dxa" w:w="0"/>
              <w:right w:type="dxa" w:w="108"/>
            </w:tcMar>
          </w:tcPr>
          <w:p>
            <w:pPr>
              <w:pStyle w:val="style167"/>
              <w:widowControl w:val="false"/>
              <w:spacing w:after="0" w:before="120"/>
              <w:ind w:hanging="0" w:left="342" w:right="0"/>
              <w:jc w:val="center"/>
            </w:pPr>
            <w:r>
              <w:rPr/>
            </w:r>
          </w:p>
        </w:tc>
      </w:tr>
    </w:tbl>
    <w:p>
      <w:pPr>
        <w:pStyle w:val="style0"/>
        <w:widowControl w:val="false"/>
        <w:ind w:hanging="0" w:left="0" w:right="-81"/>
      </w:pPr>
      <w:r>
        <w:rPr/>
      </w:r>
    </w:p>
    <w:p>
      <w:pPr>
        <w:pStyle w:val="style163"/>
        <w:widowControl w:val="false"/>
        <w:tabs>
          <w:tab w:leader="none" w:pos="720" w:val="left"/>
        </w:tabs>
        <w:spacing w:after="240" w:before="0" w:line="360" w:lineRule="auto"/>
        <w:ind w:hanging="0" w:left="0" w:right="29"/>
      </w:pPr>
      <w:r>
        <w:rPr>
          <w:rFonts w:cs="Times New Roman" w:eastAsia="Calibri"/>
          <w:b w:val="false"/>
          <w:bCs w:val="false"/>
          <w:color w:val="000000"/>
          <w:sz w:val="22"/>
          <w:szCs w:val="22"/>
        </w:rPr>
        <w:t>Forwarded five copies to the Dean, Postgraduate Studies, for approval by the Synopsis Approval Committee.</w:t>
      </w:r>
      <w:r>
        <w:rPr>
          <w:b w:val="false"/>
          <w:bCs w:val="false"/>
          <w:color w:val="000000"/>
          <w:sz w:val="22"/>
          <w:szCs w:val="22"/>
        </w:rPr>
        <w:t xml:space="preserve">                   </w:t>
      </w:r>
      <w:r>
        <w:rPr>
          <w:b/>
          <w:bCs/>
          <w:color w:val="000000"/>
          <w:sz w:val="22"/>
          <w:szCs w:val="22"/>
        </w:rPr>
        <w:t xml:space="preserve">                              </w:t>
      </w:r>
    </w:p>
    <w:p>
      <w:pPr>
        <w:pStyle w:val="style163"/>
        <w:widowControl w:val="false"/>
        <w:tabs>
          <w:tab w:leader="none" w:pos="720" w:val="left"/>
        </w:tabs>
        <w:spacing w:after="240" w:before="0" w:line="360" w:lineRule="auto"/>
        <w:ind w:hanging="0" w:left="0" w:right="29"/>
      </w:pPr>
      <w:r>
        <w:rPr>
          <w:b/>
          <w:bCs/>
          <w:color w:val="000000"/>
          <w:sz w:val="22"/>
          <w:szCs w:val="22"/>
        </w:rPr>
        <w:t xml:space="preserve"> </w:t>
      </w:r>
    </w:p>
    <w:p>
      <w:pPr>
        <w:pStyle w:val="style163"/>
        <w:widowControl w:val="false"/>
        <w:tabs>
          <w:tab w:leader="none" w:pos="720" w:val="left"/>
        </w:tabs>
        <w:spacing w:after="240" w:before="0" w:line="360" w:lineRule="auto"/>
        <w:ind w:hanging="0" w:left="0" w:right="29"/>
      </w:pPr>
      <w:r>
        <w:rPr/>
      </w:r>
    </w:p>
    <w:p>
      <w:pPr>
        <w:pStyle w:val="style163"/>
        <w:widowControl w:val="false"/>
        <w:tabs>
          <w:tab w:leader="none" w:pos="720" w:val="left"/>
        </w:tabs>
        <w:spacing w:after="240" w:before="0" w:line="360" w:lineRule="auto"/>
        <w:ind w:hanging="0" w:left="0" w:right="29"/>
      </w:pPr>
      <w:r>
        <w:rPr>
          <w:b/>
          <w:bCs/>
          <w:color w:val="000000"/>
          <w:sz w:val="22"/>
          <w:szCs w:val="22"/>
        </w:rPr>
        <w:t xml:space="preserve">                     </w:t>
      </w:r>
      <w:r>
        <w:rPr>
          <w:b/>
          <w:bCs/>
          <w:color w:val="000000"/>
          <w:sz w:val="22"/>
          <w:szCs w:val="22"/>
        </w:rPr>
        <w:tab/>
        <w:tab/>
        <w:tab/>
        <w:tab/>
        <w:tab/>
        <w:tab/>
        <w:tab/>
        <w:tab/>
        <w:t>____________________</w:t>
      </w:r>
    </w:p>
    <w:p>
      <w:pPr>
        <w:pStyle w:val="style163"/>
        <w:widowControl w:val="false"/>
        <w:tabs>
          <w:tab w:leader="none" w:pos="720" w:val="left"/>
        </w:tabs>
        <w:spacing w:after="240" w:before="0" w:line="360" w:lineRule="auto"/>
        <w:ind w:hanging="0" w:left="0" w:right="29"/>
      </w:pPr>
      <w:r>
        <w:rPr>
          <w:b/>
          <w:bCs/>
          <w:color w:val="000000"/>
          <w:sz w:val="22"/>
          <w:szCs w:val="22"/>
        </w:rPr>
        <w:t xml:space="preserve">                 </w:t>
      </w:r>
      <w:r>
        <w:rPr>
          <w:b/>
          <w:bCs/>
          <w:color w:val="000000"/>
          <w:sz w:val="22"/>
          <w:szCs w:val="22"/>
        </w:rPr>
        <w:tab/>
        <w:tab/>
        <w:tab/>
        <w:tab/>
        <w:tab/>
        <w:t xml:space="preserve">          </w:t>
        <w:tab/>
        <w:tab/>
        <w:tab/>
      </w:r>
      <w:r>
        <w:rPr>
          <w:b w:val="false"/>
          <w:bCs w:val="false"/>
          <w:color w:val="000000"/>
          <w:sz w:val="22"/>
          <w:szCs w:val="22"/>
        </w:rPr>
        <w:t xml:space="preserve">(Head of the Department)        </w:t>
      </w:r>
      <w:r>
        <w:rPr>
          <w:b/>
          <w:bCs/>
          <w:color w:val="000000"/>
          <w:sz w:val="22"/>
          <w:szCs w:val="22"/>
        </w:rPr>
        <w:t xml:space="preserve">                                                          </w:t>
      </w:r>
      <w:r>
        <w:rPr>
          <w:color w:val="000000"/>
          <w:sz w:val="22"/>
          <w:szCs w:val="22"/>
        </w:rPr>
        <w:t xml:space="preserve">                                                                                                                                </w:t>
      </w:r>
    </w:p>
    <w:p>
      <w:pPr>
        <w:pStyle w:val="style0"/>
        <w:widowControl w:val="false"/>
        <w:tabs>
          <w:tab w:leader="none" w:pos="720" w:val="left"/>
        </w:tabs>
        <w:spacing w:after="240" w:before="0" w:line="360" w:lineRule="auto"/>
        <w:ind w:hanging="0" w:left="0" w:right="29"/>
        <w:jc w:val="both"/>
      </w:pPr>
      <w:r>
        <w:rPr>
          <w:color w:val="000000"/>
          <w:sz w:val="22"/>
          <w:szCs w:val="22"/>
        </w:rPr>
        <w:t>Memo No : ______________</w:t>
      </w:r>
    </w:p>
    <w:p>
      <w:pPr>
        <w:pStyle w:val="style0"/>
        <w:widowControl w:val="false"/>
        <w:tabs>
          <w:tab w:leader="none" w:pos="720" w:val="left"/>
        </w:tabs>
        <w:spacing w:after="240" w:before="0" w:line="360" w:lineRule="auto"/>
        <w:ind w:hanging="0" w:left="0" w:right="29"/>
        <w:jc w:val="both"/>
      </w:pPr>
      <w:r>
        <w:rPr>
          <w:color w:val="000000"/>
          <w:sz w:val="22"/>
          <w:szCs w:val="22"/>
        </w:rPr>
        <w:t>Dated        : ______________</w:t>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color w:val="000000"/>
          <w:sz w:val="22"/>
          <w:szCs w:val="22"/>
        </w:rPr>
        <w:t xml:space="preserve">Dean </w:t>
      </w:r>
    </w:p>
    <w:p>
      <w:pPr>
        <w:pStyle w:val="style0"/>
        <w:widowControl w:val="false"/>
        <w:tabs>
          <w:tab w:leader="none" w:pos="720" w:val="left"/>
        </w:tabs>
        <w:spacing w:after="240" w:before="0" w:line="360" w:lineRule="auto"/>
        <w:ind w:hanging="0" w:left="0" w:right="29"/>
        <w:jc w:val="both"/>
      </w:pPr>
      <w:r>
        <w:rPr>
          <w:color w:val="000000"/>
          <w:sz w:val="22"/>
          <w:szCs w:val="22"/>
        </w:rPr>
        <w:t>Postgraduate Studies</w:t>
      </w:r>
    </w:p>
    <w:p>
      <w:pPr>
        <w:pStyle w:val="style0"/>
        <w:widowControl w:val="false"/>
        <w:tabs>
          <w:tab w:leader="none" w:pos="720" w:val="left"/>
        </w:tabs>
        <w:spacing w:after="240" w:before="0" w:line="360" w:lineRule="auto"/>
        <w:ind w:hanging="0" w:left="0" w:right="29"/>
        <w:jc w:val="both"/>
      </w:pPr>
      <w:r>
        <w:rPr>
          <w:color w:val="000000"/>
          <w:sz w:val="22"/>
          <w:szCs w:val="22"/>
        </w:rPr>
        <w:t>P.A.U., Ludhiana</w:t>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color w:val="000000"/>
          <w:sz w:val="22"/>
          <w:szCs w:val="22"/>
        </w:rPr>
        <w:t xml:space="preserve">                                                                                                     </w:t>
      </w:r>
    </w:p>
    <w:p>
      <w:pPr>
        <w:pStyle w:val="style0"/>
        <w:widowControl w:val="false"/>
        <w:tabs>
          <w:tab w:leader="none" w:pos="720" w:val="left"/>
        </w:tabs>
        <w:spacing w:after="240" w:before="0" w:line="360" w:lineRule="auto"/>
        <w:ind w:hanging="0" w:left="0" w:right="29"/>
        <w:jc w:val="both"/>
      </w:pPr>
      <w:r>
        <w:rPr/>
      </w:r>
    </w:p>
    <w:p>
      <w:pPr>
        <w:pStyle w:val="style0"/>
        <w:widowControl w:val="false"/>
        <w:tabs>
          <w:tab w:leader="none" w:pos="720" w:val="left"/>
        </w:tabs>
        <w:spacing w:after="240" w:before="0" w:line="360" w:lineRule="auto"/>
        <w:ind w:hanging="0" w:left="0" w:right="29"/>
        <w:jc w:val="both"/>
      </w:pPr>
      <w:r>
        <w:rPr>
          <w:color w:val="000000"/>
          <w:sz w:val="22"/>
          <w:szCs w:val="22"/>
        </w:rPr>
        <w:t xml:space="preserve">                                                                                                                 </w:t>
      </w:r>
    </w:p>
    <w:p>
      <w:pPr>
        <w:pStyle w:val="style163"/>
        <w:widowControl w:val="false"/>
        <w:tabs>
          <w:tab w:leader="none" w:pos="720" w:val="left"/>
        </w:tabs>
        <w:spacing w:after="240" w:before="0" w:line="360" w:lineRule="auto"/>
        <w:ind w:hanging="0" w:left="0" w:right="29"/>
      </w:pPr>
      <w:r>
        <w:rPr/>
      </w:r>
    </w:p>
    <w:sectPr>
      <w:footerReference r:id="rId2" w:type="default"/>
      <w:type w:val="nextPage"/>
      <w:pgSz w:h="16838" w:w="11906"/>
      <w:pgMar w:bottom="1440" w:footer="72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64"/>
      <w:jc w:val="center"/>
    </w:pPr>
    <w:r>
      <w:rPr/>
      <w:fldChar w:fldCharType="begin"/>
    </w:r>
    <w:r>
      <w:instrText> PAGE </w:instrText>
    </w:r>
    <w:r>
      <w:fldChar w:fldCharType="separate"/>
    </w:r>
    <w:r>
      <w:t>15</w:t>
    </w:r>
    <w:r>
      <w:fldChar w:fldCharType="end"/>
    </w:r>
  </w:p>
  <w:p>
    <w:pPr>
      <w:pStyle w:val="style164"/>
    </w:pPr>
    <w:r>
      <w:rPr/>
    </w:r>
  </w:p>
</w:ftr>
</file>

<file path=word/numbering.xml><?xml version="1.0" encoding="utf-8"?>
<w:numbering xmlns:w="http://schemas.openxmlformats.org/wordprocessingml/2006/main">
  <w:abstractNum w:abstractNumId="1">
    <w:lvl w:ilvl="0">
      <w:start w:val="1"/>
      <w:numFmt w:val="lowerRoman"/>
      <w:lvlText w:val="%1."/>
      <w:lvlJc w:val="left"/>
      <w:pPr>
        <w:ind w:hanging="360" w:left="360"/>
      </w:pPr>
      <w:rPr>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lowerRoman"/>
      <w:lvlText w:val="%1."/>
      <w:lvlJc w:val="left"/>
      <w:pPr>
        <w:ind w:hanging="360" w:left="360"/>
      </w:pPr>
      <w:rPr>
        <w:i w:val="false"/>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lowerRoman"/>
      <w:lvlText w:val="%1."/>
      <w:lvlJc w:val="left"/>
      <w:pPr>
        <w:ind w:hanging="360" w:left="360"/>
      </w:pPr>
      <w:rPr>
        <w:b/>
        <w:bCs/>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5">
    <w:lvl w:ilvl="0">
      <w:start w:val="1"/>
      <w:numFmt w:val="lowerRoman"/>
      <w:lvlText w:val="%1."/>
      <w:lvlJc w:val="left"/>
      <w:pPr>
        <w:tabs>
          <w:tab w:pos="720" w:val="num"/>
        </w:tabs>
        <w:ind w:hanging="360" w:left="720"/>
      </w:pPr>
      <w:rPr>
        <w:b/>
        <w:bCs/>
      </w:rPr>
    </w:lvl>
    <w:lvl w:ilvl="1">
      <w:start w:val="1"/>
      <w:numFmt w:val="lowerRoman"/>
      <w:lvlText w:val="%2."/>
      <w:lvlJc w:val="left"/>
      <w:pPr>
        <w:tabs>
          <w:tab w:pos="1080" w:val="num"/>
        </w:tabs>
        <w:ind w:hanging="360" w:left="1080"/>
      </w:pPr>
    </w:lvl>
    <w:lvl w:ilvl="2">
      <w:start w:val="1"/>
      <w:numFmt w:val="lowerRoman"/>
      <w:lvlText w:val="%3."/>
      <w:lvlJc w:val="left"/>
      <w:pPr>
        <w:tabs>
          <w:tab w:pos="1440" w:val="num"/>
        </w:tabs>
        <w:ind w:hanging="360" w:left="1440"/>
      </w:pPr>
    </w:lvl>
    <w:lvl w:ilvl="3">
      <w:start w:val="1"/>
      <w:numFmt w:val="lowerRoman"/>
      <w:lvlText w:val="%4."/>
      <w:lvlJc w:val="left"/>
      <w:pPr>
        <w:tabs>
          <w:tab w:pos="1800" w:val="num"/>
        </w:tabs>
        <w:ind w:hanging="360" w:left="1800"/>
      </w:pPr>
    </w:lvl>
    <w:lvl w:ilvl="4">
      <w:start w:val="1"/>
      <w:numFmt w:val="lowerRoman"/>
      <w:lvlText w:val="%5."/>
      <w:lvlJc w:val="left"/>
      <w:pPr>
        <w:tabs>
          <w:tab w:pos="2160" w:val="num"/>
        </w:tabs>
        <w:ind w:hanging="360" w:left="2160"/>
      </w:pPr>
    </w:lvl>
    <w:lvl w:ilvl="5">
      <w:start w:val="1"/>
      <w:numFmt w:val="lowerRoman"/>
      <w:lvlText w:val="%6."/>
      <w:lvlJc w:val="left"/>
      <w:pPr>
        <w:tabs>
          <w:tab w:pos="2520" w:val="num"/>
        </w:tabs>
        <w:ind w:hanging="360" w:left="2520"/>
      </w:pPr>
    </w:lvl>
    <w:lvl w:ilvl="6">
      <w:start w:val="1"/>
      <w:numFmt w:val="lowerRoman"/>
      <w:lvlText w:val="%7."/>
      <w:lvlJc w:val="left"/>
      <w:pPr>
        <w:tabs>
          <w:tab w:pos="2880" w:val="num"/>
        </w:tabs>
        <w:ind w:hanging="360" w:left="2880"/>
      </w:pPr>
    </w:lvl>
    <w:lvl w:ilvl="7">
      <w:start w:val="1"/>
      <w:numFmt w:val="lowerRoman"/>
      <w:lvlText w:val="%8."/>
      <w:lvlJc w:val="left"/>
      <w:pPr>
        <w:tabs>
          <w:tab w:pos="3240" w:val="num"/>
        </w:tabs>
        <w:ind w:hanging="360" w:left="3240"/>
      </w:pPr>
    </w:lvl>
    <w:lvl w:ilvl="8">
      <w:start w:val="1"/>
      <w:numFmt w:val="lowerRoman"/>
      <w:lvlText w:val="%9."/>
      <w:lvlJc w:val="left"/>
      <w:pPr>
        <w:tabs>
          <w:tab w:pos="3600" w:val="num"/>
        </w:tabs>
        <w:ind w:hanging="360" w:left="3600"/>
      </w:p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false"/>
      <w:spacing w:after="0" w:before="0" w:line="100" w:lineRule="atLeast"/>
    </w:pPr>
    <w:rPr>
      <w:rFonts w:ascii="Times New Roman" w:cs="Times New Roman" w:eastAsia="Times New Roman" w:hAnsi="Times New Roman"/>
      <w:color w:val="00000A"/>
      <w:sz w:val="24"/>
      <w:szCs w:val="24"/>
      <w:lang w:bidi="ar-SA" w:eastAsia="en-US" w:val="en-US"/>
    </w:rPr>
  </w:style>
  <w:style w:styleId="style1" w:type="paragraph">
    <w:name w:val="Heading 1"/>
    <w:basedOn w:val="style0"/>
    <w:next w:val="style158"/>
    <w:pPr>
      <w:tabs>
        <w:tab w:leader="none" w:pos="8208" w:val="left"/>
      </w:tabs>
      <w:spacing w:after="28" w:before="28"/>
      <w:ind w:hanging="432" w:left="432" w:right="0"/>
    </w:pPr>
    <w:rPr>
      <w:b/>
      <w:bCs/>
      <w:sz w:val="48"/>
      <w:szCs w:val="48"/>
    </w:rPr>
  </w:style>
  <w:style w:styleId="style15" w:type="character">
    <w:name w:val="Default Paragraph Font"/>
    <w:next w:val="style15"/>
    <w:rPr/>
  </w:style>
  <w:style w:styleId="style16" w:type="character">
    <w:name w:val="Body Text 2 Char"/>
    <w:basedOn w:val="style15"/>
    <w:next w:val="style16"/>
    <w:rPr>
      <w:rFonts w:ascii="Times New Roman" w:cs="Times New Roman" w:eastAsia="Times New Roman" w:hAnsi="Times New Roman"/>
      <w:sz w:val="24"/>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Body Text Indent 2 Char"/>
    <w:basedOn w:val="style15"/>
    <w:next w:val="style18"/>
    <w:rPr>
      <w:rFonts w:ascii="Times New Roman" w:cs="Times New Roman" w:eastAsia="Times New Roman" w:hAnsi="Times New Roman"/>
      <w:sz w:val="24"/>
      <w:szCs w:val="24"/>
    </w:rPr>
  </w:style>
  <w:style w:styleId="style19" w:type="character">
    <w:name w:val="Comment Text Char"/>
    <w:basedOn w:val="style15"/>
    <w:next w:val="style19"/>
    <w:rPr>
      <w:rFonts w:ascii="Times New Roman" w:cs="Times New Roman" w:eastAsia="Times New Roman" w:hAnsi="Times New Roman"/>
      <w:sz w:val="20"/>
      <w:szCs w:val="20"/>
    </w:rPr>
  </w:style>
  <w:style w:styleId="style20" w:type="character">
    <w:name w:val="Comment Subject Char"/>
    <w:basedOn w:val="style19"/>
    <w:next w:val="style20"/>
    <w:rPr>
      <w:rFonts w:ascii="Calibri" w:hAnsi="Calibri"/>
      <w:b/>
      <w:bCs/>
      <w:lang w:eastAsia="en-IN" w:val="en-IN"/>
    </w:rPr>
  </w:style>
  <w:style w:styleId="style21" w:type="character">
    <w:name w:val="Heading 1 Char"/>
    <w:basedOn w:val="style15"/>
    <w:next w:val="style21"/>
    <w:rPr>
      <w:rFonts w:ascii="Times New Roman" w:cs="Times New Roman" w:eastAsia="Times New Roman" w:hAnsi="Times New Roman"/>
      <w:b/>
      <w:bCs/>
      <w:sz w:val="48"/>
      <w:szCs w:val="48"/>
    </w:rPr>
  </w:style>
  <w:style w:styleId="style22" w:type="character">
    <w:name w:val="Strong Emphasis"/>
    <w:basedOn w:val="style15"/>
    <w:next w:val="style22"/>
    <w:rPr>
      <w:b/>
      <w:bCs/>
    </w:rPr>
  </w:style>
  <w:style w:styleId="style23" w:type="character">
    <w:name w:val="Internet Link"/>
    <w:basedOn w:val="style15"/>
    <w:next w:val="style23"/>
    <w:rPr>
      <w:color w:val="0000FF"/>
      <w:u w:val="single"/>
      <w:lang w:bidi="en-US" w:eastAsia="en-US" w:val="en-US"/>
    </w:rPr>
  </w:style>
  <w:style w:styleId="style24" w:type="character">
    <w:name w:val="Header Char"/>
    <w:basedOn w:val="style15"/>
    <w:next w:val="style24"/>
    <w:rPr>
      <w:rFonts w:ascii="Times New Roman" w:cs="Times New Roman" w:eastAsia="Times New Roman" w:hAnsi="Times New Roman"/>
      <w:sz w:val="24"/>
      <w:szCs w:val="24"/>
    </w:rPr>
  </w:style>
  <w:style w:styleId="style25" w:type="character">
    <w:name w:val="Emphasis"/>
    <w:basedOn w:val="style15"/>
    <w:next w:val="style25"/>
    <w:rPr>
      <w:i/>
      <w:iCs/>
    </w:rPr>
  </w:style>
  <w:style w:styleId="style26" w:type="character">
    <w:name w:val="citation"/>
    <w:basedOn w:val="style15"/>
    <w:next w:val="style26"/>
    <w:rPr/>
  </w:style>
  <w:style w:styleId="style27" w:type="character">
    <w:name w:val="st"/>
    <w:basedOn w:val="style15"/>
    <w:next w:val="style27"/>
    <w:rPr/>
  </w:style>
  <w:style w:styleId="style28" w:type="character">
    <w:name w:val="ref-journal"/>
    <w:basedOn w:val="style15"/>
    <w:next w:val="style28"/>
    <w:rPr/>
  </w:style>
  <w:style w:styleId="style29" w:type="character">
    <w:name w:val="ref-vol"/>
    <w:basedOn w:val="style15"/>
    <w:next w:val="style29"/>
    <w:rPr/>
  </w:style>
  <w:style w:styleId="style30" w:type="character">
    <w:name w:val="Body Text Char"/>
    <w:basedOn w:val="style15"/>
    <w:next w:val="style30"/>
    <w:rPr>
      <w:rFonts w:ascii="Times New Roman" w:cs="Times New Roman" w:eastAsia="Times New Roman" w:hAnsi="Times New Roman"/>
      <w:sz w:val="24"/>
      <w:szCs w:val="24"/>
    </w:rPr>
  </w:style>
  <w:style w:styleId="style31" w:type="character">
    <w:name w:val="ListLabel 1"/>
    <w:next w:val="style31"/>
    <w:rPr>
      <w:b/>
    </w:rPr>
  </w:style>
  <w:style w:styleId="style32" w:type="character">
    <w:name w:val="ListLabel 2"/>
    <w:next w:val="style32"/>
    <w:rPr>
      <w:b/>
      <w:sz w:val="24"/>
    </w:rPr>
  </w:style>
  <w:style w:styleId="style33" w:type="character">
    <w:name w:val="ListLabel 3"/>
    <w:next w:val="style33"/>
    <w:rPr>
      <w:sz w:val="20"/>
    </w:rPr>
  </w:style>
  <w:style w:styleId="style34" w:type="character">
    <w:name w:val="ListLabel 4"/>
    <w:next w:val="style34"/>
    <w:rPr>
      <w:b/>
    </w:rPr>
  </w:style>
  <w:style w:styleId="style35" w:type="character">
    <w:name w:val="ListLabel 5"/>
    <w:next w:val="style35"/>
    <w:rPr>
      <w:b/>
    </w:rPr>
  </w:style>
  <w:style w:styleId="style36" w:type="character">
    <w:name w:val="ListLabel 6"/>
    <w:next w:val="style36"/>
    <w:rPr>
      <w:b/>
    </w:rPr>
  </w:style>
  <w:style w:styleId="style37" w:type="character">
    <w:name w:val="ListLabel 7"/>
    <w:next w:val="style37"/>
    <w:rPr>
      <w:b/>
    </w:rPr>
  </w:style>
  <w:style w:styleId="style38" w:type="character">
    <w:name w:val="ListLabel 8"/>
    <w:next w:val="style38"/>
    <w:rPr>
      <w:b/>
    </w:rPr>
  </w:style>
  <w:style w:styleId="style39" w:type="character">
    <w:name w:val="ListLabel 9"/>
    <w:next w:val="style39"/>
    <w:rPr>
      <w:b/>
    </w:rPr>
  </w:style>
  <w:style w:styleId="style40" w:type="character">
    <w:name w:val="ListLabel 10"/>
    <w:next w:val="style40"/>
    <w:rPr>
      <w:b/>
    </w:rPr>
  </w:style>
  <w:style w:styleId="style41" w:type="character">
    <w:name w:val="ListLabel 11"/>
    <w:next w:val="style41"/>
    <w:rPr>
      <w:b/>
    </w:rPr>
  </w:style>
  <w:style w:styleId="style42" w:type="character">
    <w:name w:val="ListLabel 12"/>
    <w:next w:val="style42"/>
    <w:rPr>
      <w:b/>
    </w:rPr>
  </w:style>
  <w:style w:styleId="style43" w:type="character">
    <w:name w:val="ListLabel 13"/>
    <w:next w:val="style43"/>
    <w:rPr>
      <w:b/>
    </w:rPr>
  </w:style>
  <w:style w:styleId="style44" w:type="character">
    <w:name w:val="Numbering Symbols"/>
    <w:next w:val="style44"/>
    <w:rPr>
      <w:b/>
      <w:bCs/>
    </w:rPr>
  </w:style>
  <w:style w:styleId="style45" w:type="character">
    <w:name w:val="ListLabel 14"/>
    <w:next w:val="style45"/>
    <w:rPr>
      <w:b/>
    </w:rPr>
  </w:style>
  <w:style w:styleId="style46" w:type="character">
    <w:name w:val="ListLabel 15"/>
    <w:next w:val="style46"/>
    <w:rPr>
      <w:b/>
      <w:bCs/>
    </w:rPr>
  </w:style>
  <w:style w:styleId="style47" w:type="character">
    <w:name w:val="ListLabel 16"/>
    <w:next w:val="style47"/>
    <w:rPr>
      <w:b/>
    </w:rPr>
  </w:style>
  <w:style w:styleId="style48" w:type="character">
    <w:name w:val="ListLabel 17"/>
    <w:next w:val="style48"/>
    <w:rPr>
      <w:b/>
    </w:rPr>
  </w:style>
  <w:style w:styleId="style49" w:type="character">
    <w:name w:val="ListLabel 18"/>
    <w:next w:val="style49"/>
    <w:rPr>
      <w:b/>
    </w:rPr>
  </w:style>
  <w:style w:styleId="style50" w:type="character">
    <w:name w:val="ListLabel 19"/>
    <w:next w:val="style50"/>
    <w:rPr>
      <w:b/>
    </w:rPr>
  </w:style>
  <w:style w:styleId="style51" w:type="character">
    <w:name w:val="ListLabel 20"/>
    <w:next w:val="style51"/>
    <w:rPr>
      <w:b/>
    </w:rPr>
  </w:style>
  <w:style w:styleId="style52" w:type="character">
    <w:name w:val="ListLabel 21"/>
    <w:next w:val="style52"/>
    <w:rPr>
      <w:rFonts w:cs="Times New Roman" w:eastAsia="Times New Roman"/>
    </w:rPr>
  </w:style>
  <w:style w:styleId="style53" w:type="character">
    <w:name w:val="ListLabel 22"/>
    <w:next w:val="style53"/>
    <w:rPr>
      <w:rFonts w:eastAsia="Calibri"/>
      <w:b/>
      <w:color w:val="000000"/>
      <w:sz w:val="22"/>
    </w:rPr>
  </w:style>
  <w:style w:styleId="style54" w:type="character">
    <w:name w:val="ListLabel 23"/>
    <w:next w:val="style54"/>
    <w:rPr>
      <w:b/>
      <w:sz w:val="22"/>
    </w:rPr>
  </w:style>
  <w:style w:styleId="style55" w:type="character">
    <w:name w:val="ListLabel 24"/>
    <w:next w:val="style55"/>
    <w:rPr>
      <w:rFonts w:cs="Courier New"/>
    </w:rPr>
  </w:style>
  <w:style w:styleId="style56" w:type="character">
    <w:name w:val="ListLabel 25"/>
    <w:next w:val="style56"/>
    <w:rPr>
      <w:i w:val="false"/>
    </w:rPr>
  </w:style>
  <w:style w:styleId="style57" w:type="character">
    <w:name w:val="ListLabel 26"/>
    <w:next w:val="style57"/>
    <w:rPr>
      <w:b/>
    </w:rPr>
  </w:style>
  <w:style w:styleId="style58" w:type="character">
    <w:name w:val="ListLabel 27"/>
    <w:next w:val="style58"/>
    <w:rPr>
      <w:rFonts w:cs="Symbol"/>
    </w:rPr>
  </w:style>
  <w:style w:styleId="style59" w:type="character">
    <w:name w:val="ListLabel 28"/>
    <w:next w:val="style59"/>
    <w:rPr>
      <w:rFonts w:cs="Courier New"/>
    </w:rPr>
  </w:style>
  <w:style w:styleId="style60" w:type="character">
    <w:name w:val="ListLabel 29"/>
    <w:next w:val="style60"/>
    <w:rPr>
      <w:rFonts w:cs="Wingdings"/>
    </w:rPr>
  </w:style>
  <w:style w:styleId="style61" w:type="character">
    <w:name w:val="ListLabel 30"/>
    <w:next w:val="style61"/>
    <w:rPr>
      <w:i w:val="false"/>
    </w:rPr>
  </w:style>
  <w:style w:styleId="style62" w:type="character">
    <w:name w:val="ListLabel 31"/>
    <w:next w:val="style62"/>
    <w:rPr>
      <w:b/>
    </w:rPr>
  </w:style>
  <w:style w:styleId="style63" w:type="character">
    <w:name w:val="ListLabel 32"/>
    <w:next w:val="style63"/>
    <w:rPr>
      <w:rFonts w:cs="Symbol"/>
    </w:rPr>
  </w:style>
  <w:style w:styleId="style64" w:type="character">
    <w:name w:val="ListLabel 33"/>
    <w:next w:val="style64"/>
    <w:rPr>
      <w:rFonts w:cs="Courier New"/>
    </w:rPr>
  </w:style>
  <w:style w:styleId="style65" w:type="character">
    <w:name w:val="ListLabel 34"/>
    <w:next w:val="style65"/>
    <w:rPr>
      <w:rFonts w:cs="Wingdings"/>
    </w:rPr>
  </w:style>
  <w:style w:styleId="style66" w:type="character">
    <w:name w:val="ListLabel 35"/>
    <w:next w:val="style66"/>
    <w:rPr>
      <w:i w:val="false"/>
    </w:rPr>
  </w:style>
  <w:style w:styleId="style67" w:type="character">
    <w:name w:val="ListLabel 36"/>
    <w:next w:val="style67"/>
    <w:rPr>
      <w:b/>
    </w:rPr>
  </w:style>
  <w:style w:styleId="style68" w:type="character">
    <w:name w:val="ListLabel 37"/>
    <w:next w:val="style68"/>
    <w:rPr>
      <w:rFonts w:cs="Symbol"/>
    </w:rPr>
  </w:style>
  <w:style w:styleId="style69" w:type="character">
    <w:name w:val="ListLabel 38"/>
    <w:next w:val="style69"/>
    <w:rPr>
      <w:rFonts w:cs="Courier New"/>
    </w:rPr>
  </w:style>
  <w:style w:styleId="style70" w:type="character">
    <w:name w:val="ListLabel 39"/>
    <w:next w:val="style70"/>
    <w:rPr>
      <w:rFonts w:cs="Wingdings"/>
    </w:rPr>
  </w:style>
  <w:style w:styleId="style71" w:type="character">
    <w:name w:val="ListLabel 40"/>
    <w:next w:val="style71"/>
    <w:rPr>
      <w:i w:val="false"/>
    </w:rPr>
  </w:style>
  <w:style w:styleId="style72" w:type="character">
    <w:name w:val="ListLabel 41"/>
    <w:next w:val="style72"/>
    <w:rPr>
      <w:b/>
    </w:rPr>
  </w:style>
  <w:style w:styleId="style73" w:type="character">
    <w:name w:val="ListLabel 42"/>
    <w:next w:val="style73"/>
    <w:rPr>
      <w:rFonts w:cs="Symbol"/>
    </w:rPr>
  </w:style>
  <w:style w:styleId="style74" w:type="character">
    <w:name w:val="ListLabel 43"/>
    <w:next w:val="style74"/>
    <w:rPr>
      <w:rFonts w:cs="Courier New"/>
    </w:rPr>
  </w:style>
  <w:style w:styleId="style75" w:type="character">
    <w:name w:val="ListLabel 44"/>
    <w:next w:val="style75"/>
    <w:rPr>
      <w:rFonts w:cs="Wingdings"/>
    </w:rPr>
  </w:style>
  <w:style w:styleId="style76" w:type="character">
    <w:name w:val="ListLabel 45"/>
    <w:next w:val="style76"/>
    <w:rPr>
      <w:i w:val="false"/>
    </w:rPr>
  </w:style>
  <w:style w:styleId="style77" w:type="character">
    <w:name w:val="ListLabel 46"/>
    <w:next w:val="style77"/>
    <w:rPr>
      <w:b/>
    </w:rPr>
  </w:style>
  <w:style w:styleId="style78" w:type="character">
    <w:name w:val="ListLabel 47"/>
    <w:next w:val="style78"/>
    <w:rPr>
      <w:rFonts w:cs="Symbol"/>
    </w:rPr>
  </w:style>
  <w:style w:styleId="style79" w:type="character">
    <w:name w:val="ListLabel 48"/>
    <w:next w:val="style79"/>
    <w:rPr>
      <w:rFonts w:cs="Courier New"/>
    </w:rPr>
  </w:style>
  <w:style w:styleId="style80" w:type="character">
    <w:name w:val="ListLabel 49"/>
    <w:next w:val="style80"/>
    <w:rPr>
      <w:rFonts w:cs="Wingdings"/>
    </w:rPr>
  </w:style>
  <w:style w:styleId="style81" w:type="character">
    <w:name w:val="ListLabel 50"/>
    <w:next w:val="style81"/>
    <w:rPr>
      <w:i w:val="false"/>
    </w:rPr>
  </w:style>
  <w:style w:styleId="style82" w:type="character">
    <w:name w:val="Bullets"/>
    <w:next w:val="style82"/>
    <w:rPr>
      <w:rFonts w:ascii="OpenSymbol" w:cs="OpenSymbol" w:eastAsia="OpenSymbol" w:hAnsi="OpenSymbol"/>
    </w:rPr>
  </w:style>
  <w:style w:styleId="style83" w:type="character">
    <w:name w:val="ListLabel 51"/>
    <w:next w:val="style83"/>
    <w:rPr>
      <w:b/>
    </w:rPr>
  </w:style>
  <w:style w:styleId="style84" w:type="character">
    <w:name w:val="ListLabel 52"/>
    <w:next w:val="style84"/>
    <w:rPr>
      <w:rFonts w:cs="Symbol"/>
    </w:rPr>
  </w:style>
  <w:style w:styleId="style85" w:type="character">
    <w:name w:val="ListLabel 53"/>
    <w:next w:val="style85"/>
    <w:rPr>
      <w:rFonts w:cs="Courier New"/>
    </w:rPr>
  </w:style>
  <w:style w:styleId="style86" w:type="character">
    <w:name w:val="ListLabel 54"/>
    <w:next w:val="style86"/>
    <w:rPr>
      <w:rFonts w:cs="Wingdings"/>
    </w:rPr>
  </w:style>
  <w:style w:styleId="style87" w:type="character">
    <w:name w:val="ListLabel 55"/>
    <w:next w:val="style87"/>
    <w:rPr>
      <w:i w:val="false"/>
    </w:rPr>
  </w:style>
  <w:style w:styleId="style88" w:type="character">
    <w:name w:val="ListLabel 56"/>
    <w:next w:val="style88"/>
    <w:rPr>
      <w:rFonts w:cs="OpenSymbol"/>
    </w:rPr>
  </w:style>
  <w:style w:styleId="style89" w:type="character">
    <w:name w:val="ListLabel 57"/>
    <w:next w:val="style89"/>
    <w:rPr>
      <w:b/>
      <w:bCs/>
    </w:rPr>
  </w:style>
  <w:style w:styleId="style90" w:type="character">
    <w:name w:val="ListLabel 58"/>
    <w:next w:val="style90"/>
    <w:rPr>
      <w:b/>
    </w:rPr>
  </w:style>
  <w:style w:styleId="style91" w:type="character">
    <w:name w:val="ListLabel 59"/>
    <w:next w:val="style91"/>
    <w:rPr>
      <w:rFonts w:cs="Symbol"/>
    </w:rPr>
  </w:style>
  <w:style w:styleId="style92" w:type="character">
    <w:name w:val="ListLabel 60"/>
    <w:next w:val="style92"/>
    <w:rPr>
      <w:rFonts w:cs="Courier New"/>
    </w:rPr>
  </w:style>
  <w:style w:styleId="style93" w:type="character">
    <w:name w:val="ListLabel 61"/>
    <w:next w:val="style93"/>
    <w:rPr>
      <w:rFonts w:cs="Wingdings"/>
    </w:rPr>
  </w:style>
  <w:style w:styleId="style94" w:type="character">
    <w:name w:val="ListLabel 62"/>
    <w:next w:val="style94"/>
    <w:rPr>
      <w:b/>
      <w:bCs/>
    </w:rPr>
  </w:style>
  <w:style w:styleId="style95" w:type="character">
    <w:name w:val="ListLabel 63"/>
    <w:next w:val="style95"/>
    <w:rPr>
      <w:b/>
      <w:bCs/>
      <w:i w:val="false"/>
    </w:rPr>
  </w:style>
  <w:style w:styleId="style96" w:type="character">
    <w:name w:val="ListLabel 64"/>
    <w:next w:val="style96"/>
    <w:rPr>
      <w:rFonts w:cs="OpenSymbol"/>
    </w:rPr>
  </w:style>
  <w:style w:styleId="style97" w:type="character">
    <w:name w:val="ListLabel 65"/>
    <w:next w:val="style97"/>
    <w:rPr>
      <w:b/>
      <w:bCs/>
    </w:rPr>
  </w:style>
  <w:style w:styleId="style98" w:type="character">
    <w:name w:val="ListLabel 66"/>
    <w:next w:val="style98"/>
    <w:rPr>
      <w:b/>
      <w:bCs/>
      <w:i w:val="false"/>
    </w:rPr>
  </w:style>
  <w:style w:styleId="style99" w:type="character">
    <w:name w:val="ListLabel 67"/>
    <w:next w:val="style99"/>
    <w:rPr>
      <w:rFonts w:cs="Symbol"/>
    </w:rPr>
  </w:style>
  <w:style w:styleId="style100" w:type="character">
    <w:name w:val="ListLabel 68"/>
    <w:next w:val="style100"/>
    <w:rPr>
      <w:rFonts w:cs="Courier New"/>
    </w:rPr>
  </w:style>
  <w:style w:styleId="style101" w:type="character">
    <w:name w:val="ListLabel 69"/>
    <w:next w:val="style101"/>
    <w:rPr>
      <w:rFonts w:cs="Wingdings"/>
    </w:rPr>
  </w:style>
  <w:style w:styleId="style102" w:type="character">
    <w:name w:val="ListLabel 70"/>
    <w:next w:val="style102"/>
    <w:rPr>
      <w:rFonts w:cs="OpenSymbol"/>
    </w:rPr>
  </w:style>
  <w:style w:styleId="style103" w:type="character">
    <w:name w:val="ListLabel 71"/>
    <w:next w:val="style103"/>
    <w:rPr>
      <w:b/>
      <w:bCs/>
    </w:rPr>
  </w:style>
  <w:style w:styleId="style104" w:type="character">
    <w:name w:val="ListLabel 72"/>
    <w:next w:val="style104"/>
    <w:rPr>
      <w:b/>
      <w:bCs/>
      <w:i w:val="false"/>
    </w:rPr>
  </w:style>
  <w:style w:styleId="style105" w:type="character">
    <w:name w:val="ListLabel 73"/>
    <w:next w:val="style105"/>
    <w:rPr>
      <w:rFonts w:cs="Symbol"/>
    </w:rPr>
  </w:style>
  <w:style w:styleId="style106" w:type="character">
    <w:name w:val="ListLabel 74"/>
    <w:next w:val="style106"/>
    <w:rPr>
      <w:rFonts w:cs="Courier New"/>
    </w:rPr>
  </w:style>
  <w:style w:styleId="style107" w:type="character">
    <w:name w:val="ListLabel 75"/>
    <w:next w:val="style107"/>
    <w:rPr>
      <w:rFonts w:cs="Wingdings"/>
    </w:rPr>
  </w:style>
  <w:style w:styleId="style108" w:type="character">
    <w:name w:val="ListLabel 76"/>
    <w:next w:val="style108"/>
    <w:rPr>
      <w:rFonts w:cs="OpenSymbol"/>
    </w:rPr>
  </w:style>
  <w:style w:styleId="style109" w:type="character">
    <w:name w:val="ListLabel 77"/>
    <w:next w:val="style109"/>
    <w:rPr>
      <w:b/>
      <w:bCs/>
    </w:rPr>
  </w:style>
  <w:style w:styleId="style110" w:type="character">
    <w:name w:val="ListLabel 78"/>
    <w:next w:val="style110"/>
    <w:rPr>
      <w:b/>
      <w:bCs/>
      <w:i w:val="false"/>
    </w:rPr>
  </w:style>
  <w:style w:styleId="style111" w:type="character">
    <w:name w:val="ListLabel 79"/>
    <w:next w:val="style111"/>
    <w:rPr>
      <w:rFonts w:cs="Symbol"/>
    </w:rPr>
  </w:style>
  <w:style w:styleId="style112" w:type="character">
    <w:name w:val="ListLabel 80"/>
    <w:next w:val="style112"/>
    <w:rPr>
      <w:rFonts w:cs="Courier New"/>
    </w:rPr>
  </w:style>
  <w:style w:styleId="style113" w:type="character">
    <w:name w:val="ListLabel 81"/>
    <w:next w:val="style113"/>
    <w:rPr>
      <w:rFonts w:cs="Wingdings"/>
    </w:rPr>
  </w:style>
  <w:style w:styleId="style114" w:type="character">
    <w:name w:val="ListLabel 82"/>
    <w:next w:val="style114"/>
    <w:rPr>
      <w:rFonts w:cs="OpenSymbol"/>
    </w:rPr>
  </w:style>
  <w:style w:styleId="style115" w:type="character">
    <w:name w:val="ListLabel 83"/>
    <w:next w:val="style115"/>
    <w:rPr>
      <w:b/>
      <w:bCs/>
    </w:rPr>
  </w:style>
  <w:style w:styleId="style116" w:type="character">
    <w:name w:val="ListLabel 84"/>
    <w:next w:val="style116"/>
    <w:rPr>
      <w:b/>
      <w:bCs/>
      <w:i w:val="false"/>
    </w:rPr>
  </w:style>
  <w:style w:styleId="style117" w:type="character">
    <w:name w:val="ListLabel 85"/>
    <w:next w:val="style117"/>
    <w:rPr>
      <w:rFonts w:cs="Symbol"/>
    </w:rPr>
  </w:style>
  <w:style w:styleId="style118" w:type="character">
    <w:name w:val="ListLabel 86"/>
    <w:next w:val="style118"/>
    <w:rPr>
      <w:rFonts w:cs="Courier New"/>
    </w:rPr>
  </w:style>
  <w:style w:styleId="style119" w:type="character">
    <w:name w:val="ListLabel 87"/>
    <w:next w:val="style119"/>
    <w:rPr>
      <w:rFonts w:cs="Wingdings"/>
    </w:rPr>
  </w:style>
  <w:style w:styleId="style120" w:type="character">
    <w:name w:val="ListLabel 88"/>
    <w:next w:val="style120"/>
    <w:rPr>
      <w:rFonts w:cs="OpenSymbol"/>
    </w:rPr>
  </w:style>
  <w:style w:styleId="style121" w:type="character">
    <w:name w:val="ListLabel 89"/>
    <w:next w:val="style121"/>
    <w:rPr>
      <w:b/>
      <w:bCs/>
    </w:rPr>
  </w:style>
  <w:style w:styleId="style122" w:type="character">
    <w:name w:val="ListLabel 90"/>
    <w:next w:val="style122"/>
    <w:rPr>
      <w:b/>
      <w:bCs/>
      <w:i w:val="false"/>
    </w:rPr>
  </w:style>
  <w:style w:styleId="style123" w:type="character">
    <w:name w:val="ListLabel 91"/>
    <w:next w:val="style123"/>
    <w:rPr>
      <w:rFonts w:cs="Symbol"/>
    </w:rPr>
  </w:style>
  <w:style w:styleId="style124" w:type="character">
    <w:name w:val="ListLabel 92"/>
    <w:next w:val="style124"/>
    <w:rPr>
      <w:rFonts w:cs="Courier New"/>
    </w:rPr>
  </w:style>
  <w:style w:styleId="style125" w:type="character">
    <w:name w:val="ListLabel 93"/>
    <w:next w:val="style125"/>
    <w:rPr>
      <w:rFonts w:cs="Wingdings"/>
    </w:rPr>
  </w:style>
  <w:style w:styleId="style126" w:type="character">
    <w:name w:val="ListLabel 94"/>
    <w:next w:val="style126"/>
    <w:rPr>
      <w:rFonts w:cs="OpenSymbol"/>
    </w:rPr>
  </w:style>
  <w:style w:styleId="style127" w:type="character">
    <w:name w:val="ListLabel 95"/>
    <w:next w:val="style127"/>
    <w:rPr>
      <w:b/>
      <w:bCs/>
    </w:rPr>
  </w:style>
  <w:style w:styleId="style128" w:type="character">
    <w:name w:val="ListLabel 96"/>
    <w:next w:val="style128"/>
    <w:rPr>
      <w:b/>
      <w:bCs/>
      <w:i w:val="false"/>
    </w:rPr>
  </w:style>
  <w:style w:styleId="style129" w:type="character">
    <w:name w:val="ListLabel 97"/>
    <w:next w:val="style129"/>
    <w:rPr>
      <w:rFonts w:cs="Symbol"/>
    </w:rPr>
  </w:style>
  <w:style w:styleId="style130" w:type="character">
    <w:name w:val="ListLabel 98"/>
    <w:next w:val="style130"/>
    <w:rPr>
      <w:rFonts w:cs="Courier New"/>
    </w:rPr>
  </w:style>
  <w:style w:styleId="style131" w:type="character">
    <w:name w:val="ListLabel 99"/>
    <w:next w:val="style131"/>
    <w:rPr>
      <w:rFonts w:cs="Wingdings"/>
    </w:rPr>
  </w:style>
  <w:style w:styleId="style132" w:type="character">
    <w:name w:val="ListLabel 100"/>
    <w:next w:val="style132"/>
    <w:rPr>
      <w:rFonts w:cs="OpenSymbol"/>
    </w:rPr>
  </w:style>
  <w:style w:styleId="style133" w:type="character">
    <w:name w:val="ListLabel 101"/>
    <w:next w:val="style133"/>
    <w:rPr>
      <w:b/>
      <w:bCs/>
    </w:rPr>
  </w:style>
  <w:style w:styleId="style134" w:type="character">
    <w:name w:val="ListLabel 102"/>
    <w:next w:val="style134"/>
    <w:rPr>
      <w:b/>
      <w:bCs/>
      <w:i w:val="false"/>
    </w:rPr>
  </w:style>
  <w:style w:styleId="style135" w:type="character">
    <w:name w:val="ListLabel 103"/>
    <w:next w:val="style135"/>
    <w:rPr>
      <w:rFonts w:cs="Symbol"/>
    </w:rPr>
  </w:style>
  <w:style w:styleId="style136" w:type="character">
    <w:name w:val="ListLabel 104"/>
    <w:next w:val="style136"/>
    <w:rPr>
      <w:rFonts w:cs="Courier New"/>
    </w:rPr>
  </w:style>
  <w:style w:styleId="style137" w:type="character">
    <w:name w:val="ListLabel 105"/>
    <w:next w:val="style137"/>
    <w:rPr>
      <w:rFonts w:cs="Wingdings"/>
    </w:rPr>
  </w:style>
  <w:style w:styleId="style138" w:type="character">
    <w:name w:val="ListLabel 106"/>
    <w:next w:val="style138"/>
    <w:rPr>
      <w:rFonts w:cs="OpenSymbol"/>
    </w:rPr>
  </w:style>
  <w:style w:styleId="style139" w:type="character">
    <w:name w:val="ListLabel 107"/>
    <w:next w:val="style139"/>
    <w:rPr>
      <w:b/>
      <w:bCs/>
    </w:rPr>
  </w:style>
  <w:style w:styleId="style140" w:type="character">
    <w:name w:val="ListLabel 108"/>
    <w:next w:val="style140"/>
    <w:rPr>
      <w:b/>
      <w:bCs/>
      <w:i w:val="false"/>
    </w:rPr>
  </w:style>
  <w:style w:styleId="style141" w:type="character">
    <w:name w:val="ListLabel 109"/>
    <w:next w:val="style141"/>
    <w:rPr>
      <w:rFonts w:cs="Symbol"/>
    </w:rPr>
  </w:style>
  <w:style w:styleId="style142" w:type="character">
    <w:name w:val="ListLabel 110"/>
    <w:next w:val="style142"/>
    <w:rPr>
      <w:rFonts w:cs="Courier New"/>
    </w:rPr>
  </w:style>
  <w:style w:styleId="style143" w:type="character">
    <w:name w:val="ListLabel 111"/>
    <w:next w:val="style143"/>
    <w:rPr>
      <w:rFonts w:cs="Wingdings"/>
    </w:rPr>
  </w:style>
  <w:style w:styleId="style144" w:type="character">
    <w:name w:val="ListLabel 112"/>
    <w:next w:val="style144"/>
    <w:rPr>
      <w:rFonts w:cs="OpenSymbol"/>
    </w:rPr>
  </w:style>
  <w:style w:styleId="style145" w:type="character">
    <w:name w:val="ListLabel 113"/>
    <w:next w:val="style145"/>
    <w:rPr>
      <w:b/>
      <w:bCs/>
    </w:rPr>
  </w:style>
  <w:style w:styleId="style146" w:type="character">
    <w:name w:val="ListLabel 114"/>
    <w:next w:val="style146"/>
    <w:rPr>
      <w:b/>
      <w:bCs/>
      <w:i w:val="false"/>
    </w:rPr>
  </w:style>
  <w:style w:styleId="style147" w:type="character">
    <w:name w:val="ListLabel 115"/>
    <w:next w:val="style147"/>
    <w:rPr>
      <w:rFonts w:cs="Symbol"/>
    </w:rPr>
  </w:style>
  <w:style w:styleId="style148" w:type="character">
    <w:name w:val="ListLabel 116"/>
    <w:next w:val="style148"/>
    <w:rPr>
      <w:rFonts w:cs="Courier New"/>
    </w:rPr>
  </w:style>
  <w:style w:styleId="style149" w:type="character">
    <w:name w:val="ListLabel 117"/>
    <w:next w:val="style149"/>
    <w:rPr>
      <w:rFonts w:cs="Wingdings"/>
    </w:rPr>
  </w:style>
  <w:style w:styleId="style150" w:type="character">
    <w:name w:val="ListLabel 118"/>
    <w:next w:val="style150"/>
    <w:rPr>
      <w:rFonts w:cs="OpenSymbol"/>
    </w:rPr>
  </w:style>
  <w:style w:styleId="style151" w:type="character">
    <w:name w:val="ListLabel 119"/>
    <w:next w:val="style151"/>
    <w:rPr>
      <w:b/>
      <w:bCs/>
    </w:rPr>
  </w:style>
  <w:style w:styleId="style152" w:type="character">
    <w:name w:val="ListLabel 120"/>
    <w:next w:val="style152"/>
    <w:rPr>
      <w:b/>
      <w:bCs/>
      <w:i w:val="false"/>
    </w:rPr>
  </w:style>
  <w:style w:styleId="style153" w:type="character">
    <w:name w:val="ListLabel 121"/>
    <w:next w:val="style153"/>
    <w:rPr>
      <w:rFonts w:cs="Symbol"/>
    </w:rPr>
  </w:style>
  <w:style w:styleId="style154" w:type="character">
    <w:name w:val="ListLabel 122"/>
    <w:next w:val="style154"/>
    <w:rPr>
      <w:rFonts w:cs="Courier New"/>
    </w:rPr>
  </w:style>
  <w:style w:styleId="style155" w:type="character">
    <w:name w:val="ListLabel 123"/>
    <w:next w:val="style155"/>
    <w:rPr>
      <w:rFonts w:cs="Wingdings"/>
    </w:rPr>
  </w:style>
  <w:style w:styleId="style156" w:type="character">
    <w:name w:val="ListLabel 124"/>
    <w:next w:val="style156"/>
    <w:rPr>
      <w:rFonts w:cs="OpenSymbol"/>
    </w:rPr>
  </w:style>
  <w:style w:styleId="style157" w:type="paragraph">
    <w:name w:val="Heading"/>
    <w:basedOn w:val="style0"/>
    <w:next w:val="style158"/>
    <w:pPr>
      <w:keepNext/>
      <w:spacing w:after="120" w:before="240"/>
    </w:pPr>
    <w:rPr>
      <w:rFonts w:ascii="Liberation Sans" w:cs="FreeSans" w:eastAsia="Droid Sans Fallback" w:hAnsi="Liberation Sans"/>
      <w:sz w:val="28"/>
      <w:szCs w:val="28"/>
    </w:rPr>
  </w:style>
  <w:style w:styleId="style158" w:type="paragraph">
    <w:name w:val="Text body"/>
    <w:basedOn w:val="style0"/>
    <w:next w:val="style158"/>
    <w:pPr>
      <w:spacing w:after="120" w:before="0"/>
    </w:pPr>
    <w:rPr/>
  </w:style>
  <w:style w:styleId="style159" w:type="paragraph">
    <w:name w:val="List"/>
    <w:basedOn w:val="style158"/>
    <w:next w:val="style159"/>
    <w:pPr/>
    <w:rPr>
      <w:rFonts w:cs="FreeSans"/>
    </w:rPr>
  </w:style>
  <w:style w:styleId="style160" w:type="paragraph">
    <w:name w:val="Caption"/>
    <w:basedOn w:val="style0"/>
    <w:next w:val="style160"/>
    <w:pPr>
      <w:suppressLineNumbers/>
      <w:spacing w:after="120" w:before="120"/>
    </w:pPr>
    <w:rPr>
      <w:rFonts w:cs="FreeSans"/>
      <w:i/>
      <w:iCs/>
      <w:sz w:val="24"/>
      <w:szCs w:val="24"/>
    </w:rPr>
  </w:style>
  <w:style w:styleId="style161" w:type="paragraph">
    <w:name w:val="Index"/>
    <w:basedOn w:val="style0"/>
    <w:next w:val="style161"/>
    <w:pPr>
      <w:suppressLineNumbers/>
    </w:pPr>
    <w:rPr>
      <w:rFonts w:cs="FreeSans"/>
    </w:rPr>
  </w:style>
  <w:style w:styleId="style162" w:type="paragraph">
    <w:name w:val="caption"/>
    <w:basedOn w:val="style0"/>
    <w:next w:val="style162"/>
    <w:pPr>
      <w:suppressLineNumbers/>
      <w:spacing w:after="120" w:before="120"/>
    </w:pPr>
    <w:rPr>
      <w:rFonts w:cs="FreeSans"/>
      <w:i/>
      <w:iCs/>
    </w:rPr>
  </w:style>
  <w:style w:styleId="style163" w:type="paragraph">
    <w:name w:val="Body Text 2"/>
    <w:basedOn w:val="style0"/>
    <w:next w:val="style163"/>
    <w:pPr>
      <w:jc w:val="both"/>
    </w:pPr>
    <w:rPr/>
  </w:style>
  <w:style w:styleId="style164" w:type="paragraph">
    <w:name w:val="Footer"/>
    <w:basedOn w:val="style0"/>
    <w:next w:val="style164"/>
    <w:pPr>
      <w:suppressLineNumbers/>
      <w:tabs>
        <w:tab w:leader="none" w:pos="4320" w:val="center"/>
        <w:tab w:leader="none" w:pos="8640" w:val="right"/>
      </w:tabs>
    </w:pPr>
    <w:rPr/>
  </w:style>
  <w:style w:styleId="style165" w:type="paragraph">
    <w:name w:val="Body Text Indent 2"/>
    <w:basedOn w:val="style0"/>
    <w:next w:val="style165"/>
    <w:pPr>
      <w:spacing w:after="0" w:before="0"/>
      <w:ind w:hanging="0" w:left="1440" w:right="0"/>
      <w:jc w:val="both"/>
    </w:pPr>
    <w:rPr/>
  </w:style>
  <w:style w:styleId="style166" w:type="paragraph">
    <w:name w:val="List Paragraph"/>
    <w:basedOn w:val="style0"/>
    <w:next w:val="style166"/>
    <w:pPr>
      <w:spacing w:after="0" w:before="0"/>
      <w:ind w:hanging="0" w:left="720" w:right="0"/>
    </w:pPr>
    <w:rPr/>
  </w:style>
  <w:style w:styleId="style167" w:type="paragraph">
    <w:name w:val="No Spacing"/>
    <w:next w:val="style167"/>
    <w:pPr>
      <w:widowControl/>
      <w:tabs>
        <w:tab w:leader="none" w:pos="720" w:val="left"/>
      </w:tabs>
      <w:suppressAutoHyphens w:val="true"/>
      <w:overflowPunct w:val="false"/>
      <w:spacing w:after="0" w:before="0" w:line="100" w:lineRule="atLeast"/>
    </w:pPr>
    <w:rPr>
      <w:rFonts w:ascii="Calibri" w:cs="Times New Roman" w:eastAsia="Times New Roman" w:hAnsi="Calibri"/>
      <w:color w:val="00000A"/>
      <w:sz w:val="22"/>
      <w:szCs w:val="22"/>
      <w:lang w:bidi="ar-SA" w:eastAsia="en-IN" w:val="en-IN"/>
    </w:rPr>
  </w:style>
  <w:style w:styleId="style168" w:type="paragraph">
    <w:name w:val="annotation text"/>
    <w:basedOn w:val="style0"/>
    <w:next w:val="style168"/>
    <w:pPr/>
    <w:rPr>
      <w:sz w:val="20"/>
      <w:szCs w:val="20"/>
    </w:rPr>
  </w:style>
  <w:style w:styleId="style169" w:type="paragraph">
    <w:name w:val="annotation subject"/>
    <w:basedOn w:val="style168"/>
    <w:next w:val="style169"/>
    <w:pPr>
      <w:spacing w:after="200" w:before="0"/>
    </w:pPr>
    <w:rPr>
      <w:rFonts w:ascii="Calibri" w:hAnsi="Calibri"/>
      <w:b/>
      <w:bCs/>
      <w:lang w:eastAsia="en-IN" w:val="en-IN"/>
    </w:rPr>
  </w:style>
  <w:style w:styleId="style170" w:type="paragraph">
    <w:name w:val="Normal (Web)"/>
    <w:basedOn w:val="style0"/>
    <w:next w:val="style170"/>
    <w:pPr>
      <w:spacing w:after="28" w:before="28"/>
    </w:pPr>
    <w:rPr/>
  </w:style>
  <w:style w:styleId="style171" w:type="paragraph">
    <w:name w:val="Header"/>
    <w:basedOn w:val="style0"/>
    <w:next w:val="style171"/>
    <w:pPr>
      <w:suppressLineNumbers/>
      <w:tabs>
        <w:tab w:leader="none" w:pos="4680" w:val="center"/>
        <w:tab w:leader="none" w:pos="9360" w:val="right"/>
      </w:tabs>
    </w:pPr>
    <w:rPr/>
  </w:style>
  <w:style w:styleId="style172" w:type="paragraph">
    <w:name w:val="authors"/>
    <w:basedOn w:val="style0"/>
    <w:next w:val="style172"/>
    <w:pPr>
      <w:spacing w:after="28" w:before="28"/>
    </w:pPr>
    <w:rPr/>
  </w:style>
  <w:style w:styleId="style173" w:type="paragraph">
    <w:name w:val="citationline"/>
    <w:basedOn w:val="style0"/>
    <w:next w:val="style173"/>
    <w:pPr>
      <w:spacing w:after="28" w:before="28"/>
    </w:pPr>
    <w:rPr/>
  </w:style>
  <w:style w:styleId="style174" w:type="paragraph">
    <w:name w:val="Table Contents"/>
    <w:basedOn w:val="style0"/>
    <w:next w:val="style174"/>
    <w:pPr>
      <w:suppressLineNumbers/>
    </w:pPr>
    <w:rPr/>
  </w:style>
  <w:style w:styleId="style175" w:type="paragraph">
    <w:name w:val="Table Heading"/>
    <w:basedOn w:val="style174"/>
    <w:next w:val="style17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2795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2013-08-05T04:51:00.00Z</dcterms:created>
  <dc:creator>Acer</dc:creator>
  <cp:lastModifiedBy>clostridium </cp:lastModifiedBy>
  <cp:lastPrinted>2015-03-11T07:19:00.00Z</cp:lastPrinted>
  <dcterms:modified xsi:type="dcterms:W3CDTF">2015-06-30T08:14:17.00Z</dcterms:modified>
  <cp:revision>88</cp:revision>
</cp:coreProperties>
</file>