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footerReference r:id="rId2" w:type="default"/>
          <w:type w:val="nextPage"/>
          <w:pgSz w:h="16838" w:w="11906"/>
          <w:pgMar w:bottom="1440" w:footer="720" w:gutter="0" w:header="0" w:left="1440" w:right="1440" w:top="1440"/>
          <w:pgNumType w:fmt="decimal"/>
          <w:formProt w:val="false"/>
          <w:textDirection w:val="lrTb"/>
          <w:docGrid w:charSpace="0" w:linePitch="360" w:type="default"/>
        </w:sectPr>
        <w:pStyle w:val="style0"/>
        <w:widowControl w:val="false"/>
        <w:tabs>
          <w:tab w:leader="none" w:pos="720" w:val="left"/>
        </w:tabs>
        <w:spacing w:line="360" w:lineRule="auto"/>
        <w:ind w:hanging="0" w:left="0" w:right="29"/>
        <w:jc w:val="center"/>
      </w:pPr>
      <w:r>
        <w:rPr>
          <w:rFonts w:eastAsia="Calibri"/>
          <w:b/>
          <w:bCs/>
          <w:iCs/>
          <w:color w:val="000000"/>
          <w:sz w:val="22"/>
          <w:szCs w:val="22"/>
        </w:rPr>
      </w:r>
    </w:p>
    <w:tbl>
      <w:tblPr>
        <w:tblW w:type="dxa" w:w="9026"/>
        <w:jc w:val="left"/>
        <w:tblBorders/>
      </w:tblPr>
      <w:tblGrid>
        <w:gridCol w:w="8328"/>
        <w:gridCol w:w="326"/>
        <w:gridCol w:w="372"/>
      </w:tblGrid>
      <w:tr>
        <w:trPr>
          <w:cantSplit w:val="false"/>
        </w:trPr>
        <w:tc>
          <w:tcPr>
            <w:tcW w:type="dxa" w:w="8328"/>
            <w:tcBorders/>
            <w:shd w:fill="auto" w:val="clear"/>
            <w:tcMar>
              <w:top w:type="dxa" w:w="0"/>
              <w:left w:type="dxa" w:w="0"/>
              <w:bottom w:type="dxa" w:w="0"/>
              <w:right w:type="dxa" w:w="0"/>
            </w:tcMar>
            <w:vAlign w:val="center"/>
          </w:tcPr>
          <w:p>
            <w:pPr>
              <w:pStyle w:val="style156"/>
              <w:spacing w:after="0" w:before="0"/>
              <w:ind w:hanging="0" w:left="0" w:right="0"/>
            </w:pPr>
            <w:r>
              <w:rPr/>
            </w:r>
          </w:p>
        </w:tc>
        <w:tc>
          <w:tcPr>
            <w:tcW w:type="dxa" w:w="326"/>
            <w:tcBorders/>
            <w:shd w:fill="auto" w:val="clear"/>
            <w:tcMar>
              <w:top w:type="dxa" w:w="0"/>
              <w:left w:type="dxa" w:w="0"/>
              <w:bottom w:type="dxa" w:w="0"/>
              <w:right w:type="dxa" w:w="0"/>
            </w:tcMar>
            <w:vAlign w:val="center"/>
          </w:tcPr>
          <w:p>
            <w:pPr>
              <w:pStyle w:val="style156"/>
              <w:pBdr/>
              <w:spacing w:after="0" w:before="0"/>
              <w:ind w:hanging="0" w:left="0" w:right="0"/>
            </w:pPr>
            <w:r>
              <w:rPr>
                <w:strike w:val="false"/>
                <w:dstrike w:val="false"/>
                <w:color w:val="125ABA"/>
                <w:u w:val="none"/>
                <w:effect w:val="none"/>
              </w:rPr>
            </w:r>
          </w:p>
        </w:tc>
        <w:tc>
          <w:tcPr>
            <w:tcW w:type="dxa" w:w="372"/>
            <w:tcBorders/>
            <w:shd w:fill="auto" w:val="clear"/>
            <w:tcMar>
              <w:top w:type="dxa" w:w="0"/>
              <w:left w:type="dxa" w:w="0"/>
              <w:bottom w:type="dxa" w:w="0"/>
              <w:right w:type="dxa" w:w="0"/>
            </w:tcMar>
            <w:vAlign w:val="center"/>
          </w:tcPr>
          <w:p>
            <w:pPr>
              <w:pStyle w:val="style156"/>
              <w:pBdr/>
              <w:spacing w:after="0" w:before="0"/>
              <w:ind w:hanging="0" w:left="0" w:right="0"/>
            </w:pPr>
            <w:r>
              <w:rPr>
                <w:strike w:val="false"/>
                <w:dstrike w:val="false"/>
                <w:color w:val="125ABA"/>
                <w:u w:val="none"/>
                <w:effect w:val="none"/>
              </w:rPr>
            </w:r>
          </w:p>
        </w:tc>
      </w:tr>
    </w:tbl>
    <w:tbl>
      <w:tblPr>
        <w:tblW w:type="dxa" w:w="9026"/>
        <w:jc w:val="left"/>
        <w:tblBorders/>
      </w:tblPr>
      <w:tblGrid>
        <w:gridCol w:w="9026"/>
      </w:tblGrid>
      <w:tr>
        <w:trPr>
          <w:cantSplit w:val="false"/>
        </w:trPr>
        <w:tc>
          <w:tcPr>
            <w:tcW w:type="dxa" w:w="9026"/>
            <w:tcBorders/>
            <w:shd w:fill="auto" w:val="clear"/>
            <w:tcMar>
              <w:top w:type="dxa" w:w="0"/>
              <w:left w:type="dxa" w:w="0"/>
              <w:bottom w:type="dxa" w:w="0"/>
              <w:right w:type="dxa" w:w="0"/>
            </w:tcMar>
          </w:tcPr>
          <w:p>
            <w:pPr>
              <w:pStyle w:val="style156"/>
              <w:pBdr/>
              <w:spacing w:after="0" w:before="0"/>
              <w:ind w:hanging="0" w:left="0" w:right="0"/>
              <w:jc w:val="left"/>
            </w:pPr>
            <w:r>
              <w:rPr/>
            </w:r>
          </w:p>
        </w:tc>
      </w:tr>
      <w:tr>
        <w:trPr>
          <w:cantSplit w:val="false"/>
        </w:trPr>
        <w:tc>
          <w:tcPr>
            <w:tcW w:type="dxa" w:w="9026"/>
            <w:tcBorders/>
            <w:shd w:fill="auto" w:val="clear"/>
            <w:tcMar>
              <w:top w:type="dxa" w:w="0"/>
              <w:left w:type="dxa" w:w="0"/>
              <w:bottom w:type="dxa" w:w="0"/>
              <w:right w:type="dxa" w:w="0"/>
            </w:tcMar>
            <w:vAlign w:val="center"/>
          </w:tcPr>
          <w:p>
            <w:pPr>
              <w:pStyle w:val="style156"/>
              <w:spacing w:after="0" w:before="0" w:line="165" w:lineRule="atLeast"/>
              <w:ind w:hanging="0" w:left="0" w:right="0"/>
            </w:pPr>
            <w:r>
              <w:rPr>
                <w:rFonts w:ascii="Arial" w:hAnsi="Arial"/>
                <w:color w:val="999999"/>
                <w:sz w:val="14"/>
              </w:rPr>
            </w:r>
          </w:p>
        </w:tc>
      </w:tr>
      <w:tr>
        <w:trPr>
          <w:cantSplit w:val="false"/>
        </w:trPr>
        <w:tc>
          <w:tcPr>
            <w:tcW w:type="dxa" w:w="9026"/>
            <w:tcBorders/>
            <w:shd w:fill="auto" w:val="clear"/>
            <w:tcMar>
              <w:top w:type="dxa" w:w="0"/>
              <w:left w:type="dxa" w:w="0"/>
              <w:bottom w:type="dxa" w:w="0"/>
              <w:right w:type="dxa" w:w="0"/>
            </w:tcMar>
            <w:vAlign w:val="center"/>
          </w:tcPr>
          <w:p>
            <w:pPr>
              <w:pStyle w:val="style156"/>
              <w:spacing w:after="0" w:before="0" w:line="165" w:lineRule="atLeast"/>
            </w:pPr>
            <w:r>
              <w:rPr>
                <w:rFonts w:ascii="Arial" w:hAnsi="Arial"/>
                <w:color w:val="999999"/>
                <w:sz w:val="14"/>
              </w:rPr>
            </w:r>
          </w:p>
        </w:tc>
      </w:tr>
    </w:tbl>
    <w:tbl>
      <w:tblPr>
        <w:jc w:val="left"/>
        <w:tblBorders/>
      </w:tblPr>
      <w:tblGrid>
        <w:gridCol w:w="1374"/>
        <w:gridCol w:w="8306"/>
      </w:tblGrid>
      <w:tr>
        <w:trPr>
          <w:cantSplit w:val="false"/>
        </w:trPr>
        <w:tc>
          <w:tcPr>
            <w:tcW w:type="dxa" w:w="1374"/>
            <w:tcBorders/>
            <w:shd w:fill="auto" w:val="clear"/>
            <w:tcMar>
              <w:top w:type="dxa" w:w="0"/>
              <w:left w:type="dxa" w:w="0"/>
              <w:bottom w:type="dxa" w:w="0"/>
              <w:right w:type="dxa" w:w="0"/>
            </w:tcMar>
          </w:tcPr>
          <w:p>
            <w:pPr>
              <w:pStyle w:val="style156"/>
              <w:pBdr/>
              <w:spacing w:after="0" w:before="0"/>
              <w:ind w:hanging="0" w:left="0" w:right="0"/>
            </w:pPr>
            <w:r>
              <w:rPr>
                <w:b/>
              </w:rPr>
            </w:r>
          </w:p>
        </w:tc>
        <w:tc>
          <w:tcPr>
            <w:tcW w:type="dxa" w:w="8306"/>
            <w:tcBorders/>
            <w:shd w:fill="auto" w:val="clear"/>
            <w:tcMar>
              <w:top w:type="dxa" w:w="0"/>
              <w:left w:type="dxa" w:w="0"/>
              <w:bottom w:type="dxa" w:w="0"/>
              <w:right w:type="dxa" w:w="0"/>
            </w:tcMar>
          </w:tcPr>
          <w:p>
            <w:pPr>
              <w:pStyle w:val="style156"/>
              <w:pBdr/>
              <w:spacing w:after="0" w:before="0"/>
              <w:ind w:hanging="0" w:left="0" w:right="0"/>
            </w:pPr>
            <w:hyperlink r:id="rId3">
              <w:r>
                <w:rPr/>
              </w:r>
            </w:hyperlink>
          </w:p>
        </w:tc>
      </w:tr>
      <w:tr>
        <w:trPr>
          <w:cantSplit w:val="false"/>
        </w:trPr>
        <w:tc>
          <w:tcPr>
            <w:tcW w:type="dxa" w:w="1374"/>
            <w:tcBorders/>
            <w:shd w:fill="auto" w:val="clear"/>
            <w:tcMar>
              <w:top w:type="dxa" w:w="0"/>
              <w:left w:type="dxa" w:w="0"/>
              <w:bottom w:type="dxa" w:w="0"/>
              <w:right w:type="dxa" w:w="0"/>
            </w:tcMar>
          </w:tcPr>
          <w:p>
            <w:pPr>
              <w:pStyle w:val="style156"/>
              <w:pBdr/>
              <w:spacing w:after="0" w:before="0"/>
              <w:ind w:hanging="0" w:left="0" w:right="0"/>
            </w:pPr>
            <w:r>
              <w:rPr>
                <w:b/>
              </w:rPr>
            </w:r>
          </w:p>
        </w:tc>
        <w:tc>
          <w:tcPr>
            <w:tcW w:type="dxa" w:w="8306"/>
            <w:tcBorders/>
            <w:shd w:fill="auto" w:val="clear"/>
            <w:tcMar>
              <w:top w:type="dxa" w:w="0"/>
              <w:left w:type="dxa" w:w="0"/>
              <w:bottom w:type="dxa" w:w="0"/>
              <w:right w:type="dxa" w:w="0"/>
            </w:tcMar>
          </w:tcPr>
          <w:p>
            <w:pPr>
              <w:pStyle w:val="style156"/>
              <w:pBdr/>
              <w:spacing w:after="0" w:before="0"/>
              <w:ind w:hanging="0" w:left="0" w:right="0"/>
            </w:pPr>
            <w:r>
              <w:rPr/>
            </w:r>
          </w:p>
        </w:tc>
      </w:tr>
    </w:tbl>
    <w:p>
      <w:pPr>
        <w:pStyle w:val="style0"/>
        <w:widowControl w:val="false"/>
        <w:tabs>
          <w:tab w:leader="none" w:pos="720" w:val="left"/>
        </w:tabs>
        <w:spacing w:line="360" w:lineRule="auto"/>
        <w:ind w:hanging="0" w:left="0" w:right="29"/>
        <w:jc w:val="center"/>
      </w:pPr>
      <w:r>
        <w:rPr>
          <w:rFonts w:eastAsia="Calibri"/>
          <w:b/>
          <w:bCs/>
          <w:iCs/>
          <w:color w:val="000000"/>
          <w:sz w:val="22"/>
          <w:szCs w:val="22"/>
        </w:rPr>
        <w:t>PUNJAB AGRICULTURAL UNIVERSITY, LUDHIANA</w:t>
      </w:r>
    </w:p>
    <w:p>
      <w:pPr>
        <w:pStyle w:val="style0"/>
        <w:widowControl w:val="false"/>
        <w:tabs>
          <w:tab w:leader="none" w:pos="720" w:val="left"/>
        </w:tabs>
        <w:spacing w:line="480" w:lineRule="auto"/>
        <w:ind w:hanging="0" w:left="0" w:right="29"/>
        <w:jc w:val="center"/>
      </w:pPr>
      <w:r>
        <w:rPr>
          <w:rFonts w:eastAsia="Calibri"/>
          <w:b/>
          <w:bCs/>
          <w:iCs/>
          <w:color w:val="000000"/>
          <w:sz w:val="22"/>
          <w:szCs w:val="22"/>
        </w:rPr>
        <w:t>Synopsis of Thesis Problem of Postgraduate Student: Integrated M.Sc. (Hons.)</w:t>
      </w:r>
    </w:p>
    <w:p>
      <w:pPr>
        <w:pStyle w:val="style0"/>
        <w:widowControl w:val="false"/>
        <w:tabs>
          <w:tab w:leader="none" w:pos="720" w:val="left"/>
        </w:tabs>
        <w:spacing w:line="360" w:lineRule="auto"/>
        <w:ind w:hanging="0" w:left="0" w:right="29"/>
        <w:jc w:val="both"/>
      </w:pPr>
      <w:r>
        <w:rPr>
          <w:sz w:val="22"/>
          <w:szCs w:val="22"/>
        </w:rPr>
        <w:t xml:space="preserve">Name of the Student: KAMALPREET KAUR     </w:t>
        <w:tab/>
        <w:tab/>
        <w:t>Admission No. : L-2011-BS-12-IM</w:t>
      </w:r>
    </w:p>
    <w:p>
      <w:pPr>
        <w:pStyle w:val="style0"/>
        <w:widowControl w:val="false"/>
        <w:tabs>
          <w:tab w:leader="none" w:pos="720" w:val="left"/>
        </w:tabs>
        <w:spacing w:line="360" w:lineRule="auto"/>
        <w:ind w:hanging="0" w:left="0" w:right="29"/>
        <w:jc w:val="both"/>
      </w:pPr>
      <w:r>
        <w:rPr>
          <w:sz w:val="22"/>
          <w:szCs w:val="22"/>
        </w:rPr>
        <w:t>Major Subject</w:t>
        <w:tab/>
        <w:t xml:space="preserve">       : Microbiology                                  </w:t>
        <w:tab/>
        <w:t xml:space="preserve"> Minor Subject: Biochemistry</w:t>
      </w:r>
    </w:p>
    <w:p>
      <w:pPr>
        <w:pStyle w:val="style0"/>
        <w:widowControl w:val="false"/>
        <w:tabs>
          <w:tab w:leader="none" w:pos="720" w:val="left"/>
        </w:tabs>
        <w:spacing w:line="480" w:lineRule="auto"/>
        <w:ind w:hanging="0" w:left="0" w:right="29"/>
        <w:jc w:val="both"/>
      </w:pPr>
      <w:r>
        <w:rPr>
          <w:sz w:val="22"/>
          <w:szCs w:val="22"/>
        </w:rPr>
        <w:t>Major Advisor         : Dr. (Mrs.) Param Pal Sahota</w:t>
      </w:r>
    </w:p>
    <w:p>
      <w:pPr>
        <w:pStyle w:val="style148"/>
        <w:widowControl w:val="false"/>
        <w:tabs>
          <w:tab w:leader="none" w:pos="720" w:val="left"/>
        </w:tabs>
        <w:spacing w:line="360" w:lineRule="auto"/>
        <w:ind w:hanging="0" w:left="0" w:right="29"/>
        <w:jc w:val="both"/>
      </w:pPr>
      <w:r>
        <w:rPr>
          <w:rFonts w:eastAsia="Calibri"/>
          <w:b/>
          <w:bCs/>
          <w:iCs/>
          <w:color w:val="000000"/>
          <w:sz w:val="22"/>
          <w:szCs w:val="22"/>
        </w:rPr>
        <w:t xml:space="preserve">1.   Title  </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jc w:val="both"/>
      </w:pPr>
      <w:r>
        <w:rPr>
          <w:rFonts w:eastAsia="Calibri"/>
          <w:bCs/>
          <w:iCs/>
          <w:color w:val="000000"/>
          <w:sz w:val="22"/>
          <w:szCs w:val="22"/>
        </w:rPr>
        <w:tab/>
        <w:t xml:space="preserve">PREVALENCE </w:t>
      </w:r>
      <w:r>
        <w:rPr>
          <w:rFonts w:eastAsia="Calibri"/>
          <w:iCs/>
          <w:color w:val="000000"/>
          <w:sz w:val="22"/>
          <w:szCs w:val="22"/>
        </w:rPr>
        <w:t xml:space="preserve">OF </w:t>
      </w:r>
      <w:r>
        <w:rPr>
          <w:rFonts w:eastAsia="Calibri"/>
          <w:i/>
          <w:iCs/>
          <w:color w:val="000000"/>
          <w:sz w:val="22"/>
          <w:szCs w:val="22"/>
        </w:rPr>
        <w:t xml:space="preserve">AEROMONAS </w:t>
      </w:r>
      <w:r>
        <w:rPr>
          <w:rFonts w:eastAsia="Calibri"/>
          <w:i/>
          <w:iCs/>
          <w:color w:val="000000"/>
          <w:sz w:val="22"/>
          <w:szCs w:val="22"/>
          <w:lang w:val="en-IN"/>
        </w:rPr>
        <w:t xml:space="preserve">HYDROPHILA  </w:t>
      </w:r>
      <w:r>
        <w:rPr>
          <w:rFonts w:eastAsia="Calibri"/>
          <w:i w:val="false"/>
          <w:iCs w:val="false"/>
          <w:color w:val="000000"/>
          <w:sz w:val="22"/>
          <w:szCs w:val="22"/>
          <w:lang w:val="en-IN"/>
        </w:rPr>
        <w:t xml:space="preserve">IN </w:t>
      </w:r>
      <w:r>
        <w:rPr>
          <w:rFonts w:eastAsia="Calibri"/>
          <w:color w:val="000000"/>
          <w:sz w:val="22"/>
          <w:szCs w:val="22"/>
          <w:lang w:val="en-IN"/>
        </w:rPr>
        <w:t>SALAD VEGETABLES</w:t>
      </w:r>
    </w:p>
    <w:p>
      <w:pPr>
        <w:pStyle w:val="style148"/>
        <w:widowControl w:val="false"/>
        <w:tabs>
          <w:tab w:leader="none" w:pos="720" w:val="left"/>
        </w:tabs>
        <w:spacing w:line="360" w:lineRule="auto"/>
        <w:ind w:hanging="0" w:left="0" w:right="29"/>
        <w:jc w:val="both"/>
      </w:pPr>
      <w:r>
        <w:rPr>
          <w:b/>
          <w:bCs/>
          <w:sz w:val="22"/>
          <w:szCs w:val="22"/>
        </w:rPr>
        <w:t xml:space="preserve">2.  Introduction </w:t>
      </w:r>
    </w:p>
    <w:p>
      <w:pPr>
        <w:pStyle w:val="style0"/>
        <w:widowControl w:val="false"/>
        <w:tabs>
          <w:tab w:leader="none" w:pos="720" w:val="left"/>
        </w:tabs>
        <w:spacing w:line="360" w:lineRule="auto"/>
        <w:ind w:hanging="0" w:left="0" w:right="29"/>
        <w:jc w:val="both"/>
      </w:pPr>
      <w:r>
        <w:rPr>
          <w:color w:val="000000"/>
          <w:sz w:val="22"/>
          <w:szCs w:val="22"/>
          <w:shd w:fill="FFFFFF" w:val="clear"/>
        </w:rPr>
        <w:tab/>
        <w:t xml:space="preserve">Fresh produce is popular worldwide because it is recognized as an important source of nutrients, vitamins and fibre for humans. Vegetables are an important part of the daily diet and average family in Punjab takes about 388.8g vegetables as daily dietary intake </w:t>
      </w:r>
      <w:r>
        <w:rPr>
          <w:sz w:val="22"/>
          <w:szCs w:val="22"/>
          <w:shd w:fill="FFFFFF" w:val="clear"/>
        </w:rPr>
        <w:t>(Bains and Shruti 2007</w:t>
      </w:r>
      <w:r>
        <w:rPr>
          <w:color w:val="000000"/>
          <w:sz w:val="22"/>
          <w:szCs w:val="22"/>
          <w:shd w:fill="FFFFFF" w:val="clear"/>
        </w:rPr>
        <w:t xml:space="preserve">).  In urban areas, almost 38 per cent of vegetables intake is consumed as raw, whereas in rural areas 15 per cent of the vegetables are consumed raw.  However, the quality of vegetables in terms of bacterial load is a matter of concern.  It has been well established that food-borne bacterial pathogens use plants as vectors between animal hosts, all the while following the life cycle script of plant-associated bacteria. Similar to phytobacteria, </w:t>
      </w:r>
      <w:r>
        <w:rPr>
          <w:i/>
          <w:iCs/>
          <w:color w:val="000000"/>
          <w:sz w:val="22"/>
          <w:szCs w:val="22"/>
          <w:shd w:fill="FFFFFF" w:val="clear"/>
        </w:rPr>
        <w:t>Aeromonas,</w:t>
      </w:r>
      <w:r>
        <w:rPr>
          <w:color w:val="000000"/>
          <w:sz w:val="22"/>
          <w:szCs w:val="22"/>
          <w:shd w:fill="FFFFFF" w:val="clear"/>
        </w:rPr>
        <w:t xml:space="preserve"> </w:t>
      </w:r>
      <w:r>
        <w:rPr>
          <w:i/>
          <w:color w:val="000000"/>
          <w:sz w:val="22"/>
          <w:szCs w:val="22"/>
          <w:shd w:fill="FFFFFF" w:val="clear"/>
        </w:rPr>
        <w:t>Salmonella</w:t>
      </w:r>
      <w:r>
        <w:rPr>
          <w:color w:val="000000"/>
          <w:sz w:val="22"/>
          <w:szCs w:val="22"/>
          <w:shd w:fill="FFFFFF" w:val="clear"/>
        </w:rPr>
        <w:t xml:space="preserve">, pathogenic </w:t>
      </w:r>
      <w:r>
        <w:rPr>
          <w:i/>
          <w:color w:val="000000"/>
          <w:sz w:val="22"/>
          <w:szCs w:val="22"/>
          <w:shd w:fill="FFFFFF" w:val="clear"/>
        </w:rPr>
        <w:t>Escherichia</w:t>
      </w:r>
      <w:r>
        <w:rPr>
          <w:color w:val="000000"/>
          <w:sz w:val="22"/>
          <w:szCs w:val="22"/>
          <w:shd w:fill="FFFFFF" w:val="clear"/>
        </w:rPr>
        <w:t xml:space="preserve"> </w:t>
      </w:r>
      <w:r>
        <w:rPr>
          <w:i/>
          <w:color w:val="000000"/>
          <w:sz w:val="22"/>
          <w:szCs w:val="22"/>
          <w:shd w:fill="FFFFFF" w:val="clear"/>
        </w:rPr>
        <w:t>coli</w:t>
      </w:r>
      <w:r>
        <w:rPr>
          <w:color w:val="000000"/>
          <w:sz w:val="22"/>
          <w:szCs w:val="22"/>
          <w:shd w:fill="FFFFFF" w:val="clear"/>
        </w:rPr>
        <w:t xml:space="preserve">, and cross-domain pathogens have a foothold in agricultural production areas. The commonality of environmental contamination translates to contact with plants. Absence of kill steps against human pathogens for the fresh produce, arrival on plants leads to persistence and the risk of human illness. </w:t>
      </w:r>
    </w:p>
    <w:p>
      <w:pPr>
        <w:pStyle w:val="style0"/>
        <w:widowControl w:val="false"/>
        <w:tabs>
          <w:tab w:leader="none" w:pos="720" w:val="left"/>
        </w:tabs>
        <w:spacing w:line="360" w:lineRule="auto"/>
        <w:ind w:hanging="0" w:left="0" w:right="29"/>
        <w:jc w:val="both"/>
      </w:pPr>
      <w:r>
        <w:rPr>
          <w:sz w:val="22"/>
          <w:szCs w:val="22"/>
        </w:rPr>
        <w:tab/>
        <w:t xml:space="preserve">Since most fresh produce receives minimal processing and is often eaten raw, pathogen contamination can present serious health risk. Further cutting, slicing or peeling cause tissue damage which releases nutrients and facilitates growth of microorganisms (Harris </w:t>
      </w:r>
      <w:r>
        <w:rPr>
          <w:i/>
          <w:sz w:val="22"/>
          <w:szCs w:val="22"/>
        </w:rPr>
        <w:t>et al</w:t>
      </w:r>
      <w:r>
        <w:rPr>
          <w:sz w:val="22"/>
          <w:szCs w:val="22"/>
        </w:rPr>
        <w:t xml:space="preserve"> 2003). </w:t>
      </w:r>
    </w:p>
    <w:p>
      <w:pPr>
        <w:pStyle w:val="style149"/>
        <w:widowControl w:val="false"/>
        <w:tabs>
          <w:tab w:leader="none" w:pos="720" w:val="left"/>
        </w:tabs>
        <w:spacing w:line="360" w:lineRule="auto"/>
        <w:ind w:hanging="0" w:left="0" w:right="29"/>
        <w:jc w:val="both"/>
      </w:pPr>
      <w:r>
        <w:rPr>
          <w:rFonts w:ascii="Times New Roman" w:hAnsi="Times New Roman"/>
        </w:rPr>
        <w:tab/>
        <w:t>The occurrence of foodborne illness from contaminated fresh produce challenged the belief that such disease was linked to the consumption of foods of animal origin, including meat, poultry, eggs, and milk. Early epidemiological investigations of produce as a source of infection were triggered mostly by the increased isolation of a rare species or serovar of enteric pathogens from clinical patients; thus, outbreaks from common types of pathogens may have remained undetected (Tauxe 1997). Since the early 1990s, awareness of the potential of fresh produce to cause foodborne disease has increased, and reported outbreaks associated with this commodity have grown steadily (</w:t>
      </w:r>
      <w:r>
        <w:rPr>
          <w:rFonts w:ascii="Times New Roman" w:hAnsi="Times New Roman"/>
          <w:color w:val="231F20"/>
        </w:rPr>
        <w:t>Sivapalasingam 2004</w:t>
      </w:r>
      <w:r>
        <w:rPr>
          <w:rFonts w:ascii="Times New Roman" w:hAnsi="Times New Roman"/>
        </w:rPr>
        <w:t xml:space="preserve">). Several studies have demonstrated the presence of foodborne pathogenic bacteria on crops grown in soil to which naturally or artificially contaminated manure was applied (Solomon and Matthews 2006). Besides the health risk associated with plant inhabiting, water carried pathogens such as </w:t>
      </w:r>
      <w:r>
        <w:rPr>
          <w:rFonts w:ascii="Times New Roman" w:hAnsi="Times New Roman"/>
          <w:i/>
          <w:iCs/>
        </w:rPr>
        <w:t>Aeromonas</w:t>
      </w:r>
      <w:r>
        <w:rPr>
          <w:rFonts w:ascii="Times New Roman" w:hAnsi="Times New Roman"/>
        </w:rPr>
        <w:t xml:space="preserve"> have also gained importance in recent years.</w:t>
      </w:r>
    </w:p>
    <w:p>
      <w:pPr>
        <w:pStyle w:val="style149"/>
        <w:widowControl w:val="false"/>
        <w:tabs>
          <w:tab w:leader="none" w:pos="720" w:val="left"/>
        </w:tabs>
        <w:spacing w:line="360" w:lineRule="auto"/>
        <w:ind w:hanging="0" w:left="0" w:right="29"/>
        <w:jc w:val="both"/>
      </w:pPr>
      <w:r>
        <w:rPr>
          <w:rFonts w:ascii="Times New Roman" w:hAnsi="Times New Roman"/>
        </w:rPr>
        <w:tab/>
        <w:t xml:space="preserve">Aeromonas species are widely distributes in aquatic environment, including raw and processed drinking water (Yigal </w:t>
      </w:r>
      <w:r>
        <w:rPr>
          <w:rFonts w:ascii="Times New Roman" w:hAnsi="Times New Roman"/>
          <w:i/>
        </w:rPr>
        <w:t>et al</w:t>
      </w:r>
      <w:r>
        <w:rPr>
          <w:rFonts w:ascii="Times New Roman" w:hAnsi="Times New Roman"/>
        </w:rPr>
        <w:t xml:space="preserve"> 2012), and have been frequently isolated from various food products such as fish and shellfish, raw meat, vegetables and raw milk (Maria Elena </w:t>
      </w:r>
      <w:r>
        <w:rPr>
          <w:rFonts w:ascii="Times New Roman" w:hAnsi="Times New Roman"/>
          <w:i/>
          <w:iCs/>
        </w:rPr>
        <w:t xml:space="preserve">et al., </w:t>
      </w:r>
      <w:r>
        <w:rPr>
          <w:rFonts w:ascii="Times New Roman" w:hAnsi="Times New Roman"/>
        </w:rPr>
        <w:t xml:space="preserve">2013). Motile aeromonads are considered as emerging food borne pathogen because it was shown that some </w:t>
      </w:r>
      <w:r>
        <w:rPr>
          <w:rFonts w:ascii="Times New Roman" w:hAnsi="Times New Roman"/>
          <w:i/>
          <w:iCs/>
        </w:rPr>
        <w:t>Aeromonas</w:t>
      </w:r>
      <w:r>
        <w:rPr>
          <w:rFonts w:ascii="Times New Roman" w:hAnsi="Times New Roman"/>
        </w:rPr>
        <w:t xml:space="preserve"> isolates can produce different virulence facors, not only at optimal growth temperature, but also at referigeration temperature. </w:t>
      </w:r>
      <w:r>
        <w:rPr>
          <w:rFonts w:ascii="Times New Roman" w:hAnsi="Times New Roman"/>
          <w:i/>
        </w:rPr>
        <w:t>Aeromonas hydrophila</w:t>
      </w:r>
      <w:r>
        <w:rPr>
          <w:rFonts w:ascii="Times New Roman" w:hAnsi="Times New Roman"/>
        </w:rPr>
        <w:t xml:space="preserve"> is commonly involved in causing human infections such as septicemia, gastroenteritis and cellulitis, wound sepsis with necrosis, gangrene, as well as pneumonia and traveler’s diarrhea normally resulting from handling and consumption of contaminated food (Hawraa Natiq </w:t>
      </w:r>
      <w:r>
        <w:rPr>
          <w:rFonts w:ascii="Times New Roman" w:hAnsi="Times New Roman"/>
          <w:i/>
          <w:iCs/>
        </w:rPr>
        <w:t xml:space="preserve">et al </w:t>
      </w:r>
      <w:r>
        <w:rPr>
          <w:rFonts w:ascii="Times New Roman" w:hAnsi="Times New Roman"/>
        </w:rPr>
        <w:t xml:space="preserve">2013). </w:t>
      </w:r>
      <w:r>
        <w:rPr>
          <w:rFonts w:ascii="Times New Roman" w:hAnsi="Times New Roman"/>
          <w:i/>
        </w:rPr>
        <w:t>A. hydrophila</w:t>
      </w:r>
      <w:r>
        <w:rPr>
          <w:rFonts w:ascii="Times New Roman" w:hAnsi="Times New Roman"/>
        </w:rPr>
        <w:t xml:space="preserve"> secretes several extracellular proteins including enterotoxin, hemolysin and aerolysin that are associated with the bacterial virulence factors (Puttalingama </w:t>
      </w:r>
      <w:r>
        <w:rPr>
          <w:rFonts w:ascii="Times New Roman" w:hAnsi="Times New Roman"/>
          <w:i/>
          <w:iCs/>
        </w:rPr>
        <w:t xml:space="preserve">et al </w:t>
      </w:r>
      <w:r>
        <w:rPr>
          <w:rFonts w:ascii="Times New Roman" w:hAnsi="Times New Roman"/>
        </w:rPr>
        <w:t xml:space="preserve">2013). </w:t>
      </w:r>
    </w:p>
    <w:p>
      <w:pPr>
        <w:pStyle w:val="style149"/>
        <w:widowControl w:val="false"/>
        <w:tabs>
          <w:tab w:leader="none" w:pos="720" w:val="left"/>
        </w:tabs>
        <w:spacing w:line="360" w:lineRule="auto"/>
        <w:ind w:hanging="0" w:left="0" w:right="29"/>
        <w:jc w:val="both"/>
      </w:pPr>
      <w:r>
        <w:rPr>
          <w:rFonts w:ascii="Times New Roman" w:hAnsi="Times New Roman"/>
        </w:rPr>
        <w:tab/>
        <w:t xml:space="preserve">Epidemics of foodborne disease are not only a threat to public health but also erode consumer confidence in the causal food product and thus, impact the economic viability of the industry. A recent report by the Centers for Disease Control and Prevention, USA which revealed that contaminated produce caused 46% of the individual cases of foodborne illness in the United States between 1998 and </w:t>
      </w:r>
      <w:r>
        <w:rPr>
          <w:rFonts w:ascii="Times New Roman" w:hAnsi="Times New Roman"/>
          <w:color w:val="000000"/>
        </w:rPr>
        <w:t xml:space="preserve">2008 </w:t>
      </w:r>
      <w:r>
        <w:rPr>
          <w:rFonts w:ascii="Times New Roman" w:hAnsi="Times New Roman"/>
        </w:rPr>
        <w:t xml:space="preserve">confirmed that the risk of acquiring infections from produce is high and persisting despite increased awareness and prevention measures taken by producers and processors </w:t>
      </w:r>
      <w:r>
        <w:rPr>
          <w:rFonts w:ascii="Times New Roman" w:hAnsi="Times New Roman"/>
          <w:color w:val="000000"/>
        </w:rPr>
        <w:t xml:space="preserve">(Painter </w:t>
      </w:r>
      <w:r>
        <w:rPr>
          <w:rFonts w:ascii="Times New Roman" w:hAnsi="Times New Roman"/>
          <w:i/>
          <w:color w:val="000000"/>
        </w:rPr>
        <w:t>et al</w:t>
      </w:r>
      <w:r>
        <w:rPr>
          <w:rFonts w:ascii="Times New Roman" w:hAnsi="Times New Roman"/>
          <w:color w:val="000000"/>
        </w:rPr>
        <w:t xml:space="preserve"> 2013)</w:t>
      </w:r>
      <w:r>
        <w:rPr>
          <w:rFonts w:ascii="Times New Roman" w:hAnsi="Times New Roman"/>
        </w:rPr>
        <w:t>.Fresh-cut fruits and vegetables are no longer considered low risk in terms of food safety. Recently, a number of outbreaks have been traced to fresh-cut fruits and vegetables that were processed under less than sanitary conditions. It is well known that disinfection is on of the most critical processing steps in fresh-cut vegetable production, affecting the quality, safety and shelf-life of the end product. Washing is designed to remove dirt, pesticide residues and microorganisms responsible for quality loss.</w:t>
      </w:r>
    </w:p>
    <w:p>
      <w:pPr>
        <w:pStyle w:val="style149"/>
        <w:widowControl w:val="false"/>
        <w:tabs>
          <w:tab w:leader="none" w:pos="720" w:val="left"/>
        </w:tabs>
        <w:spacing w:line="360" w:lineRule="auto"/>
        <w:ind w:hanging="0" w:left="0" w:right="29"/>
        <w:jc w:val="both"/>
      </w:pPr>
      <w:r>
        <w:rPr>
          <w:rFonts w:ascii="Times New Roman" w:hAnsi="Times New Roman"/>
        </w:rPr>
        <w:tab/>
        <w:t xml:space="preserve">In a study conducted in Tamil Nadu, India, on  the virulent strains of motile </w:t>
      </w:r>
      <w:r>
        <w:rPr>
          <w:rFonts w:ascii="Times New Roman" w:hAnsi="Times New Roman"/>
          <w:i/>
          <w:iCs/>
        </w:rPr>
        <w:t>Aeromonas</w:t>
      </w:r>
      <w:r>
        <w:rPr>
          <w:rFonts w:ascii="Times New Roman" w:hAnsi="Times New Roman"/>
        </w:rPr>
        <w:t xml:space="preserve"> from commercial food products, a total of 389 food samples were aseptically collected throughout the year and processed for the isolation and identification of motile </w:t>
      </w:r>
      <w:r>
        <w:rPr>
          <w:rFonts w:ascii="Times New Roman" w:hAnsi="Times New Roman"/>
          <w:i/>
          <w:iCs/>
        </w:rPr>
        <w:t xml:space="preserve">Aeromonas </w:t>
      </w:r>
      <w:r>
        <w:rPr>
          <w:rFonts w:ascii="Times New Roman" w:hAnsi="Times New Roman"/>
        </w:rPr>
        <w:t xml:space="preserve">by performing array of morphological, biochemicaland phenotypical tests, along with their virulence determination of polymerase chain reaction. A total of 72(18.50%) tenative isolates of  </w:t>
      </w:r>
      <w:r>
        <w:rPr>
          <w:rFonts w:ascii="Times New Roman" w:hAnsi="Times New Roman"/>
          <w:i/>
          <w:iCs/>
        </w:rPr>
        <w:t xml:space="preserve">Aeromonas </w:t>
      </w:r>
      <w:r>
        <w:rPr>
          <w:rFonts w:ascii="Times New Roman" w:hAnsi="Times New Roman"/>
        </w:rPr>
        <w:t xml:space="preserve">were identified as  </w:t>
      </w:r>
      <w:bookmarkStart w:id="0" w:name="__DdeLink__1031_1289235729"/>
      <w:r>
        <w:rPr>
          <w:rFonts w:ascii="Times New Roman" w:hAnsi="Times New Roman"/>
          <w:i/>
          <w:iCs/>
        </w:rPr>
        <w:t>A. hydrophila</w:t>
      </w:r>
      <w:bookmarkEnd w:id="0"/>
      <w:r>
        <w:rPr>
          <w:rFonts w:ascii="Times New Roman" w:hAnsi="Times New Roman"/>
          <w:i/>
          <w:iCs/>
        </w:rPr>
        <w:t xml:space="preserve"> </w:t>
      </w:r>
      <w:r>
        <w:rPr>
          <w:rFonts w:ascii="Times New Roman" w:hAnsi="Times New Roman"/>
        </w:rPr>
        <w:t xml:space="preserve">38 (52.77%). In duplex PCR, extracellular haemolysin gene (ahh1) was detected from 55.26% </w:t>
      </w:r>
      <w:r>
        <w:rPr>
          <w:rFonts w:ascii="Times New Roman" w:hAnsi="Times New Roman"/>
          <w:i/>
          <w:iCs/>
        </w:rPr>
        <w:t>A. hydrophila</w:t>
      </w:r>
      <w:r>
        <w:rPr>
          <w:rFonts w:ascii="Times New Roman" w:hAnsi="Times New Roman"/>
        </w:rPr>
        <w:t xml:space="preserve">, whereas </w:t>
      </w:r>
      <w:r>
        <w:rPr>
          <w:rFonts w:ascii="Times New Roman" w:hAnsi="Times New Roman"/>
          <w:i/>
          <w:iCs/>
        </w:rPr>
        <w:t xml:space="preserve">A. hydrophila </w:t>
      </w:r>
      <w:r>
        <w:rPr>
          <w:rFonts w:ascii="Times New Roman" w:hAnsi="Times New Roman"/>
        </w:rPr>
        <w:t xml:space="preserve">aerolysin gene (aerA) gene was detected along with the ahh1 genes in 68.42% isolates of </w:t>
      </w:r>
      <w:r>
        <w:rPr>
          <w:rFonts w:ascii="Times New Roman" w:hAnsi="Times New Roman"/>
          <w:i/>
          <w:iCs/>
        </w:rPr>
        <w:t xml:space="preserve">A. hydrophila. </w:t>
      </w:r>
      <w:r>
        <w:rPr>
          <w:rFonts w:ascii="Times New Roman" w:hAnsi="Times New Roman"/>
        </w:rPr>
        <w:t xml:space="preserve">Virulent strains of motile </w:t>
      </w:r>
      <w:r>
        <w:rPr>
          <w:rFonts w:ascii="Times New Roman" w:hAnsi="Times New Roman"/>
          <w:i/>
          <w:iCs/>
        </w:rPr>
        <w:t>A. hydrophila</w:t>
      </w:r>
      <w:r>
        <w:rPr>
          <w:rFonts w:ascii="Times New Roman" w:hAnsi="Times New Roman"/>
        </w:rPr>
        <w:t xml:space="preserve"> in human consumbale food and food products impending a high risk of foodborne illness (Arunava Das </w:t>
      </w:r>
      <w:r>
        <w:rPr>
          <w:rFonts w:ascii="Times New Roman" w:hAnsi="Times New Roman"/>
          <w:i/>
          <w:iCs/>
        </w:rPr>
        <w:t>et al</w:t>
      </w:r>
      <w:r>
        <w:rPr>
          <w:rFonts w:ascii="Times New Roman" w:hAnsi="Times New Roman"/>
        </w:rPr>
        <w:t xml:space="preserve"> 2013).</w:t>
      </w:r>
    </w:p>
    <w:p>
      <w:pPr>
        <w:pStyle w:val="style149"/>
        <w:widowControl w:val="false"/>
        <w:tabs>
          <w:tab w:leader="none" w:pos="720" w:val="left"/>
        </w:tabs>
        <w:spacing w:line="360" w:lineRule="auto"/>
        <w:ind w:hanging="0" w:left="0" w:right="29"/>
        <w:jc w:val="both"/>
      </w:pPr>
      <w:r>
        <w:rPr>
          <w:rFonts w:ascii="Times New Roman" w:hAnsi="Times New Roman"/>
          <w:bCs/>
        </w:rPr>
        <w:tab/>
        <w:t xml:space="preserve">Traditional biochemical and immunochemical methods for the detection of  microorganisms  in food  have  been  supplemented  by  a  number  of  DNA based  methods  during. Multiplex PCR based detection technique save time and minimize the expense on detection of food  borne  pathogens  (Bottero </w:t>
      </w:r>
      <w:r>
        <w:rPr>
          <w:rFonts w:ascii="Times New Roman" w:hAnsi="Times New Roman"/>
          <w:bCs/>
          <w:i/>
        </w:rPr>
        <w:t>et al</w:t>
      </w:r>
      <w:r>
        <w:rPr>
          <w:rFonts w:ascii="Times New Roman" w:hAnsi="Times New Roman"/>
          <w:bCs/>
        </w:rPr>
        <w:t xml:space="preserve"> 2004). </w:t>
      </w:r>
    </w:p>
    <w:p>
      <w:pPr>
        <w:pStyle w:val="style149"/>
        <w:widowControl w:val="false"/>
        <w:tabs>
          <w:tab w:leader="none" w:pos="720" w:val="left"/>
        </w:tabs>
        <w:spacing w:line="360" w:lineRule="auto"/>
        <w:ind w:hanging="0" w:left="0" w:right="29"/>
        <w:jc w:val="both"/>
      </w:pPr>
      <w:r>
        <w:rPr>
          <w:rFonts w:ascii="Times New Roman" w:hAnsi="Times New Roman"/>
          <w:bCs/>
        </w:rPr>
        <w:tab/>
        <w:t xml:space="preserve">So, objective of this study is molecular characterization of indigenous isolates of </w:t>
      </w:r>
      <w:r>
        <w:rPr>
          <w:rFonts w:ascii="Times New Roman" w:hAnsi="Times New Roman"/>
          <w:bCs/>
          <w:i/>
          <w:iCs/>
        </w:rPr>
        <w:t>Aeromonas hydrophila</w:t>
      </w:r>
      <w:r>
        <w:rPr>
          <w:rFonts w:ascii="Times New Roman" w:hAnsi="Times New Roman"/>
          <w:bCs/>
        </w:rPr>
        <w:t xml:space="preserve"> from salad vegetables and use of chemical disinfectants for public health appraisal. </w:t>
      </w:r>
    </w:p>
    <w:p>
      <w:pPr>
        <w:pStyle w:val="style149"/>
        <w:widowControl w:val="false"/>
        <w:tabs>
          <w:tab w:leader="none" w:pos="720" w:val="left"/>
        </w:tabs>
        <w:spacing w:line="360" w:lineRule="auto"/>
        <w:ind w:hanging="0" w:left="0" w:right="29"/>
        <w:jc w:val="both"/>
      </w:pPr>
      <w:r>
        <w:rPr/>
      </w:r>
    </w:p>
    <w:p>
      <w:pPr>
        <w:pStyle w:val="style149"/>
        <w:widowControl w:val="false"/>
        <w:tabs>
          <w:tab w:leader="none" w:pos="720" w:val="left"/>
        </w:tabs>
        <w:spacing w:line="360" w:lineRule="auto"/>
        <w:ind w:hanging="0" w:left="0" w:right="29"/>
        <w:jc w:val="both"/>
      </w:pPr>
      <w:r>
        <w:rPr>
          <w:rFonts w:ascii="Times New Roman" w:hAnsi="Times New Roman"/>
          <w:b/>
          <w:bCs/>
        </w:rPr>
        <w:t>Knowledge gaps</w:t>
      </w:r>
    </w:p>
    <w:p>
      <w:pPr>
        <w:pStyle w:val="style149"/>
        <w:widowControl w:val="false"/>
        <w:tabs>
          <w:tab w:leader="none" w:pos="720" w:val="left"/>
        </w:tabs>
        <w:spacing w:line="360" w:lineRule="auto"/>
        <w:ind w:hanging="0" w:left="0" w:right="29"/>
        <w:jc w:val="both"/>
      </w:pPr>
      <w:r>
        <w:rPr>
          <w:rFonts w:ascii="Times New Roman" w:hAnsi="Times New Roman"/>
        </w:rPr>
        <w:t xml:space="preserve">Database regarding the prevalence of virulent strains </w:t>
      </w:r>
      <w:r>
        <w:rPr>
          <w:rFonts w:ascii="Times New Roman" w:hAnsi="Times New Roman"/>
          <w:i/>
          <w:iCs/>
        </w:rPr>
        <w:t>Aeromonas</w:t>
      </w:r>
      <w:r>
        <w:rPr>
          <w:rFonts w:ascii="Times New Roman" w:hAnsi="Times New Roman"/>
        </w:rPr>
        <w:t xml:space="preserve"> </w:t>
      </w:r>
      <w:r>
        <w:rPr>
          <w:rFonts w:ascii="Times New Roman" w:hAnsi="Times New Roman"/>
          <w:i/>
          <w:iCs/>
        </w:rPr>
        <w:t>hydrophila</w:t>
      </w:r>
      <w:r>
        <w:rPr>
          <w:rFonts w:ascii="Times New Roman" w:hAnsi="Times New Roman"/>
        </w:rPr>
        <w:t xml:space="preserve"> in salad vegetables is lacking.</w:t>
      </w:r>
    </w:p>
    <w:p>
      <w:pPr>
        <w:pStyle w:val="style149"/>
        <w:widowControl w:val="false"/>
        <w:tabs>
          <w:tab w:leader="none" w:pos="720" w:val="left"/>
        </w:tabs>
        <w:spacing w:line="360" w:lineRule="auto"/>
        <w:ind w:hanging="0" w:left="0" w:right="29"/>
        <w:jc w:val="both"/>
      </w:pPr>
      <w:r>
        <w:rPr>
          <w:rFonts w:ascii="Times New Roman" w:hAnsi="Times New Roman"/>
          <w:b/>
        </w:rPr>
        <w:t>Objectives</w:t>
      </w:r>
    </w:p>
    <w:p>
      <w:pPr>
        <w:pStyle w:val="style149"/>
        <w:widowControl w:val="false"/>
        <w:tabs>
          <w:tab w:leader="none" w:pos="720" w:val="left"/>
        </w:tabs>
        <w:spacing w:line="360" w:lineRule="auto"/>
        <w:ind w:hanging="0" w:left="0" w:right="29"/>
        <w:jc w:val="both"/>
      </w:pPr>
      <w:r>
        <w:rPr>
          <w:rFonts w:ascii="Times New Roman" w:hAnsi="Times New Roman"/>
        </w:rPr>
        <w:t>The present study is planned with the following objectives:</w:t>
      </w:r>
    </w:p>
    <w:p>
      <w:pPr>
        <w:pStyle w:val="style149"/>
        <w:widowControl w:val="false"/>
        <w:numPr>
          <w:ilvl w:val="0"/>
          <w:numId w:val="7"/>
        </w:numPr>
        <w:tabs>
          <w:tab w:leader="none" w:pos="720" w:val="left"/>
        </w:tabs>
        <w:spacing w:line="360" w:lineRule="auto"/>
        <w:jc w:val="both"/>
      </w:pPr>
      <w:r>
        <w:rPr>
          <w:rFonts w:ascii="Times New Roman" w:hAnsi="Times New Roman"/>
          <w:color w:val="000000"/>
        </w:rPr>
        <w:t xml:space="preserve">To undertake epidemiological Surveillance of </w:t>
      </w:r>
      <w:r>
        <w:rPr>
          <w:rFonts w:ascii="Times New Roman" w:hAnsi="Times New Roman"/>
          <w:i/>
          <w:iCs/>
          <w:color w:val="000000"/>
        </w:rPr>
        <w:t xml:space="preserve">Aeromonas </w:t>
      </w:r>
      <w:r>
        <w:rPr>
          <w:rFonts w:ascii="Times New Roman" w:hAnsi="Times New Roman"/>
          <w:i w:val="false"/>
          <w:iCs w:val="false"/>
          <w:color w:val="000000"/>
        </w:rPr>
        <w:t>strains</w:t>
      </w:r>
      <w:r>
        <w:rPr>
          <w:rFonts w:ascii="Times New Roman" w:hAnsi="Times New Roman"/>
          <w:color w:val="000000"/>
        </w:rPr>
        <w:t xml:space="preserve"> in salad vegetables.</w:t>
      </w:r>
    </w:p>
    <w:p>
      <w:pPr>
        <w:pStyle w:val="style149"/>
        <w:widowControl w:val="false"/>
        <w:numPr>
          <w:ilvl w:val="0"/>
          <w:numId w:val="7"/>
        </w:numPr>
        <w:tabs>
          <w:tab w:leader="none" w:pos="720" w:val="left"/>
        </w:tabs>
        <w:spacing w:line="360" w:lineRule="auto"/>
        <w:jc w:val="both"/>
      </w:pPr>
      <w:r>
        <w:rPr>
          <w:rFonts w:ascii="Times New Roman" w:hAnsi="Times New Roman"/>
        </w:rPr>
        <w:t xml:space="preserve">Biochemical and molecular characterization of the </w:t>
      </w:r>
      <w:r>
        <w:rPr>
          <w:rFonts w:ascii="Times New Roman" w:hAnsi="Times New Roman"/>
          <w:bCs/>
          <w:i/>
          <w:iCs/>
        </w:rPr>
        <w:t>Aeromonas</w:t>
      </w:r>
      <w:r>
        <w:rPr>
          <w:rFonts w:ascii="Times New Roman" w:hAnsi="Times New Roman"/>
          <w:bCs/>
        </w:rPr>
        <w:t xml:space="preserve"> </w:t>
      </w:r>
      <w:r>
        <w:rPr>
          <w:rFonts w:ascii="Times New Roman" w:hAnsi="Times New Roman"/>
          <w:bCs/>
          <w:i/>
          <w:iCs/>
        </w:rPr>
        <w:t>hydrophila.</w:t>
      </w:r>
    </w:p>
    <w:p>
      <w:pPr>
        <w:pStyle w:val="style149"/>
        <w:widowControl w:val="false"/>
        <w:tabs>
          <w:tab w:leader="none" w:pos="720" w:val="left"/>
        </w:tabs>
        <w:spacing w:line="360" w:lineRule="auto"/>
        <w:ind w:hanging="0" w:left="0" w:right="29"/>
        <w:jc w:val="both"/>
      </w:pPr>
      <w:r>
        <w:rPr>
          <w:rFonts w:ascii="Times New Roman" w:hAnsi="Times New Roman"/>
          <w:b/>
        </w:rPr>
        <w:t>3.  Expected new knowledge</w:t>
      </w:r>
    </w:p>
    <w:p>
      <w:pPr>
        <w:pStyle w:val="style149"/>
        <w:widowControl w:val="false"/>
        <w:tabs>
          <w:tab w:leader="none" w:pos="720" w:val="left"/>
        </w:tabs>
        <w:spacing w:line="360" w:lineRule="auto"/>
        <w:ind w:hanging="0" w:left="0" w:right="29"/>
        <w:jc w:val="both"/>
      </w:pPr>
      <w:r>
        <w:rPr>
          <w:rFonts w:ascii="Times New Roman" w:hAnsi="Times New Roman"/>
          <w:bCs/>
        </w:rPr>
        <w:t xml:space="preserve">The studies will provide detailed information on the: </w:t>
      </w:r>
    </w:p>
    <w:p>
      <w:pPr>
        <w:pStyle w:val="style149"/>
        <w:widowControl w:val="false"/>
        <w:tabs>
          <w:tab w:leader="none" w:pos="720" w:val="left"/>
        </w:tabs>
        <w:spacing w:line="360" w:lineRule="auto"/>
        <w:jc w:val="both"/>
      </w:pPr>
      <w:r>
        <w:rPr>
          <w:rFonts w:ascii="Times New Roman" w:hAnsi="Times New Roman"/>
          <w:bCs/>
        </w:rPr>
        <w:t xml:space="preserve"> </w:t>
      </w:r>
      <w:r>
        <w:rPr>
          <w:rFonts w:ascii="Times New Roman" w:hAnsi="Times New Roman"/>
          <w:bCs/>
        </w:rPr>
        <w:t xml:space="preserve">Prevalence and distribution of virulence factors of </w:t>
      </w:r>
      <w:r>
        <w:rPr>
          <w:rFonts w:ascii="Times New Roman" w:hAnsi="Times New Roman"/>
          <w:bCs/>
          <w:i/>
          <w:iCs/>
        </w:rPr>
        <w:t>Aeromonas</w:t>
      </w:r>
      <w:r>
        <w:rPr>
          <w:rFonts w:ascii="Times New Roman" w:hAnsi="Times New Roman"/>
          <w:bCs/>
        </w:rPr>
        <w:t xml:space="preserve"> </w:t>
      </w:r>
      <w:r>
        <w:rPr>
          <w:rFonts w:ascii="Times New Roman" w:hAnsi="Times New Roman"/>
          <w:bCs/>
          <w:i/>
          <w:iCs/>
        </w:rPr>
        <w:t>hydrophila</w:t>
      </w:r>
      <w:r>
        <w:rPr>
          <w:rFonts w:ascii="Times New Roman" w:hAnsi="Times New Roman"/>
          <w:bCs/>
        </w:rPr>
        <w:t xml:space="preserve"> in fresh vegetables.</w:t>
      </w:r>
    </w:p>
    <w:p>
      <w:pPr>
        <w:pStyle w:val="style149"/>
        <w:widowControl w:val="false"/>
        <w:tabs>
          <w:tab w:leader="none" w:pos="720" w:val="left"/>
        </w:tabs>
        <w:spacing w:line="360" w:lineRule="auto"/>
        <w:ind w:hanging="0" w:left="0" w:right="29"/>
        <w:jc w:val="both"/>
      </w:pPr>
      <w:r>
        <w:rPr>
          <w:rFonts w:ascii="Times New Roman" w:hAnsi="Times New Roman"/>
          <w:b/>
          <w:bCs/>
        </w:rPr>
        <w:t xml:space="preserve">4. Review of literature </w:t>
      </w:r>
    </w:p>
    <w:p>
      <w:pPr>
        <w:pStyle w:val="style149"/>
        <w:widowControl w:val="false"/>
        <w:tabs>
          <w:tab w:leader="none" w:pos="720" w:val="left"/>
        </w:tabs>
        <w:spacing w:line="360" w:lineRule="auto"/>
        <w:ind w:hanging="0" w:left="0" w:right="29"/>
        <w:jc w:val="both"/>
      </w:pPr>
      <w:r>
        <w:rPr>
          <w:rFonts w:ascii="Times New Roman" w:hAnsi="Times New Roman"/>
        </w:rPr>
        <w:tab/>
        <w:t xml:space="preserve">Fresh vegetables are an essential part of the diet of people around the world and their consumption is increasing rapidly due to their health benefits and changes in people lifestyles (Huxley </w:t>
      </w:r>
      <w:r>
        <w:rPr>
          <w:rFonts w:ascii="Times New Roman" w:hAnsi="Times New Roman"/>
          <w:i/>
        </w:rPr>
        <w:t xml:space="preserve">et al </w:t>
      </w:r>
      <w:r>
        <w:rPr>
          <w:rFonts w:ascii="Times New Roman" w:hAnsi="Times New Roman"/>
        </w:rPr>
        <w:t xml:space="preserve">2004; Ajlouni </w:t>
      </w:r>
      <w:r>
        <w:rPr>
          <w:rFonts w:ascii="Times New Roman" w:hAnsi="Times New Roman"/>
          <w:i/>
        </w:rPr>
        <w:t xml:space="preserve">et al </w:t>
      </w:r>
      <w:r>
        <w:rPr>
          <w:rFonts w:ascii="Times New Roman" w:hAnsi="Times New Roman"/>
        </w:rPr>
        <w:t xml:space="preserve">2006). The trend to consume fresh produce including vegetables has grown tremendously over the last few decades (López-Gálvez </w:t>
      </w:r>
      <w:r>
        <w:rPr>
          <w:rFonts w:ascii="Times New Roman" w:hAnsi="Times New Roman"/>
          <w:i/>
        </w:rPr>
        <w:t xml:space="preserve">et al </w:t>
      </w:r>
      <w:r>
        <w:rPr>
          <w:rFonts w:ascii="Times New Roman" w:hAnsi="Times New Roman"/>
        </w:rPr>
        <w:t xml:space="preserve">2009). However, along with the increase in fresh vegetable consumption, concerns about the safety of consumers have risen, as presence of spoilage bacteria, yeasts and molds and pathogens is common in these foods (Zhang and Farber 1996). </w:t>
      </w:r>
    </w:p>
    <w:p>
      <w:pPr>
        <w:pStyle w:val="style149"/>
        <w:widowControl w:val="false"/>
        <w:tabs>
          <w:tab w:leader="none" w:pos="720" w:val="left"/>
        </w:tabs>
        <w:spacing w:line="360" w:lineRule="auto"/>
        <w:ind w:hanging="0" w:left="0" w:right="29"/>
        <w:jc w:val="both"/>
      </w:pPr>
      <w:r>
        <w:rPr>
          <w:rFonts w:ascii="Times New Roman" w:hAnsi="Times New Roman"/>
        </w:rPr>
        <w:tab/>
        <w:t xml:space="preserve"> Climate change and changing patterns of human consumption as fresh and minimally processed foods are currently preferred. As food is biological in nature, it is capable of supporting the growth of microorganisms and food borne diseases result from the ingestion of contaminated foods and food products (Guyader and Atmar 2008). More than 250 different types of viruses, bacteria, parasites, toxins, metals, and prions are associated with foodborne diseases in humans. The infections range from mild gastroenteritis to life threatening neurologic, hepatic, and renal syndromes caused by either toxin from the “disease-causing” microbe, or by the human body’s reaction to the microbe itself (Teplitski </w:t>
      </w:r>
      <w:r>
        <w:rPr>
          <w:rFonts w:ascii="Times New Roman" w:hAnsi="Times New Roman"/>
          <w:i/>
          <w:iCs/>
        </w:rPr>
        <w:t xml:space="preserve">et al </w:t>
      </w:r>
      <w:r>
        <w:rPr>
          <w:rFonts w:ascii="Times New Roman" w:hAnsi="Times New Roman"/>
        </w:rPr>
        <w:t xml:space="preserve"> 2009).</w:t>
      </w:r>
    </w:p>
    <w:p>
      <w:pPr>
        <w:pStyle w:val="style149"/>
        <w:widowControl w:val="false"/>
        <w:tabs>
          <w:tab w:leader="none" w:pos="720" w:val="left"/>
        </w:tabs>
        <w:spacing w:line="360" w:lineRule="auto"/>
        <w:ind w:hanging="0" w:left="0" w:right="29"/>
        <w:jc w:val="both"/>
      </w:pPr>
      <w:r>
        <w:rPr>
          <w:rFonts w:ascii="Times New Roman" w:hAnsi="Times New Roman"/>
        </w:rPr>
        <w:tab/>
        <w:t xml:space="preserve">According to study conducted on raw vegetables in Sowthwest Ethiopia, </w:t>
      </w:r>
      <w:r>
        <w:rPr>
          <w:rFonts w:ascii="Times New Roman" w:hAnsi="Times New Roman"/>
          <w:i/>
          <w:iCs/>
        </w:rPr>
        <w:t xml:space="preserve">Aeromonas hydrophila </w:t>
      </w:r>
      <w:r>
        <w:rPr>
          <w:rFonts w:ascii="Times New Roman" w:hAnsi="Times New Roman"/>
        </w:rPr>
        <w:t xml:space="preserve">was isolated from Tomato (9.3%), Cabbage (8.7%), Carrot (4.5%), Lettuce (9.9%), Green pepper (12.6%) i.e. a total of six bacterial genera were identified out of which  </w:t>
      </w:r>
      <w:r>
        <w:rPr>
          <w:rFonts w:ascii="Times New Roman" w:hAnsi="Times New Roman"/>
          <w:i/>
          <w:iCs/>
        </w:rPr>
        <w:t xml:space="preserve">Aeromonas hydrophila </w:t>
      </w:r>
      <w:r>
        <w:rPr>
          <w:rFonts w:ascii="Times New Roman" w:hAnsi="Times New Roman"/>
        </w:rPr>
        <w:t xml:space="preserve">constitute 9.3% (Duggassa </w:t>
      </w:r>
      <w:r>
        <w:rPr>
          <w:rFonts w:ascii="Times New Roman" w:hAnsi="Times New Roman"/>
          <w:i/>
          <w:iCs/>
        </w:rPr>
        <w:t xml:space="preserve">et al </w:t>
      </w:r>
      <w:r>
        <w:rPr>
          <w:rFonts w:ascii="Times New Roman" w:hAnsi="Times New Roman"/>
        </w:rPr>
        <w:t>2014).</w:t>
      </w:r>
    </w:p>
    <w:p>
      <w:pPr>
        <w:pStyle w:val="style149"/>
        <w:widowControl w:val="false"/>
        <w:tabs>
          <w:tab w:leader="none" w:pos="720" w:val="left"/>
        </w:tabs>
        <w:spacing w:line="360" w:lineRule="auto"/>
        <w:ind w:hanging="0" w:left="0" w:right="29"/>
        <w:jc w:val="both"/>
      </w:pPr>
      <w:r>
        <w:rPr>
          <w:rFonts w:ascii="Times New Roman" w:hAnsi="Times New Roman"/>
        </w:rPr>
        <w:tab/>
      </w:r>
      <w:r>
        <w:rPr>
          <w:rFonts w:ascii="Times New Roman" w:hAnsi="Times New Roman"/>
          <w:i/>
          <w:iCs/>
        </w:rPr>
        <w:t xml:space="preserve">Aeromonas hydrophila </w:t>
      </w:r>
      <w:r>
        <w:rPr>
          <w:rFonts w:ascii="Times New Roman" w:hAnsi="Times New Roman"/>
        </w:rPr>
        <w:t xml:space="preserve">secretes several extracellular proteins including enterotoxin, hemolysin and aerolysin that are associated with the bacterial virulence factors (Puttalingamma </w:t>
      </w:r>
      <w:r>
        <w:rPr>
          <w:rFonts w:ascii="Times New Roman" w:hAnsi="Times New Roman"/>
          <w:i/>
          <w:iCs/>
        </w:rPr>
        <w:t xml:space="preserve">et al </w:t>
      </w:r>
      <w:r>
        <w:rPr>
          <w:rFonts w:ascii="Times New Roman" w:hAnsi="Times New Roman"/>
        </w:rPr>
        <w:t xml:space="preserve">2013). Isolation of </w:t>
      </w:r>
      <w:r>
        <w:rPr>
          <w:rFonts w:ascii="Times New Roman" w:hAnsi="Times New Roman"/>
          <w:i/>
        </w:rPr>
        <w:t>A. hydrophila</w:t>
      </w:r>
      <w:r>
        <w:rPr>
          <w:rFonts w:ascii="Times New Roman" w:hAnsi="Times New Roman"/>
        </w:rPr>
        <w:t xml:space="preserve"> from water and food sources, and the increasing resistance of this </w:t>
      </w:r>
      <w:r>
        <w:rPr>
          <w:rFonts w:ascii="Times New Roman" w:hAnsi="Times New Roman"/>
        </w:rPr>
        <w:t xml:space="preserve">organism to antibiotics and chlorination in water, presents a significant threat to public health (Chang </w:t>
      </w:r>
      <w:r>
        <w:rPr>
          <w:rFonts w:ascii="Times New Roman" w:hAnsi="Times New Roman"/>
          <w:i/>
          <w:iCs/>
        </w:rPr>
        <w:t xml:space="preserve">et al </w:t>
      </w:r>
      <w:r>
        <w:rPr>
          <w:rFonts w:ascii="Times New Roman" w:hAnsi="Times New Roman"/>
        </w:rPr>
        <w:t>2008). Toxins produced by this organism are generally active on the cell surface, causing pore formation and disruption of plasma membrane that subsequently leads to cell lysis (Vally</w:t>
      </w:r>
      <w:r>
        <w:rPr>
          <w:rFonts w:ascii="Times New Roman" w:hAnsi="Times New Roman"/>
          <w:i/>
          <w:iCs/>
        </w:rPr>
        <w:t xml:space="preserve"> et al </w:t>
      </w:r>
      <w:r>
        <w:rPr>
          <w:rFonts w:ascii="Times New Roman" w:hAnsi="Times New Roman"/>
        </w:rPr>
        <w:t xml:space="preserve">2004). </w:t>
      </w:r>
    </w:p>
    <w:p>
      <w:pPr>
        <w:pStyle w:val="style0"/>
        <w:widowControl w:val="false"/>
        <w:tabs>
          <w:tab w:leader="none" w:pos="720" w:val="left"/>
        </w:tabs>
        <w:spacing w:line="360" w:lineRule="auto"/>
        <w:ind w:hanging="0" w:left="0" w:right="29"/>
        <w:jc w:val="both"/>
      </w:pPr>
      <w:r>
        <w:rPr>
          <w:sz w:val="22"/>
          <w:szCs w:val="22"/>
        </w:rPr>
        <w:tab/>
        <w:t xml:space="preserve">Members of the </w:t>
      </w:r>
      <w:r>
        <w:rPr>
          <w:i/>
          <w:sz w:val="22"/>
          <w:szCs w:val="22"/>
        </w:rPr>
        <w:t>Aeromonas</w:t>
      </w:r>
      <w:r>
        <w:rPr>
          <w:sz w:val="22"/>
          <w:szCs w:val="22"/>
        </w:rPr>
        <w:t xml:space="preserve"> genus are widely prevalent in the aquatic environment and are frequently isolated from various foods, mainly seafood meat, milk and vegetables (Ottativini </w:t>
      </w:r>
      <w:r>
        <w:rPr>
          <w:i/>
          <w:iCs/>
          <w:sz w:val="22"/>
          <w:szCs w:val="22"/>
        </w:rPr>
        <w:t xml:space="preserve">et al </w:t>
      </w:r>
      <w:r>
        <w:rPr>
          <w:sz w:val="22"/>
          <w:szCs w:val="22"/>
        </w:rPr>
        <w:t xml:space="preserve">2011). The number of motile mesophilic </w:t>
      </w:r>
      <w:r>
        <w:rPr>
          <w:i/>
          <w:iCs/>
          <w:sz w:val="22"/>
          <w:szCs w:val="22"/>
        </w:rPr>
        <w:t>Aeromonas spp.</w:t>
      </w:r>
      <w:r>
        <w:rPr>
          <w:sz w:val="22"/>
          <w:szCs w:val="22"/>
        </w:rPr>
        <w:t xml:space="preserve"> organisms in foods varies from &lt;10</w:t>
      </w:r>
      <w:r>
        <w:rPr>
          <w:sz w:val="22"/>
          <w:szCs w:val="22"/>
          <w:vertAlign w:val="superscript"/>
        </w:rPr>
        <w:t>2</w:t>
      </w:r>
      <w:r>
        <w:rPr>
          <w:sz w:val="22"/>
          <w:szCs w:val="22"/>
        </w:rPr>
        <w:t xml:space="preserve"> cfu/g to 10</w:t>
      </w:r>
      <w:r>
        <w:rPr>
          <w:sz w:val="22"/>
          <w:szCs w:val="22"/>
          <w:vertAlign w:val="superscript"/>
        </w:rPr>
        <w:t>5</w:t>
      </w:r>
      <w:r>
        <w:rPr>
          <w:sz w:val="22"/>
          <w:szCs w:val="22"/>
        </w:rPr>
        <w:t xml:space="preserve"> cfu/g (Neyts </w:t>
      </w:r>
      <w:r>
        <w:rPr>
          <w:i/>
          <w:iCs/>
          <w:sz w:val="22"/>
          <w:szCs w:val="22"/>
        </w:rPr>
        <w:t xml:space="preserve">et al </w:t>
      </w:r>
      <w:r>
        <w:rPr>
          <w:sz w:val="22"/>
          <w:szCs w:val="22"/>
        </w:rPr>
        <w:t xml:space="preserve">2000). Тhis is also confirmed by (Palumbo </w:t>
      </w:r>
      <w:r>
        <w:rPr>
          <w:i/>
          <w:sz w:val="22"/>
          <w:szCs w:val="22"/>
        </w:rPr>
        <w:t>et al</w:t>
      </w:r>
      <w:r>
        <w:rPr>
          <w:sz w:val="22"/>
          <w:szCs w:val="22"/>
        </w:rPr>
        <w:t xml:space="preserve"> 1985), demonstrating that </w:t>
      </w:r>
      <w:r>
        <w:rPr>
          <w:i/>
          <w:iCs/>
          <w:sz w:val="22"/>
          <w:szCs w:val="22"/>
        </w:rPr>
        <w:t>Aeromonas spp</w:t>
      </w:r>
      <w:r>
        <w:rPr>
          <w:sz w:val="22"/>
          <w:szCs w:val="22"/>
        </w:rPr>
        <w:t>.counts in lamb, veal, pork and minced beef ranged from 10</w:t>
      </w:r>
      <w:r>
        <w:rPr>
          <w:sz w:val="22"/>
          <w:szCs w:val="22"/>
          <w:vertAlign w:val="superscript"/>
        </w:rPr>
        <w:t>2</w:t>
      </w:r>
      <w:r>
        <w:rPr>
          <w:sz w:val="22"/>
          <w:szCs w:val="22"/>
        </w:rPr>
        <w:t>to 10</w:t>
      </w:r>
      <w:r>
        <w:rPr>
          <w:sz w:val="22"/>
          <w:szCs w:val="22"/>
          <w:vertAlign w:val="superscript"/>
        </w:rPr>
        <w:t>5</w:t>
      </w:r>
      <w:r>
        <w:rPr>
          <w:sz w:val="22"/>
          <w:szCs w:val="22"/>
        </w:rPr>
        <w:t xml:space="preserve"> cfu/g (Penchev</w:t>
      </w:r>
      <w:r>
        <w:rPr>
          <w:i/>
          <w:iCs/>
          <w:sz w:val="22"/>
          <w:szCs w:val="22"/>
        </w:rPr>
        <w:t xml:space="preserve"> et al </w:t>
      </w:r>
      <w:r>
        <w:rPr>
          <w:sz w:val="22"/>
          <w:szCs w:val="22"/>
        </w:rPr>
        <w:t xml:space="preserve">1996) enumerated the counts of </w:t>
      </w:r>
      <w:r>
        <w:rPr>
          <w:i/>
          <w:iCs/>
          <w:sz w:val="22"/>
          <w:szCs w:val="22"/>
        </w:rPr>
        <w:t xml:space="preserve">Aeromonas spp. </w:t>
      </w:r>
      <w:r>
        <w:rPr>
          <w:sz w:val="22"/>
          <w:szCs w:val="22"/>
        </w:rPr>
        <w:t>in foods and found variations from 1×10</w:t>
      </w:r>
      <w:r>
        <w:rPr>
          <w:sz w:val="22"/>
          <w:szCs w:val="22"/>
          <w:vertAlign w:val="superscript"/>
        </w:rPr>
        <w:t>2</w:t>
      </w:r>
      <w:r>
        <w:rPr>
          <w:sz w:val="22"/>
          <w:szCs w:val="22"/>
        </w:rPr>
        <w:t xml:space="preserve"> to 5×10</w:t>
      </w:r>
      <w:r>
        <w:rPr>
          <w:sz w:val="22"/>
          <w:szCs w:val="22"/>
          <w:vertAlign w:val="superscript"/>
        </w:rPr>
        <w:t>5</w:t>
      </w:r>
      <w:r>
        <w:rPr>
          <w:sz w:val="22"/>
          <w:szCs w:val="22"/>
        </w:rPr>
        <w:t xml:space="preserve"> cfu/g. By the 7th day of storage at 5°C, the counts of aeromonads increased by 1–3 log or 10–1000 times. Schuman </w:t>
      </w:r>
      <w:r>
        <w:rPr>
          <w:i/>
          <w:iCs/>
          <w:sz w:val="22"/>
          <w:szCs w:val="22"/>
        </w:rPr>
        <w:t xml:space="preserve">et al </w:t>
      </w:r>
      <w:r>
        <w:rPr>
          <w:sz w:val="22"/>
          <w:szCs w:val="22"/>
        </w:rPr>
        <w:t xml:space="preserve">(1997) isolated </w:t>
      </w:r>
      <w:r>
        <w:rPr>
          <w:i/>
          <w:iCs/>
          <w:sz w:val="22"/>
          <w:szCs w:val="22"/>
        </w:rPr>
        <w:t>Aeromonas hydrophila</w:t>
      </w:r>
      <w:r>
        <w:rPr>
          <w:sz w:val="22"/>
          <w:szCs w:val="22"/>
        </w:rPr>
        <w:t xml:space="preserve"> from a variety of foods (red meat, poultry meat, eggs and raw milk) stored in the fridge.</w:t>
      </w:r>
    </w:p>
    <w:p>
      <w:pPr>
        <w:pStyle w:val="style0"/>
        <w:widowControl w:val="false"/>
        <w:tabs>
          <w:tab w:leader="none" w:pos="720" w:val="left"/>
        </w:tabs>
        <w:spacing w:line="360" w:lineRule="auto"/>
        <w:ind w:hanging="0" w:left="0" w:right="29"/>
        <w:jc w:val="both"/>
      </w:pPr>
      <w:r>
        <w:rPr>
          <w:sz w:val="22"/>
          <w:szCs w:val="22"/>
        </w:rPr>
        <w:tab/>
        <w:t xml:space="preserve">On 12 May 2012, over 200 college students with acute diarrhoea were reported to the Guizhou Center for Disease Control and Prevention. A confirmed case also had a positive </w:t>
      </w:r>
      <w:r>
        <w:rPr>
          <w:i/>
          <w:iCs/>
          <w:sz w:val="22"/>
          <w:szCs w:val="22"/>
        </w:rPr>
        <w:t>Aeromonas hydrophila</w:t>
      </w:r>
      <w:r>
        <w:rPr>
          <w:sz w:val="22"/>
          <w:szCs w:val="22"/>
        </w:rPr>
        <w:t xml:space="preserve"> culture from a stool sample. A retrospective study of 902 students compared attack rates (AR) by dining place, meals. Environmental investigation showed that vegetables were washed in polluted water from a tank close to the sewage ditch, then left at 30°C for two hours before serving. The </w:t>
      </w:r>
      <w:r>
        <w:rPr>
          <w:i/>
          <w:iCs/>
          <w:sz w:val="22"/>
          <w:szCs w:val="22"/>
        </w:rPr>
        <w:t>Escherichia coli</w:t>
      </w:r>
      <w:r>
        <w:rPr>
          <w:sz w:val="22"/>
          <w:szCs w:val="22"/>
        </w:rPr>
        <w:t xml:space="preserve"> count of the tank was well above the standard for drinking water. This outbreak of </w:t>
      </w:r>
      <w:r>
        <w:rPr>
          <w:i/>
          <w:iCs/>
          <w:sz w:val="22"/>
          <w:szCs w:val="22"/>
        </w:rPr>
        <w:t xml:space="preserve">Aeromonas hydrophila </w:t>
      </w:r>
      <w:r>
        <w:rPr>
          <w:sz w:val="22"/>
          <w:szCs w:val="22"/>
        </w:rPr>
        <w:t xml:space="preserve">was most probably caused by salad ingredients washed in contaminated tank water (Zhang </w:t>
      </w:r>
      <w:r>
        <w:rPr>
          <w:i/>
          <w:iCs/>
          <w:sz w:val="22"/>
          <w:szCs w:val="22"/>
        </w:rPr>
        <w:t xml:space="preserve">et al </w:t>
      </w:r>
      <w:r>
        <w:rPr>
          <w:sz w:val="22"/>
          <w:szCs w:val="22"/>
        </w:rPr>
        <w:t>2012).</w:t>
      </w:r>
    </w:p>
    <w:p>
      <w:pPr>
        <w:pStyle w:val="style0"/>
        <w:widowControl w:val="false"/>
        <w:tabs>
          <w:tab w:leader="none" w:pos="720" w:val="left"/>
        </w:tabs>
        <w:spacing w:line="360" w:lineRule="auto"/>
        <w:ind w:hanging="0" w:left="0" w:right="29"/>
        <w:jc w:val="both"/>
      </w:pPr>
      <w:r>
        <w:rPr>
          <w:sz w:val="22"/>
          <w:szCs w:val="22"/>
        </w:rPr>
        <w:tab/>
        <w:t xml:space="preserve">These microbes are usually associated with an aquatic environment, but they are commonly isolated from different terrestrial ecosystems, such as food, invertebrates, plants and animals (Janda and Abbott 2010). The interest in this genus (and in its members as human pathogens) has grown over the past two decades because of the world-wide distribution of aeromonads, the occurrence of antibiotic resistance and the ability of some strains to survive safety treatments (Khajanchi </w:t>
      </w:r>
      <w:r>
        <w:rPr>
          <w:i/>
          <w:iCs/>
          <w:sz w:val="22"/>
          <w:szCs w:val="22"/>
        </w:rPr>
        <w:t>et al</w:t>
      </w:r>
      <w:r>
        <w:rPr>
          <w:sz w:val="22"/>
          <w:szCs w:val="22"/>
        </w:rPr>
        <w:t xml:space="preserve"> 2010). Many studies have detected the presence of different </w:t>
      </w:r>
      <w:r>
        <w:rPr>
          <w:i/>
          <w:iCs/>
          <w:sz w:val="22"/>
          <w:szCs w:val="22"/>
        </w:rPr>
        <w:t>Aeromonas</w:t>
      </w:r>
      <w:r>
        <w:rPr>
          <w:sz w:val="22"/>
          <w:szCs w:val="22"/>
        </w:rPr>
        <w:t xml:space="preserve"> species in various foods and vegetables (Palumbo </w:t>
      </w:r>
      <w:r>
        <w:rPr>
          <w:i/>
          <w:iCs/>
          <w:sz w:val="22"/>
          <w:szCs w:val="22"/>
        </w:rPr>
        <w:t>et al</w:t>
      </w:r>
      <w:r>
        <w:rPr>
          <w:sz w:val="22"/>
          <w:szCs w:val="22"/>
        </w:rPr>
        <w:t xml:space="preserve"> 1985), and their prevalence in such products has been well characterized worldwide in recent years. Dhiraputra</w:t>
      </w:r>
      <w:r>
        <w:rPr>
          <w:i/>
          <w:iCs/>
          <w:sz w:val="22"/>
          <w:szCs w:val="22"/>
        </w:rPr>
        <w:t xml:space="preserve"> et al </w:t>
      </w:r>
      <w:r>
        <w:rPr>
          <w:iCs/>
          <w:sz w:val="22"/>
          <w:szCs w:val="22"/>
        </w:rPr>
        <w:t>(</w:t>
      </w:r>
      <w:r>
        <w:rPr>
          <w:sz w:val="22"/>
          <w:szCs w:val="22"/>
        </w:rPr>
        <w:t xml:space="preserve">2005) examined the bacterial contamination of vegetables served in hospitals in Bankok, Thailand. They detected </w:t>
      </w:r>
      <w:r>
        <w:rPr>
          <w:i/>
          <w:iCs/>
          <w:sz w:val="22"/>
          <w:szCs w:val="22"/>
        </w:rPr>
        <w:t>Aeromonas</w:t>
      </w:r>
      <w:r>
        <w:rPr>
          <w:sz w:val="22"/>
          <w:szCs w:val="22"/>
        </w:rPr>
        <w:t xml:space="preserve"> in 14 (3.5%) of 403 fresh vegetable samples (including lettuce, parsley, celery and tomato) before being washed and in 17 (4.3%) of 396 ready-to-serve vegetable samples. These findings support the view that food rather than water might be the source of aeromonads associated with outbreaks occurring in hospitals and in the community.</w:t>
      </w:r>
    </w:p>
    <w:p>
      <w:pPr>
        <w:pStyle w:val="style0"/>
        <w:widowControl w:val="false"/>
        <w:tabs>
          <w:tab w:leader="none" w:pos="720" w:val="left"/>
        </w:tabs>
        <w:spacing w:line="360" w:lineRule="auto"/>
        <w:ind w:hanging="0" w:left="0" w:right="29"/>
        <w:jc w:val="both"/>
      </w:pPr>
      <w:r>
        <w:rPr/>
      </w:r>
    </w:p>
    <w:p>
      <w:pPr>
        <w:pStyle w:val="style0"/>
        <w:widowControl w:val="false"/>
        <w:tabs>
          <w:tab w:leader="none" w:pos="720" w:val="left"/>
        </w:tabs>
        <w:spacing w:line="360" w:lineRule="auto"/>
        <w:ind w:hanging="0" w:left="0" w:right="29"/>
        <w:jc w:val="both"/>
      </w:pPr>
      <w:r>
        <w:rPr>
          <w:sz w:val="22"/>
          <w:szCs w:val="22"/>
        </w:rPr>
        <w:tab/>
        <w:t xml:space="preserve">Conventional identification of </w:t>
      </w:r>
      <w:r>
        <w:rPr>
          <w:i/>
          <w:iCs/>
          <w:sz w:val="22"/>
          <w:szCs w:val="22"/>
        </w:rPr>
        <w:t>Aeromonas spp</w:t>
      </w:r>
      <w:r>
        <w:rPr>
          <w:sz w:val="22"/>
          <w:szCs w:val="22"/>
        </w:rPr>
        <w:t xml:space="preserve"> is based on biochemical methods is challenged by the heterogeneous nature of the species (Persson </w:t>
      </w:r>
      <w:r>
        <w:rPr>
          <w:i/>
          <w:iCs/>
          <w:sz w:val="22"/>
          <w:szCs w:val="22"/>
        </w:rPr>
        <w:t xml:space="preserve">et al </w:t>
      </w:r>
      <w:r>
        <w:rPr>
          <w:sz w:val="22"/>
          <w:szCs w:val="22"/>
        </w:rPr>
        <w:t>2014). Virulence associated genes have been targeted for the detection of potentially pathogenic A</w:t>
      </w:r>
      <w:r>
        <w:rPr>
          <w:i/>
          <w:iCs/>
          <w:sz w:val="22"/>
          <w:szCs w:val="22"/>
        </w:rPr>
        <w:t xml:space="preserve">eromonas hydrophila </w:t>
      </w:r>
      <w:r>
        <w:rPr>
          <w:sz w:val="22"/>
          <w:szCs w:val="22"/>
        </w:rPr>
        <w:t xml:space="preserve">by PCR assays that include </w:t>
      </w:r>
      <w:r>
        <w:rPr>
          <w:sz w:val="22"/>
          <w:szCs w:val="22"/>
        </w:rPr>
        <w:t xml:space="preserve">either cytolysin or haemolysin or both of these genes (Johnson </w:t>
      </w:r>
      <w:r>
        <w:rPr>
          <w:i/>
          <w:iCs/>
          <w:sz w:val="22"/>
          <w:szCs w:val="22"/>
        </w:rPr>
        <w:t xml:space="preserve">et al </w:t>
      </w:r>
      <w:r>
        <w:rPr>
          <w:sz w:val="22"/>
          <w:szCs w:val="22"/>
        </w:rPr>
        <w:t xml:space="preserve">2012). Yousr </w:t>
      </w:r>
      <w:r>
        <w:rPr>
          <w:i/>
          <w:iCs/>
          <w:sz w:val="22"/>
          <w:szCs w:val="22"/>
        </w:rPr>
        <w:t>et al,</w:t>
      </w:r>
      <w:r>
        <w:rPr>
          <w:sz w:val="22"/>
          <w:szCs w:val="22"/>
        </w:rPr>
        <w:t xml:space="preserve"> reported a rapid mPCR which can simultaneously detect pathogenic A</w:t>
      </w:r>
      <w:r>
        <w:rPr>
          <w:i/>
          <w:iCs/>
          <w:sz w:val="22"/>
          <w:szCs w:val="22"/>
        </w:rPr>
        <w:t>eromonas  hydrophila</w:t>
      </w:r>
      <w:r>
        <w:rPr>
          <w:sz w:val="22"/>
          <w:szCs w:val="22"/>
        </w:rPr>
        <w:t xml:space="preserve"> from fish targeting aerolysin and 16S rDNA genes. Several studies revealed that these organisms can produce exotoxins, including α and β -hemolysins and cytolytic enterotoxin (Sen and Rodgers 2004). Broad methods have been reported, including, tissue cell culture assays, immunoassays, DNA probes and animal models that detect identification of presence of virulence factors in pathogenic</w:t>
      </w:r>
      <w:r>
        <w:rPr>
          <w:i/>
          <w:iCs/>
          <w:sz w:val="22"/>
          <w:szCs w:val="22"/>
        </w:rPr>
        <w:t xml:space="preserve"> A. hydrophila </w:t>
      </w:r>
      <w:r>
        <w:rPr>
          <w:sz w:val="22"/>
          <w:szCs w:val="22"/>
        </w:rPr>
        <w:t xml:space="preserve">.                                                     </w:t>
      </w:r>
    </w:p>
    <w:p>
      <w:pPr>
        <w:pStyle w:val="style0"/>
        <w:widowControl w:val="false"/>
        <w:tabs>
          <w:tab w:leader="none" w:pos="720" w:val="left"/>
        </w:tabs>
        <w:spacing w:line="360" w:lineRule="auto"/>
        <w:ind w:hanging="0" w:left="0" w:right="29"/>
        <w:jc w:val="both"/>
      </w:pPr>
      <w:r>
        <w:rPr>
          <w:b/>
          <w:sz w:val="22"/>
          <w:szCs w:val="22"/>
        </w:rPr>
        <w:t>IPR search</w:t>
      </w:r>
    </w:p>
    <w:p>
      <w:pPr>
        <w:pStyle w:val="style0"/>
        <w:widowControl w:val="false"/>
        <w:tabs>
          <w:tab w:leader="none" w:pos="720" w:val="left"/>
        </w:tabs>
        <w:spacing w:line="360" w:lineRule="auto"/>
        <w:ind w:hanging="0" w:left="0" w:right="29"/>
        <w:jc w:val="both"/>
      </w:pPr>
      <w:r>
        <w:rPr>
          <w:b/>
          <w:sz w:val="22"/>
          <w:szCs w:val="22"/>
        </w:rPr>
        <w:tab/>
        <w:t xml:space="preserve"> </w:t>
      </w:r>
      <w:r>
        <w:rPr>
          <w:bCs/>
          <w:sz w:val="22"/>
          <w:szCs w:val="22"/>
        </w:rPr>
        <w:t>IPR search on the topic under investigation was carried out using WIPO, USPTO, IPAIRS version 2.0 and no relevant material has been found with respect to this research problem.</w:t>
      </w:r>
    </w:p>
    <w:p>
      <w:pPr>
        <w:pStyle w:val="style0"/>
        <w:widowControl w:val="false"/>
        <w:tabs>
          <w:tab w:leader="none" w:pos="720" w:val="left"/>
        </w:tabs>
        <w:spacing w:line="360" w:lineRule="auto"/>
        <w:ind w:hanging="0" w:left="0" w:right="29"/>
        <w:jc w:val="both"/>
      </w:pPr>
      <w:r>
        <w:rPr>
          <w:b/>
          <w:bCs/>
          <w:sz w:val="22"/>
          <w:szCs w:val="22"/>
        </w:rPr>
        <w:t xml:space="preserve">5. Technical programme </w:t>
      </w:r>
    </w:p>
    <w:p>
      <w:pPr>
        <w:pStyle w:val="style145"/>
        <w:widowControl w:val="false"/>
        <w:tabs>
          <w:tab w:leader="none" w:pos="720" w:val="left"/>
        </w:tabs>
        <w:spacing w:line="360" w:lineRule="auto"/>
        <w:ind w:hanging="0" w:left="0" w:right="29"/>
      </w:pPr>
      <w:r>
        <w:rPr>
          <w:b/>
          <w:sz w:val="22"/>
          <w:szCs w:val="22"/>
        </w:rPr>
        <w:t>Experiment No. 1</w:t>
      </w:r>
    </w:p>
    <w:p>
      <w:pPr>
        <w:pStyle w:val="style145"/>
        <w:widowControl w:val="false"/>
        <w:numPr>
          <w:ilvl w:val="0"/>
          <w:numId w:val="2"/>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pPr>
      <w:r>
        <w:rPr>
          <w:b/>
          <w:sz w:val="22"/>
          <w:szCs w:val="22"/>
        </w:rPr>
        <w:t xml:space="preserve">Name of the experiment: </w:t>
      </w:r>
      <w:r>
        <w:rPr>
          <w:b w:val="false"/>
          <w:bCs w:val="false"/>
          <w:sz w:val="22"/>
          <w:szCs w:val="22"/>
        </w:rPr>
        <w:t>S</w:t>
      </w:r>
      <w:r>
        <w:rPr>
          <w:sz w:val="22"/>
          <w:szCs w:val="22"/>
        </w:rPr>
        <w:t xml:space="preserve">urveillance for </w:t>
      </w:r>
      <w:r>
        <w:rPr>
          <w:bCs/>
          <w:i/>
          <w:iCs/>
          <w:sz w:val="22"/>
          <w:szCs w:val="22"/>
        </w:rPr>
        <w:t>Aeromonas</w:t>
      </w:r>
      <w:r>
        <w:rPr>
          <w:bCs/>
          <w:sz w:val="22"/>
          <w:szCs w:val="22"/>
        </w:rPr>
        <w:t xml:space="preserve"> </w:t>
      </w:r>
      <w:r>
        <w:rPr>
          <w:bCs/>
          <w:i/>
          <w:iCs/>
          <w:sz w:val="22"/>
          <w:szCs w:val="22"/>
        </w:rPr>
        <w:t>hydrophila</w:t>
      </w:r>
      <w:r>
        <w:rPr>
          <w:sz w:val="22"/>
          <w:szCs w:val="22"/>
        </w:rPr>
        <w:t xml:space="preserve"> and database generation for the occurrence in salad vegetables.</w:t>
      </w:r>
    </w:p>
    <w:p>
      <w:pPr>
        <w:pStyle w:val="style145"/>
        <w:widowControl w:val="false"/>
        <w:numPr>
          <w:ilvl w:val="0"/>
          <w:numId w:val="2"/>
        </w:numPr>
        <w:tabs>
          <w:tab w:leader="none" w:pos="720" w:val="left"/>
        </w:tabs>
        <w:spacing w:line="360" w:lineRule="auto"/>
        <w:ind w:hanging="0" w:left="0" w:right="29"/>
      </w:pPr>
      <w:r>
        <w:rPr>
          <w:b/>
          <w:sz w:val="22"/>
          <w:szCs w:val="22"/>
        </w:rPr>
        <w:t>Location:</w:t>
      </w:r>
      <w:r>
        <w:rPr>
          <w:sz w:val="22"/>
          <w:szCs w:val="22"/>
        </w:rPr>
        <w:t xml:space="preserve"> Department of Microbiology, PAU, Ludhiana.</w:t>
      </w:r>
    </w:p>
    <w:p>
      <w:pPr>
        <w:pStyle w:val="style145"/>
        <w:widowControl w:val="false"/>
        <w:numPr>
          <w:ilvl w:val="0"/>
          <w:numId w:val="2"/>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pPr>
      <w:r>
        <w:rPr>
          <w:b/>
          <w:sz w:val="22"/>
          <w:szCs w:val="22"/>
        </w:rPr>
        <w:t xml:space="preserve">Methodology: </w:t>
      </w:r>
      <w:r>
        <w:rPr>
          <w:sz w:val="22"/>
          <w:szCs w:val="22"/>
        </w:rPr>
        <w:t>The fresh produce vegetables (carrot, raddish, cucumber, cabbage, tomato, spinach, long melon) from vegetables growing belt of Ludhiana and Malerkotla will be collected into sterile poly bags,and analyzed immediately. The isolates will be identified using enrichment techniques and Vegetable Testing Kit.</w:t>
      </w:r>
    </w:p>
    <w:p>
      <w:pPr>
        <w:pStyle w:val="style145"/>
        <w:widowControl w:val="false"/>
        <w:numPr>
          <w:ilvl w:val="0"/>
          <w:numId w:val="2"/>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pPr>
      <w:r>
        <w:rPr>
          <w:b/>
          <w:sz w:val="22"/>
          <w:szCs w:val="22"/>
        </w:rPr>
        <w:t xml:space="preserve">Observations to be recorded: </w:t>
      </w:r>
      <w:r>
        <w:rPr>
          <w:sz w:val="22"/>
          <w:szCs w:val="22"/>
        </w:rPr>
        <w:t xml:space="preserve">Samples will be analyzed for occurrence of </w:t>
      </w:r>
      <w:r>
        <w:rPr>
          <w:i/>
          <w:iCs/>
          <w:sz w:val="22"/>
          <w:szCs w:val="22"/>
        </w:rPr>
        <w:t>Aeromonas hydrophila</w:t>
      </w:r>
      <w:r>
        <w:rPr>
          <w:i/>
          <w:sz w:val="22"/>
          <w:szCs w:val="22"/>
        </w:rPr>
        <w:t>.</w:t>
      </w:r>
      <w:r>
        <w:rPr>
          <w:b/>
          <w:i/>
          <w:sz w:val="22"/>
          <w:szCs w:val="22"/>
        </w:rPr>
        <w:t xml:space="preserve"> </w:t>
      </w:r>
      <w:r>
        <w:rPr>
          <w:sz w:val="22"/>
          <w:szCs w:val="22"/>
        </w:rPr>
        <w:t>Screening and prevalence of region specific pathogen amongst these isolates will be further studied.</w:t>
      </w:r>
    </w:p>
    <w:p>
      <w:pPr>
        <w:pStyle w:val="style145"/>
        <w:widowControl w:val="false"/>
        <w:numPr>
          <w:ilvl w:val="0"/>
          <w:numId w:val="2"/>
        </w:numPr>
        <w:tabs>
          <w:tab w:leader="none" w:pos="720" w:val="left"/>
        </w:tabs>
        <w:spacing w:line="360" w:lineRule="auto"/>
        <w:ind w:hanging="0" w:left="0" w:right="29"/>
      </w:pPr>
      <w:r>
        <w:rPr>
          <w:b/>
          <w:sz w:val="22"/>
          <w:szCs w:val="22"/>
        </w:rPr>
        <w:t xml:space="preserve">Statistical analysis: </w:t>
      </w:r>
      <w:r>
        <w:rPr>
          <w:b w:val="false"/>
          <w:bCs w:val="false"/>
          <w:sz w:val="22"/>
          <w:szCs w:val="22"/>
        </w:rPr>
        <w:t xml:space="preserve"> SD</w:t>
      </w:r>
    </w:p>
    <w:p>
      <w:pPr>
        <w:pStyle w:val="style145"/>
        <w:widowControl w:val="false"/>
        <w:tabs>
          <w:tab w:leader="none" w:pos="720" w:val="left"/>
        </w:tabs>
        <w:spacing w:line="360" w:lineRule="auto"/>
        <w:ind w:hanging="0" w:left="0" w:right="29"/>
      </w:pPr>
      <w:r>
        <w:rPr>
          <w:b/>
          <w:sz w:val="22"/>
          <w:szCs w:val="22"/>
        </w:rPr>
        <w:t>Experiment No. 2</w:t>
      </w:r>
    </w:p>
    <w:p>
      <w:pPr>
        <w:pStyle w:val="style148"/>
        <w:widowControl w:val="false"/>
        <w:numPr>
          <w:ilvl w:val="0"/>
          <w:numId w:val="3"/>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jc w:val="both"/>
      </w:pPr>
      <w:bookmarkStart w:id="1" w:name="__DdeLink__2159_1523419852"/>
      <w:r>
        <w:rPr>
          <w:b/>
          <w:sz w:val="22"/>
          <w:szCs w:val="22"/>
        </w:rPr>
        <w:t>Name of the experiment</w:t>
      </w:r>
      <w:bookmarkEnd w:id="1"/>
      <w:r>
        <w:rPr>
          <w:b/>
          <w:sz w:val="22"/>
          <w:szCs w:val="22"/>
        </w:rPr>
        <w:t xml:space="preserve">: </w:t>
      </w:r>
      <w:r>
        <w:rPr>
          <w:b w:val="false"/>
          <w:bCs w:val="false"/>
          <w:sz w:val="22"/>
          <w:szCs w:val="22"/>
        </w:rPr>
        <w:t>C</w:t>
      </w:r>
      <w:r>
        <w:rPr>
          <w:sz w:val="22"/>
          <w:szCs w:val="22"/>
        </w:rPr>
        <w:t>haracterization of</w:t>
      </w:r>
      <w:r>
        <w:rPr>
          <w:i/>
          <w:iCs/>
          <w:sz w:val="22"/>
          <w:szCs w:val="22"/>
        </w:rPr>
        <w:t xml:space="preserve"> </w:t>
      </w:r>
      <w:bookmarkStart w:id="2" w:name="__DdeLink__888_655256505"/>
      <w:r>
        <w:rPr>
          <w:bCs/>
          <w:i/>
          <w:iCs/>
          <w:sz w:val="22"/>
          <w:szCs w:val="22"/>
        </w:rPr>
        <w:t>Aeromonas hydrophila</w:t>
      </w:r>
      <w:bookmarkEnd w:id="2"/>
      <w:r>
        <w:rPr>
          <w:bCs/>
          <w:i/>
          <w:iCs/>
          <w:sz w:val="22"/>
          <w:szCs w:val="22"/>
        </w:rPr>
        <w:t xml:space="preserve"> </w:t>
      </w:r>
      <w:r>
        <w:rPr>
          <w:bCs/>
          <w:i w:val="false"/>
          <w:iCs w:val="false"/>
          <w:sz w:val="22"/>
          <w:szCs w:val="22"/>
        </w:rPr>
        <w:t>and studies on virulence factors.</w:t>
      </w:r>
    </w:p>
    <w:p>
      <w:pPr>
        <w:pStyle w:val="style148"/>
        <w:widowControl w:val="false"/>
        <w:numPr>
          <w:ilvl w:val="0"/>
          <w:numId w:val="3"/>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jc w:val="both"/>
      </w:pPr>
      <w:r>
        <w:rPr>
          <w:b/>
          <w:sz w:val="22"/>
          <w:szCs w:val="22"/>
        </w:rPr>
        <w:t>Location:</w:t>
      </w:r>
      <w:r>
        <w:rPr>
          <w:sz w:val="22"/>
          <w:szCs w:val="22"/>
        </w:rPr>
        <w:t xml:space="preserve"> Department of Microbiology, PAU, Ludhiana</w:t>
      </w:r>
    </w:p>
    <w:p>
      <w:pPr>
        <w:pStyle w:val="style148"/>
        <w:widowControl w:val="false"/>
        <w:numPr>
          <w:ilvl w:val="0"/>
          <w:numId w:val="3"/>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jc w:val="both"/>
      </w:pPr>
      <w:r>
        <w:rPr>
          <w:b/>
          <w:sz w:val="22"/>
          <w:szCs w:val="22"/>
        </w:rPr>
        <w:t xml:space="preserve">Methodology: 1.Biochemical characterization: </w:t>
      </w:r>
      <w:r>
        <w:rPr>
          <w:b w:val="false"/>
          <w:bCs w:val="false"/>
          <w:sz w:val="22"/>
          <w:szCs w:val="22"/>
        </w:rPr>
        <w:t>C</w:t>
      </w:r>
      <w:r>
        <w:rPr>
          <w:sz w:val="22"/>
          <w:szCs w:val="22"/>
        </w:rPr>
        <w:t xml:space="preserve">haracterize </w:t>
      </w:r>
      <w:r>
        <w:rPr>
          <w:bCs/>
          <w:i/>
          <w:iCs/>
          <w:sz w:val="22"/>
          <w:szCs w:val="22"/>
        </w:rPr>
        <w:t xml:space="preserve">Aeromonas hydrophila </w:t>
      </w:r>
      <w:r>
        <w:rPr>
          <w:sz w:val="22"/>
          <w:szCs w:val="22"/>
        </w:rPr>
        <w:t>on the basis of biochemical, antibiogram activity.</w:t>
      </w:r>
    </w:p>
    <w:p>
      <w:pPr>
        <w:pStyle w:val="style148"/>
        <w:widowControl w:val="false"/>
        <w:tabs>
          <w:tab w:leader="none" w:pos="720" w:val="left"/>
          <w:tab w:leader="none" w:pos="1440" w:val="left"/>
        </w:tabs>
        <w:spacing w:line="360" w:lineRule="auto"/>
        <w:ind w:hanging="0" w:left="0" w:right="29"/>
        <w:jc w:val="both"/>
      </w:pPr>
      <w:r>
        <w:rPr>
          <w:b/>
          <w:sz w:val="22"/>
          <w:szCs w:val="22"/>
        </w:rPr>
        <w:t xml:space="preserve">      </w:t>
      </w:r>
      <w:r>
        <w:rPr>
          <w:b/>
          <w:sz w:val="22"/>
          <w:szCs w:val="22"/>
        </w:rPr>
        <w:t xml:space="preserve">Observations to be recorded: </w:t>
      </w:r>
      <w:r>
        <w:rPr>
          <w:sz w:val="22"/>
          <w:szCs w:val="22"/>
        </w:rPr>
        <w:t>Following observations will be recorded:</w:t>
      </w:r>
    </w:p>
    <w:p>
      <w:pPr>
        <w:pStyle w:val="style148"/>
        <w:widowControl w:val="false"/>
        <w:numPr>
          <w:ilvl w:val="0"/>
          <w:numId w:val="4"/>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jc w:val="both"/>
      </w:pPr>
      <w:r>
        <w:rPr>
          <w:sz w:val="22"/>
          <w:szCs w:val="22"/>
        </w:rPr>
        <w:t xml:space="preserve">Biochemical activities (Carbohydrate utilization, indole, Methyl red, Voges Proskauer’s, Citrate utilization, ONPG decarboxylase and Esculin Hydrolysis), </w:t>
      </w:r>
    </w:p>
    <w:p>
      <w:pPr>
        <w:pStyle w:val="style148"/>
        <w:widowControl w:val="false"/>
        <w:tabs>
          <w:tab w:leader="none" w:pos="720" w:val="left"/>
          <w:tab w:leader="none" w:pos="1440" w:val="left"/>
        </w:tabs>
        <w:spacing w:line="360" w:lineRule="auto"/>
        <w:ind w:hanging="0" w:left="0" w:right="29"/>
        <w:jc w:val="both"/>
      </w:pPr>
      <w:r>
        <w:rPr>
          <w:b/>
          <w:bCs/>
          <w:sz w:val="22"/>
          <w:szCs w:val="22"/>
        </w:rPr>
        <w:t>2.</w:t>
        <w:tab/>
      </w:r>
      <w:r>
        <w:rPr>
          <w:sz w:val="22"/>
          <w:szCs w:val="22"/>
        </w:rPr>
        <w:t>Antibiogram (Broad Spectrum Antibiotics)</w:t>
      </w:r>
    </w:p>
    <w:p>
      <w:pPr>
        <w:pStyle w:val="style148"/>
        <w:widowControl w:val="false"/>
        <w:tabs>
          <w:tab w:leader="none" w:pos="720" w:val="left"/>
          <w:tab w:leader="none" w:pos="1440" w:val="left"/>
        </w:tabs>
        <w:spacing w:line="360" w:lineRule="auto"/>
        <w:ind w:hanging="0" w:left="0" w:right="29"/>
        <w:jc w:val="both"/>
      </w:pPr>
      <w:r>
        <w:rPr>
          <w:b/>
          <w:bCs/>
          <w:sz w:val="22"/>
          <w:szCs w:val="22"/>
        </w:rPr>
        <w:t xml:space="preserve">3.  </w:t>
      </w:r>
      <w:r>
        <w:rPr>
          <w:b w:val="false"/>
          <w:bCs w:val="false"/>
          <w:sz w:val="22"/>
          <w:szCs w:val="22"/>
        </w:rPr>
        <w:t>Determination of virulence factors by different methods:</w:t>
      </w:r>
    </w:p>
    <w:p>
      <w:pPr>
        <w:pStyle w:val="style148"/>
        <w:widowControl w:val="false"/>
        <w:tabs>
          <w:tab w:leader="none" w:pos="720" w:val="left"/>
          <w:tab w:leader="none" w:pos="1440" w:val="left"/>
        </w:tabs>
        <w:spacing w:line="360" w:lineRule="auto"/>
        <w:ind w:hanging="0" w:left="0" w:right="29"/>
        <w:jc w:val="both"/>
      </w:pPr>
      <w:r>
        <w:rPr>
          <w:b w:val="false"/>
          <w:bCs w:val="false"/>
          <w:sz w:val="22"/>
          <w:szCs w:val="22"/>
        </w:rPr>
        <w:t xml:space="preserve">       </w:t>
      </w:r>
      <w:r>
        <w:rPr>
          <w:b w:val="false"/>
          <w:bCs w:val="false"/>
          <w:sz w:val="22"/>
          <w:szCs w:val="22"/>
        </w:rPr>
        <w:t>Total polysaccharides(Dubois</w:t>
      </w:r>
      <w:r>
        <w:rPr>
          <w:b w:val="false"/>
          <w:bCs w:val="false"/>
          <w:i/>
          <w:iCs/>
          <w:sz w:val="22"/>
          <w:szCs w:val="22"/>
        </w:rPr>
        <w:t xml:space="preserve"> et al., </w:t>
      </w:r>
      <w:r>
        <w:rPr>
          <w:b w:val="false"/>
          <w:bCs w:val="false"/>
          <w:i w:val="false"/>
          <w:iCs w:val="false"/>
          <w:sz w:val="22"/>
          <w:szCs w:val="22"/>
        </w:rPr>
        <w:t xml:space="preserve">1956), Total protein content(Lowry </w:t>
      </w:r>
      <w:r>
        <w:rPr>
          <w:b w:val="false"/>
          <w:bCs w:val="false"/>
          <w:i/>
          <w:iCs/>
          <w:sz w:val="22"/>
          <w:szCs w:val="22"/>
        </w:rPr>
        <w:t xml:space="preserve">et al., I951), </w:t>
      </w:r>
      <w:r>
        <w:rPr>
          <w:b w:val="false"/>
          <w:bCs w:val="false"/>
          <w:i w:val="false"/>
          <w:iCs w:val="false"/>
          <w:sz w:val="22"/>
          <w:szCs w:val="22"/>
        </w:rPr>
        <w:t xml:space="preserve">Alginate production (Mathee </w:t>
      </w:r>
      <w:r>
        <w:rPr>
          <w:b w:val="false"/>
          <w:bCs w:val="false"/>
          <w:i/>
          <w:iCs/>
          <w:sz w:val="22"/>
          <w:szCs w:val="22"/>
        </w:rPr>
        <w:t xml:space="preserve">et al , </w:t>
      </w:r>
      <w:r>
        <w:rPr>
          <w:b w:val="false"/>
          <w:bCs w:val="false"/>
          <w:i w:val="false"/>
          <w:iCs w:val="false"/>
          <w:sz w:val="22"/>
          <w:szCs w:val="22"/>
        </w:rPr>
        <w:t xml:space="preserve">1999), Lipopolysaccharide production (Morrison and Leive </w:t>
      </w:r>
      <w:r>
        <w:rPr>
          <w:b w:val="false"/>
          <w:bCs w:val="false"/>
          <w:i/>
          <w:iCs/>
          <w:sz w:val="22"/>
          <w:szCs w:val="22"/>
        </w:rPr>
        <w:t xml:space="preserve">et al., </w:t>
      </w:r>
      <w:r>
        <w:rPr>
          <w:b w:val="false"/>
          <w:bCs w:val="false"/>
          <w:i w:val="false"/>
          <w:iCs w:val="false"/>
          <w:sz w:val="22"/>
          <w:szCs w:val="22"/>
        </w:rPr>
        <w:t>1975)</w:t>
      </w:r>
      <w:r>
        <w:rPr>
          <w:b/>
          <w:bCs/>
          <w:i w:val="false"/>
          <w:iCs w:val="false"/>
          <w:sz w:val="22"/>
          <w:szCs w:val="22"/>
        </w:rPr>
        <w:t xml:space="preserve">, </w:t>
      </w:r>
      <w:r>
        <w:rPr>
          <w:b w:val="false"/>
          <w:bCs w:val="false"/>
          <w:i w:val="false"/>
          <w:iCs w:val="false"/>
          <w:sz w:val="22"/>
          <w:szCs w:val="22"/>
        </w:rPr>
        <w:t xml:space="preserve">Cell surface hydrophobicity(Perez Iet al .,1998), Swimming swarming and twitching motility(Rasid </w:t>
      </w:r>
      <w:r>
        <w:rPr>
          <w:b w:val="false"/>
          <w:bCs w:val="false"/>
          <w:i/>
          <w:iCs/>
          <w:sz w:val="22"/>
          <w:szCs w:val="22"/>
        </w:rPr>
        <w:t xml:space="preserve">et al., </w:t>
      </w:r>
      <w:r>
        <w:rPr>
          <w:b w:val="false"/>
          <w:bCs w:val="false"/>
          <w:i w:val="false"/>
          <w:iCs w:val="false"/>
          <w:sz w:val="22"/>
          <w:szCs w:val="22"/>
        </w:rPr>
        <w:t>2000), Protease production (</w:t>
      </w:r>
      <w:bookmarkStart w:id="3" w:name="__DdeLink__910_2063734865"/>
      <w:r>
        <w:rPr>
          <w:b w:val="false"/>
          <w:bCs w:val="false"/>
          <w:i w:val="false"/>
          <w:iCs w:val="false"/>
          <w:sz w:val="22"/>
          <w:szCs w:val="22"/>
        </w:rPr>
        <w:t xml:space="preserve">Visca </w:t>
      </w:r>
      <w:r>
        <w:rPr>
          <w:b w:val="false"/>
          <w:bCs w:val="false"/>
          <w:i/>
          <w:iCs/>
          <w:sz w:val="22"/>
          <w:szCs w:val="22"/>
        </w:rPr>
        <w:t xml:space="preserve">et al., </w:t>
      </w:r>
      <w:r>
        <w:rPr>
          <w:b w:val="false"/>
          <w:bCs w:val="false"/>
          <w:i w:val="false"/>
          <w:iCs w:val="false"/>
          <w:sz w:val="22"/>
          <w:szCs w:val="22"/>
        </w:rPr>
        <w:t>1992)</w:t>
      </w:r>
      <w:bookmarkEnd w:id="3"/>
      <w:r>
        <w:rPr>
          <w:b w:val="false"/>
          <w:bCs w:val="false"/>
          <w:i w:val="false"/>
          <w:iCs w:val="false"/>
          <w:sz w:val="22"/>
          <w:szCs w:val="22"/>
        </w:rPr>
        <w:t xml:space="preserve">, Elastase activity(Visca </w:t>
      </w:r>
      <w:r>
        <w:rPr>
          <w:b w:val="false"/>
          <w:bCs w:val="false"/>
          <w:i/>
          <w:iCs/>
          <w:sz w:val="22"/>
          <w:szCs w:val="22"/>
        </w:rPr>
        <w:t xml:space="preserve">et al., </w:t>
      </w:r>
      <w:r>
        <w:rPr>
          <w:b w:val="false"/>
          <w:bCs w:val="false"/>
          <w:i w:val="false"/>
          <w:iCs w:val="false"/>
          <w:sz w:val="22"/>
          <w:szCs w:val="22"/>
        </w:rPr>
        <w:t xml:space="preserve">1992), </w:t>
      </w:r>
      <w:bookmarkStart w:id="4" w:name="__UnoMark__911_2063734865"/>
      <w:bookmarkEnd w:id="4"/>
      <w:r>
        <w:rPr>
          <w:b w:val="false"/>
          <w:bCs w:val="false"/>
          <w:i w:val="false"/>
          <w:iCs w:val="false"/>
          <w:sz w:val="22"/>
          <w:szCs w:val="22"/>
        </w:rPr>
        <w:t xml:space="preserve">Pyrazinamidase activity(Simonava </w:t>
      </w:r>
      <w:r>
        <w:rPr>
          <w:b w:val="false"/>
          <w:bCs w:val="false"/>
          <w:i/>
          <w:iCs/>
          <w:sz w:val="22"/>
          <w:szCs w:val="22"/>
        </w:rPr>
        <w:t>et al.,</w:t>
      </w:r>
      <w:r>
        <w:rPr>
          <w:b w:val="false"/>
          <w:bCs w:val="false"/>
          <w:i w:val="false"/>
          <w:iCs w:val="false"/>
          <w:sz w:val="22"/>
          <w:szCs w:val="22"/>
        </w:rPr>
        <w:t xml:space="preserve">2007), Siderophore production(Arnow 1937), Hemolysin production(Linkish and vogt, 1972), Ramnolipid production(Koch </w:t>
      </w:r>
      <w:r>
        <w:rPr>
          <w:b w:val="false"/>
          <w:bCs w:val="false"/>
          <w:i/>
          <w:iCs/>
          <w:sz w:val="22"/>
          <w:szCs w:val="22"/>
        </w:rPr>
        <w:t xml:space="preserve">et al., </w:t>
      </w:r>
      <w:r>
        <w:rPr>
          <w:b w:val="false"/>
          <w:bCs w:val="false"/>
          <w:i w:val="false"/>
          <w:iCs w:val="false"/>
          <w:sz w:val="22"/>
          <w:szCs w:val="22"/>
        </w:rPr>
        <w:t>1991)</w:t>
      </w:r>
    </w:p>
    <w:p>
      <w:pPr>
        <w:pStyle w:val="style148"/>
        <w:widowControl w:val="false"/>
        <w:numPr>
          <w:ilvl w:val="0"/>
          <w:numId w:val="3"/>
        </w:numPr>
        <w:tabs>
          <w:tab w:leader="none" w:pos="720" w:val="left"/>
        </w:tabs>
        <w:spacing w:line="360" w:lineRule="auto"/>
        <w:ind w:hanging="0" w:left="0" w:right="29"/>
        <w:jc w:val="both"/>
      </w:pPr>
      <w:r>
        <w:rPr>
          <w:b/>
          <w:sz w:val="22"/>
          <w:szCs w:val="22"/>
        </w:rPr>
        <w:t xml:space="preserve">Statistical analysis: </w:t>
      </w:r>
      <w:r>
        <w:rPr>
          <w:sz w:val="22"/>
          <w:szCs w:val="22"/>
        </w:rPr>
        <w:t>Nil</w:t>
      </w:r>
    </w:p>
    <w:p>
      <w:pPr>
        <w:pStyle w:val="style148"/>
        <w:widowControl w:val="false"/>
        <w:tabs>
          <w:tab w:leader="none" w:pos="720" w:val="left"/>
        </w:tabs>
        <w:spacing w:line="360" w:lineRule="auto"/>
        <w:ind w:hanging="0" w:left="0" w:right="29"/>
        <w:jc w:val="both"/>
      </w:pPr>
      <w:r>
        <w:rPr>
          <w:b/>
          <w:sz w:val="22"/>
          <w:szCs w:val="22"/>
        </w:rPr>
        <w:t xml:space="preserve">Experiment No. 3 </w:t>
      </w:r>
    </w:p>
    <w:p>
      <w:pPr>
        <w:pStyle w:val="style148"/>
        <w:widowControl w:val="false"/>
        <w:numPr>
          <w:ilvl w:val="0"/>
          <w:numId w:val="5"/>
        </w:numPr>
        <w:tabs>
          <w:tab w:leader="none" w:pos="720" w:val="left"/>
        </w:tabs>
        <w:spacing w:line="360" w:lineRule="auto"/>
        <w:ind w:hanging="0" w:left="0" w:right="29"/>
        <w:jc w:val="both"/>
      </w:pPr>
      <w:r>
        <w:rPr>
          <w:b/>
          <w:sz w:val="22"/>
          <w:szCs w:val="22"/>
        </w:rPr>
        <w:t xml:space="preserve">Name of the experiment : </w:t>
      </w:r>
      <w:r>
        <w:rPr>
          <w:sz w:val="22"/>
          <w:szCs w:val="22"/>
        </w:rPr>
        <w:t xml:space="preserve">Molecular characterization of </w:t>
      </w:r>
      <w:r>
        <w:rPr>
          <w:i/>
          <w:iCs/>
          <w:sz w:val="22"/>
          <w:szCs w:val="22"/>
        </w:rPr>
        <w:t>Aeromonas hydrophila.</w:t>
      </w:r>
      <w:r>
        <w:rPr>
          <w:sz w:val="22"/>
          <w:szCs w:val="22"/>
        </w:rPr>
        <w:t xml:space="preserve">                                                                                                              </w:t>
      </w:r>
    </w:p>
    <w:p>
      <w:pPr>
        <w:pStyle w:val="style148"/>
        <w:widowControl w:val="false"/>
        <w:numPr>
          <w:ilvl w:val="0"/>
          <w:numId w:val="5"/>
        </w:numPr>
        <w:tabs>
          <w:tab w:leader="none" w:pos="720" w:val="left"/>
        </w:tabs>
        <w:spacing w:line="360" w:lineRule="auto"/>
        <w:ind w:hanging="0" w:left="0" w:right="29"/>
        <w:jc w:val="both"/>
      </w:pPr>
      <w:r>
        <w:rPr>
          <w:b/>
          <w:sz w:val="22"/>
          <w:szCs w:val="22"/>
        </w:rPr>
        <w:t>Location:</w:t>
      </w:r>
      <w:r>
        <w:rPr>
          <w:sz w:val="22"/>
          <w:szCs w:val="22"/>
        </w:rPr>
        <w:t xml:space="preserve"> Department of Plant pathology, PAU, Ludhiana </w:t>
      </w:r>
    </w:p>
    <w:p>
      <w:pPr>
        <w:pStyle w:val="style148"/>
        <w:widowControl w:val="false"/>
        <w:numPr>
          <w:ilvl w:val="0"/>
          <w:numId w:val="5"/>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jc w:val="both"/>
      </w:pPr>
      <w:r>
        <w:rPr>
          <w:b/>
          <w:sz w:val="22"/>
          <w:szCs w:val="22"/>
        </w:rPr>
        <w:t xml:space="preserve">Methodology: </w:t>
      </w:r>
      <w:r>
        <w:rPr>
          <w:sz w:val="22"/>
          <w:szCs w:val="22"/>
        </w:rPr>
        <w:t xml:space="preserve">Molecular characterization of pathogenic isolates will be carried out on the basis of virulence genes as listed below </w:t>
      </w:r>
      <w:r>
        <w:rPr>
          <w:bCs/>
          <w:i/>
          <w:iCs/>
          <w:sz w:val="22"/>
          <w:szCs w:val="22"/>
        </w:rPr>
        <w:t>Aeromonas hydrophila</w:t>
      </w:r>
      <w:r>
        <w:rPr>
          <w:b/>
          <w:bCs/>
          <w:i/>
          <w:iCs/>
          <w:sz w:val="22"/>
          <w:szCs w:val="22"/>
        </w:rPr>
        <w:t xml:space="preserve"> </w:t>
      </w:r>
      <w:r>
        <w:rPr>
          <w:b/>
          <w:i/>
          <w:sz w:val="22"/>
          <w:szCs w:val="22"/>
        </w:rPr>
        <w:t xml:space="preserve"> </w:t>
      </w:r>
      <w:r>
        <w:rPr>
          <w:i/>
          <w:sz w:val="22"/>
          <w:szCs w:val="22"/>
        </w:rPr>
        <w:t>(</w:t>
      </w:r>
      <w:r>
        <w:rPr>
          <w:i/>
          <w:iCs/>
          <w:sz w:val="22"/>
          <w:szCs w:val="22"/>
        </w:rPr>
        <w:t>alt,act,ast,hlyA,ail aerA, aspA,ahpB, lip and tap).</w:t>
      </w:r>
    </w:p>
    <w:p>
      <w:pPr>
        <w:pStyle w:val="style148"/>
        <w:widowControl w:val="false"/>
        <w:numPr>
          <w:ilvl w:val="0"/>
          <w:numId w:val="5"/>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jc w:val="both"/>
      </w:pPr>
      <w:r>
        <w:rPr>
          <w:b/>
          <w:sz w:val="22"/>
          <w:szCs w:val="22"/>
        </w:rPr>
        <w:t xml:space="preserve">Observations to be recorded: </w:t>
      </w:r>
      <w:r>
        <w:rPr>
          <w:sz w:val="22"/>
          <w:szCs w:val="22"/>
        </w:rPr>
        <w:t xml:space="preserve">PCR amplification profile for individual virulence genes from different isolates of </w:t>
      </w:r>
      <w:r>
        <w:rPr>
          <w:bCs/>
          <w:i/>
          <w:iCs/>
          <w:sz w:val="22"/>
          <w:szCs w:val="22"/>
        </w:rPr>
        <w:t>Aeromonas</w:t>
      </w:r>
      <w:r>
        <w:rPr>
          <w:bCs/>
          <w:sz w:val="22"/>
          <w:szCs w:val="22"/>
        </w:rPr>
        <w:t xml:space="preserve"> </w:t>
      </w:r>
      <w:r>
        <w:rPr>
          <w:bCs/>
          <w:i/>
          <w:iCs/>
          <w:sz w:val="22"/>
          <w:szCs w:val="22"/>
        </w:rPr>
        <w:t>hydrophila</w:t>
      </w:r>
      <w:r>
        <w:rPr>
          <w:sz w:val="22"/>
          <w:szCs w:val="22"/>
        </w:rPr>
        <w:t xml:space="preserve"> will be generated. The amplification data will be analyzed using DARWIn 5.1 software.</w:t>
      </w:r>
    </w:p>
    <w:p>
      <w:pPr>
        <w:pStyle w:val="style148"/>
        <w:widowControl w:val="false"/>
        <w:numPr>
          <w:ilvl w:val="0"/>
          <w:numId w:val="5"/>
        </w:numPr>
        <w:tabs>
          <w:tab w:leader="none" w:pos="720" w:val="left"/>
        </w:tabs>
        <w:spacing w:line="360" w:lineRule="auto"/>
        <w:ind w:hanging="0" w:left="0" w:right="29"/>
        <w:jc w:val="both"/>
      </w:pPr>
      <w:bookmarkStart w:id="5" w:name="__DdeLink__1020_373957455"/>
      <w:r>
        <w:rPr>
          <w:b/>
          <w:sz w:val="22"/>
          <w:szCs w:val="22"/>
        </w:rPr>
        <w:t xml:space="preserve">Statistical analysis: </w:t>
      </w:r>
      <w:bookmarkEnd w:id="5"/>
      <w:r>
        <w:rPr>
          <w:sz w:val="22"/>
          <w:szCs w:val="22"/>
        </w:rPr>
        <w:t>Nil</w:t>
      </w:r>
    </w:p>
    <w:p>
      <w:pPr>
        <w:pStyle w:val="style148"/>
        <w:widowControl w:val="false"/>
        <w:tabs>
          <w:tab w:leader="none" w:pos="720" w:val="left"/>
        </w:tabs>
        <w:spacing w:line="360" w:lineRule="auto"/>
        <w:ind w:hanging="0" w:left="0" w:right="29"/>
        <w:jc w:val="both"/>
      </w:pPr>
      <w:r>
        <w:rPr>
          <w:b/>
          <w:bCs/>
          <w:sz w:val="22"/>
          <w:szCs w:val="22"/>
        </w:rPr>
        <w:t>Experiment No. 4</w:t>
      </w:r>
    </w:p>
    <w:p>
      <w:pPr>
        <w:pStyle w:val="style148"/>
        <w:widowControl w:val="false"/>
        <w:numPr>
          <w:ilvl w:val="0"/>
          <w:numId w:val="6"/>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jc w:val="both"/>
      </w:pPr>
      <w:r>
        <w:rPr>
          <w:b/>
          <w:sz w:val="22"/>
          <w:szCs w:val="22"/>
        </w:rPr>
        <w:t xml:space="preserve">Name of the experiment : </w:t>
      </w:r>
      <w:r>
        <w:rPr>
          <w:sz w:val="22"/>
          <w:szCs w:val="22"/>
        </w:rPr>
        <w:t xml:space="preserve">To test the bacteriocidal properties of disinfectants against </w:t>
      </w:r>
      <w:r>
        <w:rPr>
          <w:i/>
          <w:iCs/>
          <w:sz w:val="22"/>
          <w:szCs w:val="22"/>
        </w:rPr>
        <w:t>Aeromonas</w:t>
      </w:r>
      <w:r>
        <w:rPr>
          <w:sz w:val="22"/>
          <w:szCs w:val="22"/>
        </w:rPr>
        <w:t xml:space="preserve"> strains.</w:t>
      </w:r>
    </w:p>
    <w:p>
      <w:pPr>
        <w:pStyle w:val="style148"/>
        <w:widowControl w:val="false"/>
        <w:numPr>
          <w:ilvl w:val="0"/>
          <w:numId w:val="6"/>
        </w:numPr>
        <w:tabs>
          <w:tab w:leader="none" w:pos="720" w:val="left"/>
        </w:tabs>
        <w:spacing w:line="360" w:lineRule="auto"/>
        <w:ind w:hanging="0" w:left="0" w:right="29"/>
        <w:jc w:val="both"/>
      </w:pPr>
      <w:r>
        <w:rPr>
          <w:b/>
          <w:sz w:val="22"/>
          <w:szCs w:val="22"/>
        </w:rPr>
        <w:t>Location:</w:t>
      </w:r>
      <w:r>
        <w:rPr>
          <w:sz w:val="22"/>
          <w:szCs w:val="22"/>
        </w:rPr>
        <w:t xml:space="preserve"> Department of Microbiology, PAU, Ludhiana</w:t>
      </w:r>
    </w:p>
    <w:p>
      <w:pPr>
        <w:pStyle w:val="style148"/>
        <w:widowControl w:val="false"/>
        <w:numPr>
          <w:ilvl w:val="0"/>
          <w:numId w:val="6"/>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jc w:val="both"/>
      </w:pPr>
      <w:r>
        <w:rPr>
          <w:b/>
          <w:sz w:val="22"/>
          <w:szCs w:val="22"/>
        </w:rPr>
        <w:t xml:space="preserve">Methodology: </w:t>
      </w:r>
      <w:r>
        <w:rPr>
          <w:sz w:val="22"/>
          <w:szCs w:val="22"/>
        </w:rPr>
        <w:t xml:space="preserve">Effectiveness of chlorinated water (different concentrations of sodium hypochlorite) and peracetic acid (peracetic acid, hydrogen peroxide acetic acid) will be determined. 25g of sample(whole, surface and macerate) will be rinsed in chlorinated water of varied degree of concentration i.e. 30, 50, 75 and 100ppm for varied time period i.e. 2, 5, 10 mins and different concentration of peracetic acid(1-5%) at different time period (1-10min). The samples will then be evaluated for log reduction aeromonads load using enrichment culture techniques described in Experiment no. 1. </w:t>
      </w:r>
    </w:p>
    <w:p>
      <w:pPr>
        <w:pStyle w:val="style148"/>
        <w:widowControl w:val="false"/>
        <w:numPr>
          <w:ilvl w:val="0"/>
          <w:numId w:val="6"/>
        </w:numPr>
        <w:tabs>
          <w:tab w:leader="none" w:pos="1440" w:val="left"/>
          <w:tab w:leader="none" w:pos="2160" w:val="left"/>
          <w:tab w:leader="none" w:pos="2880" w:val="left"/>
          <w:tab w:leader="none" w:pos="3600" w:val="left"/>
          <w:tab w:leader="none" w:pos="4320" w:val="left"/>
          <w:tab w:leader="none" w:pos="5040" w:val="left"/>
          <w:tab w:leader="none" w:pos="5760" w:val="left"/>
        </w:tabs>
        <w:spacing w:line="360" w:lineRule="auto"/>
        <w:ind w:hanging="720" w:left="720" w:right="29"/>
        <w:jc w:val="both"/>
      </w:pPr>
      <w:r>
        <w:rPr>
          <w:b/>
          <w:sz w:val="22"/>
          <w:szCs w:val="22"/>
        </w:rPr>
        <w:t xml:space="preserve">Observations to be recorded: </w:t>
      </w:r>
      <w:r>
        <w:rPr>
          <w:b w:val="false"/>
          <w:bCs w:val="false"/>
          <w:sz w:val="22"/>
          <w:szCs w:val="22"/>
        </w:rPr>
        <w:t>C</w:t>
      </w:r>
      <w:r>
        <w:rPr>
          <w:sz w:val="22"/>
          <w:szCs w:val="22"/>
        </w:rPr>
        <w:t>olony forming units per ml will be recorded and organoleptic characteristic  will be determined and correlation will be carried out with untreated samples as control.</w:t>
      </w:r>
    </w:p>
    <w:p>
      <w:pPr>
        <w:pStyle w:val="style148"/>
        <w:widowControl w:val="false"/>
        <w:numPr>
          <w:ilvl w:val="0"/>
          <w:numId w:val="6"/>
        </w:numPr>
        <w:tabs>
          <w:tab w:leader="none" w:pos="720" w:val="left"/>
        </w:tabs>
        <w:spacing w:line="360" w:lineRule="auto"/>
        <w:ind w:hanging="0" w:left="0" w:right="29"/>
        <w:jc w:val="both"/>
      </w:pPr>
      <w:r>
        <w:rPr>
          <w:b/>
          <w:sz w:val="22"/>
          <w:szCs w:val="22"/>
        </w:rPr>
        <w:t xml:space="preserve">Statistical analysis: </w:t>
      </w:r>
      <w:r>
        <w:rPr>
          <w:b w:val="false"/>
          <w:bCs w:val="false"/>
          <w:sz w:val="22"/>
          <w:szCs w:val="22"/>
        </w:rPr>
        <w:t>CD</w:t>
      </w:r>
      <w:r>
        <w:rPr>
          <w:b/>
          <w:bCs/>
          <w:sz w:val="14"/>
          <w:szCs w:val="14"/>
        </w:rPr>
        <w:t xml:space="preserve">5% </w:t>
      </w:r>
      <w:r>
        <w:rPr>
          <w:b w:val="false"/>
          <w:bCs w:val="false"/>
          <w:sz w:val="22"/>
          <w:szCs w:val="22"/>
        </w:rPr>
        <w:t>using ANNOVA</w:t>
      </w:r>
    </w:p>
    <w:p>
      <w:pPr>
        <w:pStyle w:val="style0"/>
        <w:widowControl w:val="false"/>
        <w:tabs>
          <w:tab w:leader="none" w:pos="720" w:val="left"/>
        </w:tabs>
        <w:spacing w:line="360" w:lineRule="auto"/>
        <w:ind w:hanging="0" w:left="0" w:right="29"/>
        <w:jc w:val="both"/>
      </w:pPr>
      <w:r>
        <w:rPr/>
      </w:r>
    </w:p>
    <w:p>
      <w:pPr>
        <w:pStyle w:val="style0"/>
        <w:widowControl w:val="false"/>
        <w:tabs>
          <w:tab w:leader="none" w:pos="720" w:val="left"/>
        </w:tabs>
        <w:spacing w:line="360" w:lineRule="auto"/>
        <w:ind w:hanging="0" w:left="0" w:right="29"/>
        <w:jc w:val="both"/>
      </w:pPr>
      <w:r>
        <w:rPr/>
      </w:r>
    </w:p>
    <w:p>
      <w:pPr>
        <w:pStyle w:val="style148"/>
        <w:widowControl w:val="false"/>
        <w:tabs>
          <w:tab w:leader="none" w:pos="720" w:val="left"/>
        </w:tabs>
        <w:spacing w:line="360" w:lineRule="auto"/>
        <w:ind w:hanging="0" w:left="0" w:right="29"/>
        <w:jc w:val="both"/>
      </w:pPr>
      <w:r>
        <w:rPr/>
      </w:r>
    </w:p>
    <w:p>
      <w:pPr>
        <w:pStyle w:val="style148"/>
        <w:widowControl w:val="false"/>
        <w:tabs>
          <w:tab w:leader="none" w:pos="720" w:val="left"/>
        </w:tabs>
        <w:spacing w:line="360" w:lineRule="auto"/>
        <w:ind w:hanging="0" w:left="0" w:right="29"/>
        <w:jc w:val="both"/>
      </w:pPr>
      <w:r>
        <w:rPr/>
      </w:r>
    </w:p>
    <w:p>
      <w:pPr>
        <w:pStyle w:val="style148"/>
        <w:widowControl w:val="false"/>
        <w:tabs>
          <w:tab w:leader="none" w:pos="720" w:val="left"/>
        </w:tabs>
        <w:spacing w:line="360" w:lineRule="auto"/>
        <w:ind w:hanging="0" w:left="0" w:right="29"/>
        <w:jc w:val="both"/>
      </w:pPr>
      <w:r>
        <w:rPr/>
      </w:r>
    </w:p>
    <w:p>
      <w:pPr>
        <w:pStyle w:val="style148"/>
        <w:widowControl w:val="false"/>
        <w:tabs>
          <w:tab w:leader="none" w:pos="720" w:val="left"/>
        </w:tabs>
        <w:spacing w:line="360" w:lineRule="auto"/>
        <w:ind w:hanging="0" w:left="0" w:right="29"/>
        <w:jc w:val="both"/>
      </w:pPr>
      <w:r>
        <w:rPr/>
      </w:r>
    </w:p>
    <w:p>
      <w:pPr>
        <w:pStyle w:val="style0"/>
        <w:tabs>
          <w:tab w:leader="none" w:pos="720" w:val="left"/>
        </w:tabs>
        <w:suppressAutoHyphens w:val="false"/>
        <w:spacing w:after="200" w:before="0" w:line="276" w:lineRule="auto"/>
      </w:pPr>
      <w:r>
        <w:rPr/>
      </w:r>
    </w:p>
    <w:p>
      <w:pPr>
        <w:pStyle w:val="style148"/>
        <w:pageBreakBefore/>
        <w:widowControl w:val="false"/>
        <w:tabs>
          <w:tab w:leader="none" w:pos="720" w:val="left"/>
        </w:tabs>
        <w:spacing w:line="360" w:lineRule="auto"/>
        <w:ind w:hanging="0" w:left="0" w:right="29"/>
        <w:jc w:val="both"/>
      </w:pPr>
      <w:r>
        <w:rPr>
          <w:b/>
          <w:bCs/>
          <w:sz w:val="22"/>
          <w:szCs w:val="22"/>
        </w:rPr>
        <w:t>6.  Schedule work flow diagram</w:t>
      </w:r>
    </w:p>
    <w:p>
      <w:pPr>
        <w:pStyle w:val="style148"/>
        <w:widowControl w:val="false"/>
        <w:tabs>
          <w:tab w:leader="none" w:pos="720" w:val="left"/>
        </w:tabs>
        <w:spacing w:line="100" w:lineRule="atLeast"/>
        <w:ind w:hanging="0" w:left="0" w:right="29"/>
        <w:jc w:val="both"/>
      </w:pPr>
      <w:r>
        <w:rPr/>
      </w:r>
    </w:p>
    <w:tbl>
      <w:tblPr>
        <w:jc w:val="left"/>
        <w:tblInd w:type="dxa" w:w="-1018"/>
        <w:tblBorders>
          <w:top w:color="00000A" w:space="0" w:sz="4" w:val="single"/>
          <w:left w:color="00000A" w:space="0" w:sz="4" w:val="single"/>
          <w:bottom w:color="00000A" w:space="0" w:sz="4" w:val="single"/>
          <w:right w:color="00000A" w:space="0" w:sz="4" w:val="single"/>
        </w:tblBorders>
      </w:tblPr>
      <w:tblGrid>
        <w:gridCol w:w="473"/>
        <w:gridCol w:w="474"/>
        <w:gridCol w:w="474"/>
        <w:gridCol w:w="473"/>
        <w:gridCol w:w="7583"/>
      </w:tblGrid>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S. No.</w:t>
            </w:r>
          </w:p>
        </w:tc>
        <w:tc>
          <w:tcPr>
            <w:tcW w:type="dxa" w:w="474"/>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 xml:space="preserve">Activity </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Semester II</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Semester III</w:t>
            </w:r>
          </w:p>
        </w:tc>
        <w:tc>
          <w:tcPr>
            <w:tcW w:type="dxa" w:w="7583"/>
            <w:gridSpan w:val="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Semester IV</w:t>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J</w:t>
            </w:r>
          </w:p>
        </w:tc>
        <w:tc>
          <w:tcPr>
            <w:tcW w:type="dxa" w:w="474"/>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F</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M</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A</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M</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J</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J</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A</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S</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O</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N</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D</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J</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F</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M</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A</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M</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J</w:t>
            </w:r>
          </w:p>
        </w:tc>
        <w:tc>
          <w:tcPr>
            <w:tcW w:type="dxa" w:w="476"/>
            <w:tcBorders/>
            <w:shd w:fill="auto" w:val="clear"/>
            <w:tcMar>
              <w:top w:type="dxa" w:w="0"/>
              <w:left w:type="dxa" w:w="0"/>
              <w:bottom w:type="dxa" w:w="0"/>
              <w:right w:type="dxa" w:w="0"/>
            </w:tcMar>
          </w:tcPr>
          <w:p>
            <w:pPr>
              <w:pStyle w:val="style0"/>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1.</w:t>
            </w:r>
          </w:p>
        </w:tc>
        <w:tc>
          <w:tcPr>
            <w:tcW w:type="dxa" w:w="474"/>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Synopsis preparation &amp; submission</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2.</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 xml:space="preserve">Epidemiological survillence   for </w:t>
            </w:r>
            <w:r>
              <w:rPr>
                <w:i/>
                <w:iCs/>
                <w:sz w:val="22"/>
                <w:szCs w:val="22"/>
              </w:rPr>
              <w:t xml:space="preserve">A.hydrophila </w:t>
            </w:r>
            <w:r>
              <w:rPr>
                <w:sz w:val="22"/>
                <w:szCs w:val="22"/>
              </w:rPr>
              <w:t>and database generation for the quality of salad vegetables</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3.</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 xml:space="preserve">Biochemical &amp; molecular characterization of </w:t>
            </w:r>
            <w:r>
              <w:rPr>
                <w:i/>
                <w:iCs/>
                <w:sz w:val="22"/>
                <w:szCs w:val="22"/>
              </w:rPr>
              <w:t>A.hydrophila</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4.</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Polymerase chain reaction</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5.</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Thesis writting</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c>
          <w:tcPr>
            <w:tcW w:type="dxa" w:w="4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6.</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Thesis seminar</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7.</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Rough thesis submission</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8.</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both"/>
            </w:pPr>
            <w:r>
              <w:rPr>
                <w:sz w:val="22"/>
                <w:szCs w:val="22"/>
              </w:rPr>
              <w:t>Final Thesis submission</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r>
          </w:p>
        </w:tc>
        <w:tc>
          <w:tcPr>
            <w:tcW w:type="dxa" w:w="4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56"/>
              <w:widowControl w:val="false"/>
              <w:tabs>
                <w:tab w:leader="none" w:pos="720" w:val="left"/>
              </w:tabs>
              <w:spacing w:after="120" w:before="120"/>
              <w:ind w:hanging="0" w:left="0" w:right="29"/>
              <w:jc w:val="center"/>
            </w:pPr>
            <w:r>
              <w:rPr>
                <w:sz w:val="22"/>
                <w:szCs w:val="22"/>
              </w:rPr>
              <w:t>*</w:t>
            </w:r>
          </w:p>
        </w:tc>
      </w:tr>
    </w:tbl>
    <w:p>
      <w:pPr>
        <w:pStyle w:val="style140"/>
        <w:widowControl w:val="false"/>
        <w:tabs>
          <w:tab w:leader="none" w:pos="720" w:val="left"/>
        </w:tabs>
        <w:spacing w:after="0" w:before="0" w:line="360" w:lineRule="auto"/>
        <w:ind w:hanging="0" w:left="0" w:right="29"/>
        <w:jc w:val="both"/>
      </w:pPr>
      <w:r>
        <w:rPr/>
      </w:r>
    </w:p>
    <w:p>
      <w:pPr>
        <w:pStyle w:val="style140"/>
        <w:widowControl w:val="false"/>
        <w:tabs>
          <w:tab w:leader="none" w:pos="720" w:val="left"/>
        </w:tabs>
        <w:spacing w:after="0" w:before="0" w:line="360" w:lineRule="auto"/>
        <w:ind w:hanging="0" w:left="0" w:right="29"/>
        <w:jc w:val="both"/>
      </w:pPr>
      <w:r>
        <w:rPr>
          <w:b/>
          <w:bCs/>
          <w:spacing w:val="10"/>
          <w:sz w:val="22"/>
          <w:szCs w:val="22"/>
        </w:rPr>
        <w:t xml:space="preserve">JFM…………..D refer to name of the month  </w:t>
      </w:r>
    </w:p>
    <w:p>
      <w:pPr>
        <w:pStyle w:val="style140"/>
        <w:widowControl w:val="false"/>
        <w:tabs>
          <w:tab w:leader="none" w:pos="720" w:val="left"/>
        </w:tabs>
        <w:spacing w:after="0" w:before="0" w:line="360" w:lineRule="auto"/>
        <w:ind w:hanging="0" w:left="0" w:right="29"/>
        <w:jc w:val="both"/>
      </w:pPr>
      <w:r>
        <w:rPr/>
      </w:r>
    </w:p>
    <w:p>
      <w:pPr>
        <w:pStyle w:val="style140"/>
        <w:widowControl w:val="false"/>
        <w:tabs>
          <w:tab w:leader="none" w:pos="720" w:val="left"/>
        </w:tabs>
        <w:spacing w:after="0" w:before="0" w:line="360" w:lineRule="auto"/>
        <w:ind w:hanging="0" w:left="0" w:right="29"/>
        <w:jc w:val="both"/>
      </w:pPr>
      <w:r>
        <w:rPr>
          <w:b/>
          <w:bCs/>
          <w:spacing w:val="10"/>
          <w:sz w:val="22"/>
          <w:szCs w:val="22"/>
        </w:rPr>
        <w:t xml:space="preserve">7. Collaborations, if any: nil </w:t>
      </w:r>
    </w:p>
    <w:p>
      <w:pPr>
        <w:pStyle w:val="style153"/>
        <w:widowControl w:val="false"/>
        <w:tabs>
          <w:tab w:leader="none" w:pos="4680" w:val="center"/>
          <w:tab w:leader="none" w:pos="9360" w:val="right"/>
        </w:tabs>
        <w:ind w:hanging="0" w:left="0" w:right="29"/>
      </w:pPr>
      <w:r>
        <w:rPr/>
      </w:r>
    </w:p>
    <w:p>
      <w:pPr>
        <w:pStyle w:val="style0"/>
        <w:tabs>
          <w:tab w:leader="none" w:pos="720" w:val="left"/>
          <w:tab w:leader="none" w:pos="4680" w:val="center"/>
          <w:tab w:leader="none" w:pos="9360" w:val="right"/>
        </w:tabs>
        <w:suppressAutoHyphens w:val="false"/>
        <w:spacing w:after="200" w:before="0" w:line="276" w:lineRule="auto"/>
      </w:pPr>
      <w:r>
        <w:rPr/>
      </w:r>
    </w:p>
    <w:p>
      <w:pPr>
        <w:pStyle w:val="style153"/>
        <w:pageBreakBefore/>
        <w:widowControl w:val="false"/>
        <w:tabs>
          <w:tab w:leader="none" w:pos="5400" w:val="center"/>
          <w:tab w:leader="none" w:pos="6120" w:val="center"/>
          <w:tab w:leader="none" w:pos="6840" w:val="center"/>
          <w:tab w:leader="none" w:pos="7560" w:val="center"/>
          <w:tab w:leader="none" w:pos="8280" w:val="center"/>
          <w:tab w:leader="none" w:pos="9000" w:val="center"/>
          <w:tab w:leader="none" w:pos="9720" w:val="center"/>
          <w:tab w:leader="none" w:pos="10080" w:val="right"/>
          <w:tab w:leader="none" w:pos="10800" w:val="right"/>
          <w:tab w:leader="none" w:pos="11520" w:val="right"/>
          <w:tab w:leader="none" w:pos="12240" w:val="right"/>
          <w:tab w:leader="none" w:pos="12960" w:val="right"/>
          <w:tab w:leader="none" w:pos="13680" w:val="right"/>
          <w:tab w:leader="none" w:pos="14400" w:val="right"/>
        </w:tabs>
        <w:spacing w:after="240" w:before="0" w:line="360" w:lineRule="auto"/>
        <w:ind w:hanging="720" w:left="720" w:right="29"/>
        <w:jc w:val="both"/>
      </w:pPr>
      <w:r>
        <w:rPr>
          <w:b/>
          <w:color w:val="000000"/>
          <w:sz w:val="22"/>
          <w:szCs w:val="22"/>
        </w:rPr>
        <w:t>8.  References</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Arunav D, M E Sindhuja, Ashi R, Mkarthikeyan, C R Santhos and G S Murgesan (2013) Diagnosis of virulent strains of motile </w:t>
      </w:r>
      <w:r>
        <w:rPr>
          <w:i/>
          <w:iCs/>
          <w:sz w:val="22"/>
          <w:szCs w:val="22"/>
        </w:rPr>
        <w:t xml:space="preserve">Aeromonas </w:t>
      </w:r>
      <w:r>
        <w:rPr>
          <w:i w:val="false"/>
          <w:iCs w:val="false"/>
          <w:sz w:val="22"/>
          <w:szCs w:val="22"/>
        </w:rPr>
        <w:t xml:space="preserve">from commercial food . </w:t>
      </w:r>
      <w:r>
        <w:rPr>
          <w:i/>
          <w:iCs/>
          <w:sz w:val="22"/>
          <w:szCs w:val="22"/>
        </w:rPr>
        <w:t xml:space="preserve">IntJ Cur Micobl Ap Sci </w:t>
      </w:r>
      <w:r>
        <w:rPr>
          <w:b/>
          <w:bCs/>
          <w:i w:val="false"/>
          <w:iCs w:val="false"/>
          <w:sz w:val="22"/>
          <w:szCs w:val="22"/>
        </w:rPr>
        <w:t>2(11)</w:t>
      </w:r>
      <w:r>
        <w:rPr>
          <w:b w:val="false"/>
          <w:bCs w:val="false"/>
          <w:i w:val="false"/>
          <w:iCs w:val="false"/>
          <w:sz w:val="22"/>
          <w:szCs w:val="22"/>
        </w:rPr>
        <w:t>: 300-06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Ajlouni S, Sibrani H, Premier R and Tomkins B (2006) Ultrasonication and fresh produce (cos lettuce) preservation. </w:t>
      </w:r>
      <w:r>
        <w:rPr>
          <w:i/>
          <w:sz w:val="22"/>
          <w:szCs w:val="22"/>
        </w:rPr>
        <w:t>J Food Sci</w:t>
      </w:r>
      <w:r>
        <w:rPr>
          <w:sz w:val="22"/>
          <w:szCs w:val="22"/>
        </w:rPr>
        <w:t xml:space="preserve"> </w:t>
      </w:r>
      <w:r>
        <w:rPr>
          <w:b/>
          <w:sz w:val="22"/>
          <w:szCs w:val="22"/>
        </w:rPr>
        <w:t>71</w:t>
      </w:r>
      <w:r>
        <w:rPr>
          <w:sz w:val="22"/>
          <w:szCs w:val="22"/>
        </w:rPr>
        <w:t>(2):62-68.</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color w:val="000000"/>
          <w:sz w:val="22"/>
          <w:szCs w:val="22"/>
        </w:rPr>
        <w:t xml:space="preserve">Alemmayehu D, Keetema B and Tschasige K (2014)Microbiological quality and safety of some selected vegetables sold in Jimma town, Southwestern Ehiopia. </w:t>
      </w:r>
      <w:r>
        <w:rPr>
          <w:i/>
          <w:iCs/>
          <w:color w:val="000000"/>
          <w:sz w:val="22"/>
          <w:szCs w:val="22"/>
        </w:rPr>
        <w:t xml:space="preserve">Afr J Env Sci Tech </w:t>
      </w:r>
      <w:r>
        <w:rPr>
          <w:b/>
          <w:bCs/>
          <w:color w:val="000000"/>
          <w:sz w:val="22"/>
          <w:szCs w:val="22"/>
        </w:rPr>
        <w:t>8</w:t>
      </w:r>
      <w:r>
        <w:rPr>
          <w:color w:val="000000"/>
          <w:sz w:val="22"/>
          <w:szCs w:val="22"/>
        </w:rPr>
        <w:t>(11):653-63.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bCs/>
          <w:sz w:val="22"/>
          <w:szCs w:val="22"/>
        </w:rPr>
        <w:t xml:space="preserve">Hawraa N K and Al-Ammar M H (2013) Study of some virulence factors of </w:t>
      </w:r>
      <w:r>
        <w:rPr>
          <w:bCs/>
          <w:i/>
          <w:iCs/>
          <w:sz w:val="22"/>
          <w:szCs w:val="22"/>
        </w:rPr>
        <w:t>Aeromonas hydrophila</w:t>
      </w:r>
      <w:r>
        <w:rPr>
          <w:bCs/>
          <w:sz w:val="22"/>
          <w:szCs w:val="22"/>
        </w:rPr>
        <w:t xml:space="preserve"> isolated from clinical samples (Iraq). </w:t>
      </w:r>
      <w:r>
        <w:rPr>
          <w:bCs/>
          <w:i/>
          <w:iCs/>
          <w:sz w:val="22"/>
          <w:szCs w:val="22"/>
        </w:rPr>
        <w:t xml:space="preserve">Int J Sci Engg Investigation </w:t>
      </w:r>
      <w:r>
        <w:rPr>
          <w:b/>
          <w:bCs/>
          <w:sz w:val="22"/>
          <w:szCs w:val="22"/>
        </w:rPr>
        <w:t>2</w:t>
      </w:r>
      <w:r>
        <w:rPr>
          <w:bCs/>
          <w:sz w:val="22"/>
          <w:szCs w:val="22"/>
        </w:rPr>
        <w:t>:113-21.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Bains K and Shruti (2007) Analysis of various vegetable preparations for calcium, iron and zinc intake of Punjabi and urban rural families. </w:t>
      </w:r>
      <w:r>
        <w:rPr>
          <w:i/>
          <w:sz w:val="22"/>
          <w:szCs w:val="22"/>
        </w:rPr>
        <w:t>IJNPR</w:t>
      </w:r>
      <w:r>
        <w:rPr>
          <w:sz w:val="22"/>
          <w:szCs w:val="22"/>
        </w:rPr>
        <w:t xml:space="preserve"> </w:t>
      </w:r>
      <w:r>
        <w:rPr>
          <w:b/>
          <w:sz w:val="22"/>
          <w:szCs w:val="22"/>
        </w:rPr>
        <w:t>6(2)</w:t>
      </w:r>
      <w:r>
        <w:rPr>
          <w:sz w:val="22"/>
          <w:szCs w:val="22"/>
        </w:rPr>
        <w:t>:106-10.</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Bottero M T, Dalmasso A, Soglia D, Rosati S, Decastelli L and Civera T(2004) Development of multiplex PCR assay for the identification of pathogenic genes of </w:t>
      </w:r>
      <w:r>
        <w:rPr>
          <w:i/>
          <w:iCs/>
          <w:sz w:val="22"/>
          <w:szCs w:val="22"/>
        </w:rPr>
        <w:t>E.coli</w:t>
      </w:r>
      <w:r>
        <w:rPr>
          <w:i w:val="false"/>
          <w:iCs w:val="false"/>
          <w:sz w:val="22"/>
          <w:szCs w:val="22"/>
        </w:rPr>
        <w:t xml:space="preserve"> in milk and milk products. </w:t>
      </w:r>
      <w:r>
        <w:rPr>
          <w:i/>
          <w:iCs/>
          <w:sz w:val="22"/>
          <w:szCs w:val="22"/>
        </w:rPr>
        <w:t xml:space="preserve">Mol Cell Probes </w:t>
      </w:r>
      <w:r>
        <w:rPr>
          <w:b/>
          <w:bCs/>
          <w:i/>
          <w:iCs/>
          <w:sz w:val="22"/>
          <w:szCs w:val="22"/>
        </w:rPr>
        <w:t xml:space="preserve">18: </w:t>
      </w:r>
      <w:r>
        <w:rPr>
          <w:b w:val="false"/>
          <w:bCs w:val="false"/>
          <w:i w:val="false"/>
          <w:iCs w:val="false"/>
          <w:sz w:val="22"/>
          <w:szCs w:val="22"/>
        </w:rPr>
        <w:t>283-88.</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bCs/>
          <w:sz w:val="22"/>
          <w:szCs w:val="22"/>
        </w:rPr>
        <w:t xml:space="preserve">Eni A O, Oluwawemitan I A and Solomon O U (2010) Microbial quality of fruits and vegetables sold in Sango Ota, Nigeria. </w:t>
      </w:r>
      <w:r>
        <w:rPr>
          <w:bCs/>
          <w:i/>
          <w:iCs/>
          <w:sz w:val="22"/>
          <w:szCs w:val="22"/>
        </w:rPr>
        <w:t xml:space="preserve">Afr J Food Sci </w:t>
      </w:r>
      <w:r>
        <w:rPr>
          <w:b/>
          <w:bCs/>
          <w:sz w:val="22"/>
          <w:szCs w:val="22"/>
        </w:rPr>
        <w:t>4</w:t>
      </w:r>
      <w:r>
        <w:rPr>
          <w:bCs/>
          <w:sz w:val="22"/>
          <w:szCs w:val="22"/>
        </w:rPr>
        <w:t>: 291-96.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Fadl A A, Galindo C L, Sha J, Zhang F, Garner H R, Wang H Q, Chopra A K (2007) </w:t>
      </w:r>
      <w:r>
        <w:rPr>
          <w:bCs/>
          <w:sz w:val="22"/>
          <w:szCs w:val="22"/>
        </w:rPr>
        <w:t>Global transcriptional responses ofwild-type Aeromonas hydrophila and its virulence-deficient  mutant in a murine model of infection.</w:t>
      </w:r>
      <w:r>
        <w:rPr>
          <w:bCs/>
          <w:i/>
          <w:iCs/>
          <w:sz w:val="22"/>
          <w:szCs w:val="22"/>
        </w:rPr>
        <w:t xml:space="preserve"> Microbial Pathogenesis.</w:t>
      </w:r>
      <w:r>
        <w:rPr>
          <w:bCs/>
          <w:sz w:val="22"/>
          <w:szCs w:val="22"/>
        </w:rPr>
        <w:t xml:space="preserve"> </w:t>
      </w:r>
      <w:r>
        <w:rPr>
          <w:b/>
          <w:bCs/>
          <w:sz w:val="22"/>
          <w:szCs w:val="22"/>
        </w:rPr>
        <w:t>42</w:t>
      </w:r>
      <w:r>
        <w:rPr>
          <w:bCs/>
          <w:sz w:val="22"/>
          <w:szCs w:val="22"/>
        </w:rPr>
        <w:t>(5-6):193-203.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bCs/>
          <w:sz w:val="22"/>
          <w:szCs w:val="22"/>
        </w:rPr>
        <w:t xml:space="preserve">Harris L J, Farber J N, Beuchat L R, Parish m E, Sulsow T V, Garrett E H and Busta F F (2003) Outbreaks associated with fresh produce. </w:t>
      </w:r>
      <w:r>
        <w:rPr>
          <w:bCs/>
          <w:i/>
          <w:iCs/>
          <w:sz w:val="22"/>
          <w:szCs w:val="22"/>
        </w:rPr>
        <w:t>Comp Rev Food Sci Food Safety</w:t>
      </w:r>
      <w:r>
        <w:rPr>
          <w:b/>
          <w:bCs/>
          <w:i/>
          <w:iCs/>
          <w:sz w:val="22"/>
          <w:szCs w:val="22"/>
        </w:rPr>
        <w:t xml:space="preserve"> </w:t>
      </w:r>
      <w:r>
        <w:rPr>
          <w:b/>
          <w:bCs/>
          <w:i w:val="false"/>
          <w:iCs w:val="false"/>
          <w:sz w:val="22"/>
          <w:szCs w:val="22"/>
        </w:rPr>
        <w:t>2</w:t>
      </w:r>
      <w:r>
        <w:rPr>
          <w:b/>
          <w:bCs/>
          <w:i/>
          <w:iCs/>
          <w:sz w:val="22"/>
          <w:szCs w:val="22"/>
        </w:rPr>
        <w:t>:</w:t>
      </w:r>
      <w:r>
        <w:rPr>
          <w:b w:val="false"/>
          <w:bCs w:val="false"/>
          <w:i w:val="false"/>
          <w:iCs w:val="false"/>
          <w:sz w:val="22"/>
          <w:szCs w:val="22"/>
        </w:rPr>
        <w:t>78-141.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Huxley R R, Lean M, Crozier A, John J H and Neil H A W (2004) Effect of dietary advice to increase fruit and vegetable consumption on plasmaflavonol concentrations: results from a randomized controlled intervention trial. </w:t>
      </w:r>
      <w:r>
        <w:rPr>
          <w:i/>
          <w:sz w:val="22"/>
          <w:szCs w:val="22"/>
        </w:rPr>
        <w:t xml:space="preserve">J  Epidemiol Commun Health </w:t>
      </w:r>
      <w:r>
        <w:rPr>
          <w:b/>
          <w:bCs/>
          <w:sz w:val="22"/>
          <w:szCs w:val="22"/>
        </w:rPr>
        <w:t>58</w:t>
      </w:r>
      <w:r>
        <w:rPr>
          <w:sz w:val="22"/>
          <w:szCs w:val="22"/>
        </w:rPr>
        <w:t>: 288-89.</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bCs/>
          <w:sz w:val="22"/>
          <w:szCs w:val="22"/>
        </w:rPr>
        <w:t xml:space="preserve">Izumi H (1999) Electrolyzed water as a Disinfectant for fresh-cut vegetables. </w:t>
      </w:r>
      <w:r>
        <w:rPr>
          <w:bCs/>
          <w:i/>
          <w:iCs/>
          <w:sz w:val="22"/>
          <w:szCs w:val="22"/>
        </w:rPr>
        <w:t xml:space="preserve">J Food Sci </w:t>
      </w:r>
      <w:r>
        <w:rPr>
          <w:b/>
          <w:bCs/>
          <w:sz w:val="22"/>
          <w:szCs w:val="22"/>
        </w:rPr>
        <w:t>64</w:t>
      </w:r>
      <w:r>
        <w:rPr>
          <w:sz w:val="22"/>
          <w:szCs w:val="22"/>
        </w:rPr>
        <w:t>(2).</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Johnston L M, Jaykus, L A, Moll D, Martinez M C, Anciso J, Mora B and Moe C L (2005) A Field Study of the Microbiological Quality of Fresh Produce. </w:t>
      </w:r>
      <w:r>
        <w:rPr>
          <w:i/>
          <w:iCs/>
          <w:sz w:val="22"/>
          <w:szCs w:val="22"/>
        </w:rPr>
        <w:t>J Food Prot</w:t>
      </w:r>
      <w:r>
        <w:rPr>
          <w:color w:val="0000FF"/>
          <w:sz w:val="22"/>
          <w:szCs w:val="22"/>
        </w:rPr>
        <w:t xml:space="preserve"> </w:t>
      </w:r>
      <w:r>
        <w:rPr>
          <w:b/>
          <w:bCs/>
          <w:sz w:val="22"/>
          <w:szCs w:val="22"/>
        </w:rPr>
        <w:t>68</w:t>
      </w:r>
      <w:r>
        <w:rPr>
          <w:sz w:val="22"/>
          <w:szCs w:val="22"/>
        </w:rPr>
        <w:t>(9): 1840-47.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López-Gálvez F, Allende A, Selma M V and Gil M I (2009) Prevention of </w:t>
      </w:r>
      <w:r>
        <w:rPr>
          <w:i/>
          <w:iCs/>
          <w:sz w:val="22"/>
          <w:szCs w:val="22"/>
        </w:rPr>
        <w:t xml:space="preserve">Escherichia coli </w:t>
      </w:r>
      <w:r>
        <w:rPr>
          <w:sz w:val="22"/>
          <w:szCs w:val="22"/>
        </w:rPr>
        <w:t xml:space="preserve">cross-contamination by different commercial sanitizers during washing of fresh-cut lettuce. </w:t>
      </w:r>
      <w:r>
        <w:rPr>
          <w:i/>
          <w:sz w:val="22"/>
          <w:szCs w:val="22"/>
        </w:rPr>
        <w:t xml:space="preserve">Int J Food Microbiol </w:t>
      </w:r>
      <w:r>
        <w:rPr>
          <w:b/>
          <w:bCs/>
          <w:sz w:val="22"/>
          <w:szCs w:val="22"/>
        </w:rPr>
        <w:t>133</w:t>
      </w:r>
      <w:r>
        <w:rPr>
          <w:sz w:val="22"/>
          <w:szCs w:val="22"/>
        </w:rPr>
        <w:t>(1-2):167-71.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Maria E M, Luca F, Filomena M, Enrico N and Barbara C (2013) </w:t>
      </w:r>
      <w:r>
        <w:rPr>
          <w:i/>
          <w:iCs/>
          <w:sz w:val="22"/>
          <w:szCs w:val="22"/>
        </w:rPr>
        <w:t>Aeromonas</w:t>
      </w:r>
      <w:r>
        <w:rPr>
          <w:sz w:val="22"/>
          <w:szCs w:val="22"/>
        </w:rPr>
        <w:t xml:space="preserve"> spp.: ubiquitous or specialized bugs? </w:t>
      </w:r>
      <w:r>
        <w:rPr>
          <w:i/>
          <w:iCs/>
          <w:sz w:val="22"/>
          <w:szCs w:val="22"/>
        </w:rPr>
        <w:t>SOAM</w:t>
      </w:r>
      <w:r>
        <w:rPr>
          <w:b/>
          <w:bCs/>
          <w:sz w:val="22"/>
          <w:szCs w:val="22"/>
        </w:rPr>
        <w:t xml:space="preserve">  10</w:t>
      </w:r>
      <w:r>
        <w:rPr>
          <w:sz w:val="22"/>
          <w:szCs w:val="22"/>
        </w:rPr>
        <w:t>.</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Maria I G, Maria V S, Francisco L G and Ana A (2009) Fresh-cut product sanitation and wash water disinfection: Problems and solution. </w:t>
      </w:r>
      <w:r>
        <w:rPr>
          <w:i/>
          <w:iCs/>
          <w:sz w:val="22"/>
          <w:szCs w:val="22"/>
        </w:rPr>
        <w:t>Int J Food Microbiol</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Painter J A, Hoekstra R M and Ayers T (2013) Attribution of foodborne illnesses, hospitalizations, and deaths to food commodities by using outbreak data, United States, 1998–2008</w:t>
      </w:r>
      <w:r>
        <w:rPr>
          <w:i/>
          <w:sz w:val="22"/>
          <w:szCs w:val="22"/>
        </w:rPr>
        <w:t xml:space="preserve">. Emerg Infect Dis </w:t>
      </w:r>
      <w:r>
        <w:rPr>
          <w:b/>
          <w:bCs/>
          <w:sz w:val="22"/>
          <w:szCs w:val="22"/>
        </w:rPr>
        <w:t>19</w:t>
      </w:r>
      <w:r>
        <w:rPr>
          <w:sz w:val="22"/>
          <w:szCs w:val="22"/>
        </w:rPr>
        <w:t>:407–15.</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Puttalingamma V, Niveditha S P and Batra H (2013)A multiplex PCR for detection of haemolytic aeromonas hydrophila from vegetable sources in Karnataka, India.  </w:t>
      </w:r>
      <w:r>
        <w:rPr>
          <w:i/>
          <w:iCs/>
          <w:sz w:val="22"/>
          <w:szCs w:val="22"/>
        </w:rPr>
        <w:t>RRST</w:t>
      </w:r>
      <w:r>
        <w:rPr>
          <w:sz w:val="22"/>
          <w:szCs w:val="22"/>
        </w:rPr>
        <w:t xml:space="preserve"> </w:t>
      </w:r>
      <w:r>
        <w:rPr>
          <w:b/>
          <w:bCs/>
          <w:sz w:val="22"/>
          <w:szCs w:val="22"/>
        </w:rPr>
        <w:t>5</w:t>
      </w:r>
      <w:r>
        <w:rPr>
          <w:sz w:val="22"/>
          <w:szCs w:val="22"/>
        </w:rPr>
        <w:t>(3):19-23.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Qian Z, Guo-Qing S, Guang-Peng T, Zhi-Tin Z, Guang-Hai Y and Guang Z (2012) A foodborne outbreak of Aeromonas hydrophila in a college, Xingyi City, Guizhou, China, 2012. </w:t>
      </w:r>
      <w:r>
        <w:rPr>
          <w:i/>
          <w:iCs/>
          <w:sz w:val="22"/>
          <w:szCs w:val="22"/>
        </w:rPr>
        <w:t>WPSAR</w:t>
      </w:r>
      <w:r>
        <w:rPr>
          <w:sz w:val="22"/>
          <w:szCs w:val="22"/>
        </w:rPr>
        <w:t xml:space="preserve"> </w:t>
      </w:r>
      <w:r>
        <w:rPr>
          <w:b/>
          <w:bCs/>
          <w:sz w:val="22"/>
          <w:szCs w:val="22"/>
        </w:rPr>
        <w:t>3</w:t>
      </w:r>
      <w:r>
        <w:rPr>
          <w:sz w:val="22"/>
          <w:szCs w:val="22"/>
        </w:rPr>
        <w:t>(4):38-42.</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Sen K and Rodger M (2004) Distribution of six virulence factors in Aeromonas species isolated from  US drinking water utilities: a PCR identificat</w:t>
      </w:r>
      <w:r>
        <w:rPr>
          <w:i/>
          <w:iCs/>
          <w:sz w:val="22"/>
          <w:szCs w:val="22"/>
        </w:rPr>
        <w:t xml:space="preserve">ion. J Appl Microbiol </w:t>
      </w:r>
      <w:r>
        <w:rPr>
          <w:b/>
          <w:bCs/>
          <w:sz w:val="22"/>
          <w:szCs w:val="22"/>
        </w:rPr>
        <w:t>97</w:t>
      </w:r>
      <w:r>
        <w:rPr>
          <w:sz w:val="22"/>
          <w:szCs w:val="22"/>
        </w:rPr>
        <w:t xml:space="preserve">(5)1077-86. </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Seymour I J, Burfoot D, Smith R L, Cox L A and Lockwood A (2002) Ultrasound decontamination of minimally processed fruits and vegetables. </w:t>
      </w:r>
      <w:r>
        <w:rPr>
          <w:i/>
          <w:sz w:val="22"/>
          <w:szCs w:val="22"/>
        </w:rPr>
        <w:t xml:space="preserve">Int J Food Sci Technol </w:t>
      </w:r>
      <w:r>
        <w:rPr>
          <w:b/>
          <w:bCs/>
          <w:sz w:val="22"/>
          <w:szCs w:val="22"/>
        </w:rPr>
        <w:t>37</w:t>
      </w:r>
      <w:r>
        <w:rPr>
          <w:sz w:val="22"/>
          <w:szCs w:val="22"/>
        </w:rPr>
        <w:t>: 547-57.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Sivapalasingam S, Friedman C R, Cohen L and Tauxe R V</w:t>
      </w:r>
      <w:r>
        <w:rPr>
          <w:sz w:val="22"/>
          <w:szCs w:val="22"/>
          <w:vertAlign w:val="superscript"/>
        </w:rPr>
        <w:t xml:space="preserve"> </w:t>
      </w:r>
      <w:r>
        <w:rPr>
          <w:sz w:val="22"/>
          <w:szCs w:val="22"/>
        </w:rPr>
        <w:t xml:space="preserve">(2004) Fresh Produce: A Growing Cause of Outbreaks of Foodborne Illness in the United States, 1973 through 1997. </w:t>
      </w:r>
      <w:r>
        <w:rPr>
          <w:i/>
          <w:sz w:val="22"/>
          <w:szCs w:val="22"/>
        </w:rPr>
        <w:t>J Food Protect</w:t>
      </w:r>
      <w:r>
        <w:rPr>
          <w:sz w:val="22"/>
          <w:szCs w:val="22"/>
        </w:rPr>
        <w:t xml:space="preserve"> </w:t>
      </w:r>
      <w:r>
        <w:rPr>
          <w:b/>
          <w:bCs/>
          <w:sz w:val="22"/>
          <w:szCs w:val="22"/>
        </w:rPr>
        <w:t xml:space="preserve"> 67(10)</w:t>
      </w:r>
      <w:r>
        <w:rPr>
          <w:sz w:val="22"/>
          <w:szCs w:val="22"/>
        </w:rPr>
        <w:t>: 2342-53.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Soren P, Al-Shuweli S, Seval Y, Johan J N and Katharina E P (2014)</w:t>
      </w:r>
      <w:bookmarkStart w:id="6" w:name="article-title-1"/>
      <w:bookmarkEnd w:id="6"/>
      <w:r>
        <w:rPr>
          <w:sz w:val="22"/>
          <w:szCs w:val="22"/>
        </w:rPr>
        <w:t xml:space="preserve"> Identification of Clinical </w:t>
      </w:r>
      <w:r>
        <w:rPr>
          <w:i/>
          <w:iCs/>
          <w:sz w:val="22"/>
          <w:szCs w:val="22"/>
        </w:rPr>
        <w:t xml:space="preserve">Aeromonas </w:t>
      </w:r>
      <w:r>
        <w:rPr>
          <w:sz w:val="22"/>
          <w:szCs w:val="22"/>
        </w:rPr>
        <w:t xml:space="preserve">species by </w:t>
      </w:r>
      <w:r>
        <w:rPr>
          <w:i/>
          <w:iCs/>
          <w:sz w:val="22"/>
          <w:szCs w:val="22"/>
        </w:rPr>
        <w:t xml:space="preserve">rpoB </w:t>
      </w:r>
      <w:r>
        <w:rPr>
          <w:sz w:val="22"/>
          <w:szCs w:val="22"/>
        </w:rPr>
        <w:t xml:space="preserve"> and </w:t>
      </w:r>
      <w:r>
        <w:rPr>
          <w:i/>
          <w:iCs/>
          <w:sz w:val="22"/>
          <w:szCs w:val="22"/>
        </w:rPr>
        <w:t xml:space="preserve">gyrB </w:t>
      </w:r>
      <w:r>
        <w:rPr>
          <w:sz w:val="22"/>
          <w:szCs w:val="22"/>
        </w:rPr>
        <w:t xml:space="preserve"> Sequencing and Development of a Multiplex PCR Method for Detection of </w:t>
      </w:r>
      <w:r>
        <w:rPr>
          <w:i/>
          <w:iCs/>
          <w:sz w:val="22"/>
          <w:szCs w:val="22"/>
        </w:rPr>
        <w:t>Aeromonas hydrophila. A.caviae, A. veronii and A. media. J Clin Microbiol</w:t>
      </w:r>
      <w:r>
        <w:rPr>
          <w:b/>
          <w:bCs/>
          <w:i/>
          <w:iCs/>
          <w:sz w:val="22"/>
          <w:szCs w:val="22"/>
        </w:rPr>
        <w:t xml:space="preserve"> </w:t>
      </w:r>
      <w:r>
        <w:rPr>
          <w:b/>
          <w:bCs/>
          <w:sz w:val="22"/>
          <w:szCs w:val="22"/>
        </w:rPr>
        <w:t>53</w:t>
      </w:r>
      <w:bookmarkStart w:id="7" w:name="named-content-2"/>
      <w:bookmarkStart w:id="8" w:name="named-content-1"/>
      <w:bookmarkEnd w:id="7"/>
      <w:bookmarkEnd w:id="8"/>
      <w:r>
        <w:rPr>
          <w:sz w:val="22"/>
          <w:szCs w:val="22"/>
        </w:rPr>
        <w:t>:653-56.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Solomon E B and Matthews K R (2006) Interaction of live and dead Escherichia coli O157.H7 and fluorescent microsphere with lettuce tissue suggests bacterial processes do not mediate adherence. </w:t>
      </w:r>
      <w:r>
        <w:rPr>
          <w:i/>
          <w:iCs/>
          <w:sz w:val="22"/>
          <w:szCs w:val="22"/>
        </w:rPr>
        <w:t xml:space="preserve"> Let Appl Microbiol </w:t>
      </w:r>
      <w:r>
        <w:rPr>
          <w:b/>
          <w:bCs/>
          <w:i w:val="false"/>
          <w:iCs w:val="false"/>
          <w:sz w:val="22"/>
          <w:szCs w:val="22"/>
        </w:rPr>
        <w:t xml:space="preserve">42(2): </w:t>
      </w:r>
      <w:r>
        <w:rPr>
          <w:b w:val="false"/>
          <w:bCs w:val="false"/>
          <w:i w:val="false"/>
          <w:iCs w:val="false"/>
          <w:sz w:val="22"/>
          <w:szCs w:val="22"/>
        </w:rPr>
        <w:t>88-93.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b w:val="false"/>
          <w:bCs w:val="false"/>
          <w:i w:val="false"/>
          <w:iCs w:val="false"/>
          <w:sz w:val="22"/>
          <w:szCs w:val="22"/>
        </w:rPr>
        <w:t xml:space="preserve">Tauxe R V (1997) Emerging foodborne diseases : an evolving public health challenge. </w:t>
      </w:r>
      <w:r>
        <w:rPr>
          <w:b w:val="false"/>
          <w:bCs w:val="false"/>
          <w:i/>
          <w:iCs/>
          <w:sz w:val="22"/>
          <w:szCs w:val="22"/>
        </w:rPr>
        <w:t>Emerg Infest is</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b/>
          <w:bCs/>
          <w:i w:val="false"/>
          <w:iCs w:val="false"/>
          <w:sz w:val="22"/>
          <w:szCs w:val="22"/>
        </w:rPr>
        <w:t xml:space="preserve">3(4): </w:t>
      </w:r>
      <w:r>
        <w:rPr>
          <w:b w:val="false"/>
          <w:bCs w:val="false"/>
          <w:i w:val="false"/>
          <w:iCs w:val="false"/>
          <w:sz w:val="22"/>
          <w:szCs w:val="22"/>
        </w:rPr>
        <w:t>425-34.</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Yigal S, Shifra, KenDror, Irina V, Dvora B, Ido I and Malka H (2012) A Molecular Study on the Prevalence and Virulence Potential of Aeromonas spp. Recovered from Patients Suffering from Diarrhea in Israel. </w:t>
      </w:r>
      <w:r>
        <w:rPr>
          <w:i/>
          <w:iCs/>
          <w:sz w:val="22"/>
          <w:szCs w:val="22"/>
        </w:rPr>
        <w:t>Plos One</w:t>
      </w:r>
      <w:r>
        <w:rPr>
          <w:sz w:val="22"/>
          <w:szCs w:val="22"/>
        </w:rPr>
        <w:t xml:space="preserve"> </w:t>
      </w:r>
      <w:r>
        <w:rPr>
          <w:b/>
          <w:bCs/>
          <w:sz w:val="22"/>
          <w:szCs w:val="22"/>
        </w:rPr>
        <w:t>7(2)</w:t>
      </w:r>
      <w:r>
        <w:rPr>
          <w:sz w:val="22"/>
          <w:szCs w:val="22"/>
        </w:rPr>
        <w:t>.</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Yousr A H, Napis S, Rusul G R A and Son R (2007) Detection of Aerolysin gene in </w:t>
      </w:r>
      <w:r>
        <w:rPr>
          <w:i/>
          <w:iCs/>
          <w:sz w:val="22"/>
          <w:szCs w:val="22"/>
        </w:rPr>
        <w:t>Aeromonas</w:t>
      </w:r>
      <w:r>
        <w:rPr>
          <w:sz w:val="22"/>
          <w:szCs w:val="22"/>
        </w:rPr>
        <w:t xml:space="preserve"> spp. Isolated from Environmental and Shellfish Sources by Polymerase Chain Reaction.</w:t>
      </w:r>
      <w:r>
        <w:rPr>
          <w:i/>
          <w:iCs/>
          <w:sz w:val="22"/>
          <w:szCs w:val="22"/>
        </w:rPr>
        <w:t xml:space="preserve"> Asean Food J </w:t>
      </w:r>
      <w:r>
        <w:rPr>
          <w:b/>
          <w:bCs/>
          <w:sz w:val="22"/>
          <w:szCs w:val="22"/>
        </w:rPr>
        <w:t>14</w:t>
      </w:r>
      <w:r>
        <w:rPr>
          <w:sz w:val="22"/>
          <w:szCs w:val="22"/>
        </w:rPr>
        <w:t>(2): 115-22.</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sz w:val="22"/>
          <w:szCs w:val="22"/>
        </w:rPr>
        <w:t xml:space="preserve">Zhang S and Faber J M (1996) The effects of various disinfectants against Listeria monocytogenson freshcut vegetables. </w:t>
      </w:r>
      <w:r>
        <w:rPr>
          <w:i/>
          <w:iCs/>
          <w:sz w:val="22"/>
          <w:szCs w:val="22"/>
        </w:rPr>
        <w:t xml:space="preserve">Food Microbiol </w:t>
      </w:r>
      <w:r>
        <w:rPr>
          <w:b/>
          <w:bCs/>
          <w:i w:val="false"/>
          <w:iCs w:val="false"/>
          <w:sz w:val="22"/>
          <w:szCs w:val="22"/>
        </w:rPr>
        <w:t xml:space="preserve">13: </w:t>
      </w:r>
      <w:r>
        <w:rPr>
          <w:b w:val="false"/>
          <w:bCs w:val="false"/>
          <w:i w:val="false"/>
          <w:iCs w:val="false"/>
          <w:sz w:val="22"/>
          <w:szCs w:val="22"/>
        </w:rPr>
        <w:t>311-21.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10440" w:val="center"/>
          <w:tab w:leader="none" w:pos="15120" w:val="right"/>
        </w:tabs>
        <w:spacing w:after="240" w:before="0"/>
        <w:ind w:hanging="720" w:left="720" w:right="29"/>
        <w:jc w:val="both"/>
      </w:pPr>
      <w:r>
        <w:rPr/>
      </w:r>
    </w:p>
    <w:p>
      <w:pPr>
        <w:pStyle w:val="style153"/>
        <w:widowControl w:val="false"/>
        <w:tabs>
          <w:tab w:leader="none" w:pos="4680" w:val="center"/>
          <w:tab w:leader="none" w:pos="9360" w:val="right"/>
        </w:tabs>
        <w:spacing w:after="240" w:before="0" w:line="360" w:lineRule="auto"/>
        <w:ind w:hanging="0" w:left="0" w:right="29"/>
        <w:jc w:val="right"/>
      </w:pPr>
      <w:r>
        <w:rPr/>
      </w:r>
    </w:p>
    <w:p>
      <w:pPr>
        <w:pStyle w:val="style153"/>
        <w:widowControl w:val="false"/>
        <w:tabs>
          <w:tab w:leader="none" w:pos="4680" w:val="center"/>
          <w:tab w:leader="none" w:pos="9360" w:val="right"/>
        </w:tabs>
        <w:spacing w:after="240" w:before="0" w:line="360" w:lineRule="auto"/>
        <w:ind w:hanging="0" w:left="0" w:right="29"/>
        <w:jc w:val="right"/>
      </w:pPr>
      <w:r>
        <w:rPr/>
      </w:r>
    </w:p>
    <w:p>
      <w:pPr>
        <w:pStyle w:val="style153"/>
        <w:widowControl w:val="false"/>
        <w:tabs>
          <w:tab w:leader="none" w:pos="4680" w:val="center"/>
          <w:tab w:leader="none" w:pos="9360" w:val="right"/>
        </w:tabs>
        <w:spacing w:after="240" w:before="0" w:line="360" w:lineRule="auto"/>
        <w:ind w:hanging="0" w:left="0" w:right="29"/>
        <w:jc w:val="right"/>
      </w:pPr>
      <w:r>
        <w:rPr>
          <w:b/>
          <w:spacing w:val="10"/>
          <w:sz w:val="22"/>
          <w:szCs w:val="22"/>
        </w:rPr>
        <w:t xml:space="preserve">                                                                                                                                                           </w:t>
      </w:r>
    </w:p>
    <w:p>
      <w:pPr>
        <w:pStyle w:val="style153"/>
        <w:widowControl w:val="false"/>
        <w:tabs>
          <w:tab w:leader="none" w:pos="4680" w:val="center"/>
          <w:tab w:leader="none" w:pos="9360" w:val="right"/>
        </w:tabs>
        <w:spacing w:after="240" w:before="0" w:line="100" w:lineRule="atLeast"/>
        <w:ind w:hanging="0" w:left="0" w:right="29"/>
        <w:jc w:val="right"/>
      </w:pPr>
      <w:r>
        <w:rPr>
          <w:b/>
          <w:spacing w:val="10"/>
          <w:sz w:val="22"/>
          <w:szCs w:val="22"/>
        </w:rPr>
        <w:t>____________________                                                                                                                                                        Signature of the student</w:t>
      </w:r>
    </w:p>
    <w:p>
      <w:pPr>
        <w:pStyle w:val="style145"/>
        <w:widowControl w:val="false"/>
        <w:tabs>
          <w:tab w:leader="none" w:pos="720" w:val="left"/>
        </w:tabs>
        <w:spacing w:after="240" w:before="0" w:line="100" w:lineRule="atLeast"/>
        <w:ind w:hanging="0" w:left="0" w:right="29"/>
      </w:pPr>
      <w:r>
        <w:rPr/>
      </w:r>
    </w:p>
    <w:p>
      <w:pPr>
        <w:pStyle w:val="style145"/>
        <w:widowControl w:val="false"/>
        <w:tabs>
          <w:tab w:leader="none" w:pos="720" w:val="left"/>
        </w:tabs>
        <w:spacing w:after="240" w:before="0" w:line="360" w:lineRule="auto"/>
        <w:ind w:hanging="0" w:left="0" w:right="29"/>
      </w:pPr>
      <w:r>
        <w:rPr>
          <w:b/>
          <w:bCs/>
          <w:sz w:val="22"/>
          <w:szCs w:val="22"/>
        </w:rPr>
        <w:t xml:space="preserve">                                                                                            </w:t>
      </w:r>
    </w:p>
    <w:p>
      <w:pPr>
        <w:pStyle w:val="style145"/>
        <w:widowControl w:val="false"/>
        <w:tabs>
          <w:tab w:leader="none" w:pos="720" w:val="left"/>
        </w:tabs>
        <w:spacing w:after="240" w:before="0" w:line="360" w:lineRule="auto"/>
        <w:ind w:hanging="0" w:left="0" w:right="29"/>
      </w:pPr>
      <w:r>
        <w:rPr>
          <w:b/>
          <w:bCs/>
          <w:sz w:val="22"/>
          <w:szCs w:val="22"/>
        </w:rPr>
        <w:t xml:space="preserve">                                                           </w:t>
      </w:r>
      <w:r>
        <w:rPr>
          <w:sz w:val="22"/>
          <w:szCs w:val="22"/>
        </w:rPr>
        <w:t xml:space="preserve">                                                                                                                                </w:t>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sz w:val="22"/>
          <w:szCs w:val="22"/>
        </w:rPr>
        <w:t xml:space="preserve">                                                                                                     </w:t>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sz w:val="22"/>
          <w:szCs w:val="22"/>
        </w:rPr>
        <w:t xml:space="preserve">                                                                                                                 </w:t>
      </w:r>
    </w:p>
    <w:p>
      <w:pPr>
        <w:pStyle w:val="style145"/>
        <w:widowControl w:val="false"/>
        <w:tabs>
          <w:tab w:leader="none" w:pos="720" w:val="left"/>
        </w:tabs>
        <w:spacing w:after="240" w:before="0" w:line="360" w:lineRule="auto"/>
        <w:ind w:hanging="0" w:left="0" w:right="29"/>
      </w:pPr>
      <w:r>
        <w:rPr/>
      </w:r>
    </w:p>
    <w:sectPr>
      <w:footerReference r:id="rId4" w:type="default"/>
      <w:type w:val="nextPage"/>
      <w:pgSz w:h="16838" w:w="11906"/>
      <w:pgMar w:bottom="1440" w:footer="72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46"/>
      <w:jc w:val="center"/>
    </w:pPr>
    <w:r>
      <w:rPr/>
      <w:fldChar w:fldCharType="begin"/>
    </w:r>
    <w:r>
      <w:instrText> PAGE </w:instrText>
    </w:r>
    <w:r>
      <w:fldChar w:fldCharType="separate"/>
    </w:r>
    <w:r>
      <w:t>15</w:t>
    </w:r>
    <w:r>
      <w:fldChar w:fldCharType="end"/>
    </w:r>
  </w:p>
  <w:p>
    <w:pPr>
      <w:pStyle w:val="style146"/>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46"/>
      <w:jc w:val="center"/>
    </w:pPr>
    <w:r>
      <w:rPr/>
      <w:fldChar w:fldCharType="begin"/>
    </w:r>
    <w:r>
      <w:instrText> PAGE </w:instrText>
    </w:r>
    <w:r>
      <w:fldChar w:fldCharType="separate"/>
    </w:r>
    <w:r>
      <w:t>15</w:t>
    </w:r>
    <w:r>
      <w:fldChar w:fldCharType="end"/>
    </w:r>
  </w:p>
  <w:p>
    <w:pPr>
      <w:pStyle w:val="style146"/>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lowerRoman"/>
      <w:lvlText w:val="%1."/>
      <w:lvlJc w:val="left"/>
      <w:pPr>
        <w:ind w:hanging="360" w:left="360"/>
      </w:pPr>
      <w:rPr>
        <w:b/>
        <w:bCs/>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
    <w:lvl w:ilvl="0">
      <w:start w:val="1"/>
      <w:numFmt w:val="lowerRoman"/>
      <w:lvlText w:val="%1."/>
      <w:lvlJc w:val="left"/>
      <w:pPr>
        <w:ind w:hanging="360" w:left="360"/>
      </w:pPr>
      <w:rPr>
        <w:i w:val="false"/>
        <w:b/>
        <w:bCs/>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4">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5">
    <w:lvl w:ilvl="0">
      <w:start w:val="1"/>
      <w:numFmt w:val="lowerRoman"/>
      <w:lvlText w:val="%1."/>
      <w:lvlJc w:val="left"/>
      <w:pPr>
        <w:ind w:hanging="360" w:left="360"/>
      </w:pPr>
      <w:rPr>
        <w:b/>
        <w:bCs/>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6">
    <w:lvl w:ilvl="0">
      <w:start w:val="1"/>
      <w:numFmt w:val="lowerRoman"/>
      <w:lvlText w:val="%1."/>
      <w:lvlJc w:val="left"/>
      <w:pPr>
        <w:tabs>
          <w:tab w:pos="720" w:val="num"/>
        </w:tabs>
        <w:ind w:hanging="360" w:left="720"/>
      </w:pPr>
      <w:rPr>
        <w:b/>
        <w:bCs/>
      </w:rPr>
    </w:lvl>
    <w:lvl w:ilvl="1">
      <w:start w:val="1"/>
      <w:numFmt w:val="lowerRoman"/>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lowerRoman"/>
      <w:lvlText w:val="%4."/>
      <w:lvlJc w:val="left"/>
      <w:pPr>
        <w:tabs>
          <w:tab w:pos="1800" w:val="num"/>
        </w:tabs>
        <w:ind w:hanging="360" w:left="1800"/>
      </w:pPr>
    </w:lvl>
    <w:lvl w:ilvl="4">
      <w:start w:val="1"/>
      <w:numFmt w:val="lowerRoman"/>
      <w:lvlText w:val="%5."/>
      <w:lvlJc w:val="left"/>
      <w:pPr>
        <w:tabs>
          <w:tab w:pos="2160" w:val="num"/>
        </w:tabs>
        <w:ind w:hanging="360" w:left="2160"/>
      </w:pPr>
    </w:lvl>
    <w:lvl w:ilvl="5">
      <w:start w:val="1"/>
      <w:numFmt w:val="lowerRoman"/>
      <w:lvlText w:val="%6."/>
      <w:lvlJc w:val="left"/>
      <w:pPr>
        <w:tabs>
          <w:tab w:pos="2520" w:val="num"/>
        </w:tabs>
        <w:ind w:hanging="360" w:left="2520"/>
      </w:pPr>
    </w:lvl>
    <w:lvl w:ilvl="6">
      <w:start w:val="1"/>
      <w:numFmt w:val="lowerRoman"/>
      <w:lvlText w:val="%7."/>
      <w:lvlJc w:val="left"/>
      <w:pPr>
        <w:tabs>
          <w:tab w:pos="2880" w:val="num"/>
        </w:tabs>
        <w:ind w:hanging="360" w:left="2880"/>
      </w:pPr>
    </w:lvl>
    <w:lvl w:ilvl="7">
      <w:start w:val="1"/>
      <w:numFmt w:val="lowerRoman"/>
      <w:lvlText w:val="%8."/>
      <w:lvlJc w:val="left"/>
      <w:pPr>
        <w:tabs>
          <w:tab w:pos="3240" w:val="num"/>
        </w:tabs>
        <w:ind w:hanging="360" w:left="3240"/>
      </w:pPr>
    </w:lvl>
    <w:lvl w:ilvl="8">
      <w:start w:val="1"/>
      <w:numFmt w:val="lowerRoman"/>
      <w:lvlText w:val="%9."/>
      <w:lvlJc w:val="left"/>
      <w:pPr>
        <w:tabs>
          <w:tab w:pos="3600" w:val="num"/>
        </w:tabs>
        <w:ind w:hanging="360" w:left="360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spacing w:after="0" w:before="0" w:line="100" w:lineRule="atLeast"/>
    </w:pPr>
    <w:rPr>
      <w:rFonts w:ascii="Times New Roman" w:cs="Times New Roman" w:eastAsia="Times New Roman" w:hAnsi="Times New Roman"/>
      <w:color w:val="00000A"/>
      <w:sz w:val="24"/>
      <w:szCs w:val="24"/>
      <w:lang w:bidi="ar-SA" w:eastAsia="en-US" w:val="en-US"/>
    </w:rPr>
  </w:style>
  <w:style w:styleId="style1" w:type="paragraph">
    <w:name w:val="Heading 1"/>
    <w:basedOn w:val="style0"/>
    <w:next w:val="style140"/>
    <w:pPr>
      <w:numPr>
        <w:ilvl w:val="0"/>
        <w:numId w:val="1"/>
      </w:numPr>
      <w:tabs>
        <w:tab w:leader="none" w:pos="6912" w:val="left"/>
      </w:tabs>
      <w:spacing w:after="28" w:before="28"/>
      <w:ind w:hanging="432" w:left="432" w:right="0"/>
      <w:outlineLvl w:val="0"/>
    </w:pPr>
    <w:rPr>
      <w:b/>
      <w:bCs/>
      <w:sz w:val="48"/>
      <w:szCs w:val="48"/>
    </w:rPr>
  </w:style>
  <w:style w:styleId="style15" w:type="character">
    <w:name w:val="Default Paragraph Font"/>
    <w:next w:val="style15"/>
    <w:rPr/>
  </w:style>
  <w:style w:styleId="style16" w:type="character">
    <w:name w:val="Body Text 2 Char"/>
    <w:basedOn w:val="style15"/>
    <w:next w:val="style16"/>
    <w:rPr>
      <w:rFonts w:ascii="Times New Roman" w:cs="Times New Roman" w:eastAsia="Times New Roman" w:hAnsi="Times New Roman"/>
      <w:sz w:val="24"/>
      <w:szCs w:val="24"/>
    </w:rPr>
  </w:style>
  <w:style w:styleId="style17" w:type="character">
    <w:name w:val="Footer Char"/>
    <w:basedOn w:val="style15"/>
    <w:next w:val="style17"/>
    <w:rPr>
      <w:rFonts w:ascii="Times New Roman" w:cs="Times New Roman" w:eastAsia="Times New Roman" w:hAnsi="Times New Roman"/>
      <w:sz w:val="24"/>
      <w:szCs w:val="24"/>
    </w:rPr>
  </w:style>
  <w:style w:styleId="style18" w:type="character">
    <w:name w:val="Body Text Indent 2 Char"/>
    <w:basedOn w:val="style15"/>
    <w:next w:val="style18"/>
    <w:rPr>
      <w:rFonts w:ascii="Times New Roman" w:cs="Times New Roman" w:eastAsia="Times New Roman" w:hAnsi="Times New Roman"/>
      <w:sz w:val="24"/>
      <w:szCs w:val="24"/>
    </w:rPr>
  </w:style>
  <w:style w:styleId="style19" w:type="character">
    <w:name w:val="Comment Text Char"/>
    <w:basedOn w:val="style15"/>
    <w:next w:val="style19"/>
    <w:rPr>
      <w:rFonts w:ascii="Times New Roman" w:cs="Times New Roman" w:eastAsia="Times New Roman" w:hAnsi="Times New Roman"/>
      <w:sz w:val="20"/>
      <w:szCs w:val="20"/>
    </w:rPr>
  </w:style>
  <w:style w:styleId="style20" w:type="character">
    <w:name w:val="Comment Subject Char"/>
    <w:basedOn w:val="style19"/>
    <w:next w:val="style20"/>
    <w:rPr>
      <w:rFonts w:ascii="Calibri" w:hAnsi="Calibri"/>
      <w:b/>
      <w:bCs/>
      <w:lang w:eastAsia="en-IN" w:val="en-IN"/>
    </w:rPr>
  </w:style>
  <w:style w:styleId="style21" w:type="character">
    <w:name w:val="Heading 1 Char"/>
    <w:basedOn w:val="style15"/>
    <w:next w:val="style21"/>
    <w:rPr>
      <w:rFonts w:ascii="Times New Roman" w:cs="Times New Roman" w:eastAsia="Times New Roman" w:hAnsi="Times New Roman"/>
      <w:b/>
      <w:bCs/>
      <w:sz w:val="48"/>
      <w:szCs w:val="48"/>
    </w:rPr>
  </w:style>
  <w:style w:styleId="style22" w:type="character">
    <w:name w:val="Strong Emphasis"/>
    <w:basedOn w:val="style15"/>
    <w:next w:val="style22"/>
    <w:rPr>
      <w:b/>
      <w:bCs/>
    </w:rPr>
  </w:style>
  <w:style w:styleId="style23" w:type="character">
    <w:name w:val="Internet Link"/>
    <w:basedOn w:val="style15"/>
    <w:next w:val="style23"/>
    <w:rPr>
      <w:color w:val="0000FF"/>
      <w:u w:val="single"/>
      <w:lang w:bidi="en-US" w:eastAsia="en-US" w:val="en-US"/>
    </w:rPr>
  </w:style>
  <w:style w:styleId="style24" w:type="character">
    <w:name w:val="Header Char"/>
    <w:basedOn w:val="style15"/>
    <w:next w:val="style24"/>
    <w:rPr>
      <w:rFonts w:ascii="Times New Roman" w:cs="Times New Roman" w:eastAsia="Times New Roman" w:hAnsi="Times New Roman"/>
      <w:sz w:val="24"/>
      <w:szCs w:val="24"/>
    </w:rPr>
  </w:style>
  <w:style w:styleId="style25" w:type="character">
    <w:name w:val="Emphasis"/>
    <w:basedOn w:val="style15"/>
    <w:next w:val="style25"/>
    <w:rPr>
      <w:i/>
      <w:iCs/>
    </w:rPr>
  </w:style>
  <w:style w:styleId="style26" w:type="character">
    <w:name w:val="citation"/>
    <w:basedOn w:val="style15"/>
    <w:next w:val="style26"/>
    <w:rPr/>
  </w:style>
  <w:style w:styleId="style27" w:type="character">
    <w:name w:val="st"/>
    <w:basedOn w:val="style15"/>
    <w:next w:val="style27"/>
    <w:rPr/>
  </w:style>
  <w:style w:styleId="style28" w:type="character">
    <w:name w:val="ref-journal"/>
    <w:basedOn w:val="style15"/>
    <w:next w:val="style28"/>
    <w:rPr/>
  </w:style>
  <w:style w:styleId="style29" w:type="character">
    <w:name w:val="ref-vol"/>
    <w:basedOn w:val="style15"/>
    <w:next w:val="style29"/>
    <w:rPr/>
  </w:style>
  <w:style w:styleId="style30" w:type="character">
    <w:name w:val="Body Text Char"/>
    <w:basedOn w:val="style15"/>
    <w:next w:val="style30"/>
    <w:rPr>
      <w:rFonts w:ascii="Times New Roman" w:cs="Times New Roman" w:eastAsia="Times New Roman" w:hAnsi="Times New Roman"/>
      <w:sz w:val="24"/>
      <w:szCs w:val="24"/>
    </w:rPr>
  </w:style>
  <w:style w:styleId="style31" w:type="character">
    <w:name w:val="ListLabel 1"/>
    <w:next w:val="style31"/>
    <w:rPr>
      <w:b/>
    </w:rPr>
  </w:style>
  <w:style w:styleId="style32" w:type="character">
    <w:name w:val="ListLabel 2"/>
    <w:next w:val="style32"/>
    <w:rPr>
      <w:b/>
      <w:sz w:val="24"/>
    </w:rPr>
  </w:style>
  <w:style w:styleId="style33" w:type="character">
    <w:name w:val="ListLabel 3"/>
    <w:next w:val="style33"/>
    <w:rPr>
      <w:sz w:val="20"/>
    </w:rPr>
  </w:style>
  <w:style w:styleId="style34" w:type="character">
    <w:name w:val="ListLabel 4"/>
    <w:next w:val="style34"/>
    <w:rPr>
      <w:b/>
    </w:rPr>
  </w:style>
  <w:style w:styleId="style35" w:type="character">
    <w:name w:val="ListLabel 5"/>
    <w:next w:val="style35"/>
    <w:rPr>
      <w:b/>
    </w:rPr>
  </w:style>
  <w:style w:styleId="style36" w:type="character">
    <w:name w:val="ListLabel 6"/>
    <w:next w:val="style36"/>
    <w:rPr>
      <w:b/>
    </w:rPr>
  </w:style>
  <w:style w:styleId="style37" w:type="character">
    <w:name w:val="ListLabel 7"/>
    <w:next w:val="style37"/>
    <w:rPr>
      <w:b/>
    </w:rPr>
  </w:style>
  <w:style w:styleId="style38" w:type="character">
    <w:name w:val="ListLabel 8"/>
    <w:next w:val="style38"/>
    <w:rPr>
      <w:b/>
    </w:rPr>
  </w:style>
  <w:style w:styleId="style39" w:type="character">
    <w:name w:val="ListLabel 9"/>
    <w:next w:val="style39"/>
    <w:rPr>
      <w:b/>
    </w:rPr>
  </w:style>
  <w:style w:styleId="style40" w:type="character">
    <w:name w:val="ListLabel 10"/>
    <w:next w:val="style40"/>
    <w:rPr>
      <w:b/>
    </w:rPr>
  </w:style>
  <w:style w:styleId="style41" w:type="character">
    <w:name w:val="ListLabel 11"/>
    <w:next w:val="style41"/>
    <w:rPr>
      <w:b/>
    </w:rPr>
  </w:style>
  <w:style w:styleId="style42" w:type="character">
    <w:name w:val="ListLabel 12"/>
    <w:next w:val="style42"/>
    <w:rPr>
      <w:b/>
    </w:rPr>
  </w:style>
  <w:style w:styleId="style43" w:type="character">
    <w:name w:val="ListLabel 13"/>
    <w:next w:val="style43"/>
    <w:rPr>
      <w:b/>
    </w:rPr>
  </w:style>
  <w:style w:styleId="style44" w:type="character">
    <w:name w:val="Numbering Symbols"/>
    <w:next w:val="style44"/>
    <w:rPr>
      <w:b/>
      <w:bCs/>
    </w:rPr>
  </w:style>
  <w:style w:styleId="style45" w:type="character">
    <w:name w:val="ListLabel 14"/>
    <w:next w:val="style45"/>
    <w:rPr>
      <w:b/>
    </w:rPr>
  </w:style>
  <w:style w:styleId="style46" w:type="character">
    <w:name w:val="ListLabel 15"/>
    <w:next w:val="style46"/>
    <w:rPr>
      <w:b/>
      <w:bCs/>
    </w:rPr>
  </w:style>
  <w:style w:styleId="style47" w:type="character">
    <w:name w:val="ListLabel 16"/>
    <w:next w:val="style47"/>
    <w:rPr>
      <w:b/>
    </w:rPr>
  </w:style>
  <w:style w:styleId="style48" w:type="character">
    <w:name w:val="ListLabel 17"/>
    <w:next w:val="style48"/>
    <w:rPr>
      <w:b/>
    </w:rPr>
  </w:style>
  <w:style w:styleId="style49" w:type="character">
    <w:name w:val="ListLabel 18"/>
    <w:next w:val="style49"/>
    <w:rPr>
      <w:b/>
    </w:rPr>
  </w:style>
  <w:style w:styleId="style50" w:type="character">
    <w:name w:val="ListLabel 19"/>
    <w:next w:val="style50"/>
    <w:rPr>
      <w:b/>
    </w:rPr>
  </w:style>
  <w:style w:styleId="style51" w:type="character">
    <w:name w:val="ListLabel 20"/>
    <w:next w:val="style51"/>
    <w:rPr>
      <w:b/>
    </w:rPr>
  </w:style>
  <w:style w:styleId="style52" w:type="character">
    <w:name w:val="ListLabel 21"/>
    <w:next w:val="style52"/>
    <w:rPr>
      <w:rFonts w:cs="Times New Roman" w:eastAsia="Times New Roman"/>
    </w:rPr>
  </w:style>
  <w:style w:styleId="style53" w:type="character">
    <w:name w:val="ListLabel 22"/>
    <w:next w:val="style53"/>
    <w:rPr>
      <w:rFonts w:eastAsia="Calibri"/>
      <w:b/>
      <w:color w:val="000000"/>
      <w:sz w:val="22"/>
    </w:rPr>
  </w:style>
  <w:style w:styleId="style54" w:type="character">
    <w:name w:val="ListLabel 23"/>
    <w:next w:val="style54"/>
    <w:rPr>
      <w:b/>
      <w:sz w:val="22"/>
    </w:rPr>
  </w:style>
  <w:style w:styleId="style55" w:type="character">
    <w:name w:val="ListLabel 24"/>
    <w:next w:val="style55"/>
    <w:rPr>
      <w:rFonts w:cs="Courier New"/>
    </w:rPr>
  </w:style>
  <w:style w:styleId="style56" w:type="character">
    <w:name w:val="ListLabel 25"/>
    <w:next w:val="style56"/>
    <w:rPr>
      <w:i w:val="false"/>
    </w:rPr>
  </w:style>
  <w:style w:styleId="style57" w:type="character">
    <w:name w:val="ListLabel 26"/>
    <w:next w:val="style57"/>
    <w:rPr>
      <w:b/>
    </w:rPr>
  </w:style>
  <w:style w:styleId="style58" w:type="character">
    <w:name w:val="ListLabel 27"/>
    <w:next w:val="style58"/>
    <w:rPr>
      <w:rFonts w:cs="Symbol"/>
    </w:rPr>
  </w:style>
  <w:style w:styleId="style59" w:type="character">
    <w:name w:val="ListLabel 28"/>
    <w:next w:val="style59"/>
    <w:rPr>
      <w:rFonts w:cs="Courier New"/>
    </w:rPr>
  </w:style>
  <w:style w:styleId="style60" w:type="character">
    <w:name w:val="ListLabel 29"/>
    <w:next w:val="style60"/>
    <w:rPr>
      <w:rFonts w:cs="Wingdings"/>
    </w:rPr>
  </w:style>
  <w:style w:styleId="style61" w:type="character">
    <w:name w:val="ListLabel 30"/>
    <w:next w:val="style61"/>
    <w:rPr>
      <w:i w:val="false"/>
    </w:rPr>
  </w:style>
  <w:style w:styleId="style62" w:type="character">
    <w:name w:val="ListLabel 31"/>
    <w:next w:val="style62"/>
    <w:rPr>
      <w:b/>
    </w:rPr>
  </w:style>
  <w:style w:styleId="style63" w:type="character">
    <w:name w:val="ListLabel 32"/>
    <w:next w:val="style63"/>
    <w:rPr>
      <w:rFonts w:cs="Symbol"/>
    </w:rPr>
  </w:style>
  <w:style w:styleId="style64" w:type="character">
    <w:name w:val="ListLabel 33"/>
    <w:next w:val="style64"/>
    <w:rPr>
      <w:rFonts w:cs="Courier New"/>
    </w:rPr>
  </w:style>
  <w:style w:styleId="style65" w:type="character">
    <w:name w:val="ListLabel 34"/>
    <w:next w:val="style65"/>
    <w:rPr>
      <w:rFonts w:cs="Wingdings"/>
    </w:rPr>
  </w:style>
  <w:style w:styleId="style66" w:type="character">
    <w:name w:val="ListLabel 35"/>
    <w:next w:val="style66"/>
    <w:rPr>
      <w:i w:val="false"/>
    </w:rPr>
  </w:style>
  <w:style w:styleId="style67" w:type="character">
    <w:name w:val="ListLabel 36"/>
    <w:next w:val="style67"/>
    <w:rPr>
      <w:b/>
    </w:rPr>
  </w:style>
  <w:style w:styleId="style68" w:type="character">
    <w:name w:val="ListLabel 37"/>
    <w:next w:val="style68"/>
    <w:rPr>
      <w:rFonts w:cs="Symbol"/>
    </w:rPr>
  </w:style>
  <w:style w:styleId="style69" w:type="character">
    <w:name w:val="ListLabel 38"/>
    <w:next w:val="style69"/>
    <w:rPr>
      <w:rFonts w:cs="Courier New"/>
    </w:rPr>
  </w:style>
  <w:style w:styleId="style70" w:type="character">
    <w:name w:val="ListLabel 39"/>
    <w:next w:val="style70"/>
    <w:rPr>
      <w:rFonts w:cs="Wingdings"/>
    </w:rPr>
  </w:style>
  <w:style w:styleId="style71" w:type="character">
    <w:name w:val="ListLabel 40"/>
    <w:next w:val="style71"/>
    <w:rPr>
      <w:i w:val="false"/>
    </w:rPr>
  </w:style>
  <w:style w:styleId="style72" w:type="character">
    <w:name w:val="ListLabel 41"/>
    <w:next w:val="style72"/>
    <w:rPr>
      <w:b/>
    </w:rPr>
  </w:style>
  <w:style w:styleId="style73" w:type="character">
    <w:name w:val="ListLabel 42"/>
    <w:next w:val="style73"/>
    <w:rPr>
      <w:rFonts w:cs="Symbol"/>
    </w:rPr>
  </w:style>
  <w:style w:styleId="style74" w:type="character">
    <w:name w:val="ListLabel 43"/>
    <w:next w:val="style74"/>
    <w:rPr>
      <w:rFonts w:cs="Courier New"/>
    </w:rPr>
  </w:style>
  <w:style w:styleId="style75" w:type="character">
    <w:name w:val="ListLabel 44"/>
    <w:next w:val="style75"/>
    <w:rPr>
      <w:rFonts w:cs="Wingdings"/>
    </w:rPr>
  </w:style>
  <w:style w:styleId="style76" w:type="character">
    <w:name w:val="ListLabel 45"/>
    <w:next w:val="style76"/>
    <w:rPr>
      <w:i w:val="false"/>
    </w:rPr>
  </w:style>
  <w:style w:styleId="style77" w:type="character">
    <w:name w:val="ListLabel 46"/>
    <w:next w:val="style77"/>
    <w:rPr>
      <w:b/>
    </w:rPr>
  </w:style>
  <w:style w:styleId="style78" w:type="character">
    <w:name w:val="ListLabel 47"/>
    <w:next w:val="style78"/>
    <w:rPr>
      <w:rFonts w:cs="Symbol"/>
    </w:rPr>
  </w:style>
  <w:style w:styleId="style79" w:type="character">
    <w:name w:val="ListLabel 48"/>
    <w:next w:val="style79"/>
    <w:rPr>
      <w:rFonts w:cs="Courier New"/>
    </w:rPr>
  </w:style>
  <w:style w:styleId="style80" w:type="character">
    <w:name w:val="ListLabel 49"/>
    <w:next w:val="style80"/>
    <w:rPr>
      <w:rFonts w:cs="Wingdings"/>
    </w:rPr>
  </w:style>
  <w:style w:styleId="style81" w:type="character">
    <w:name w:val="ListLabel 50"/>
    <w:next w:val="style81"/>
    <w:rPr>
      <w:i w:val="false"/>
    </w:rPr>
  </w:style>
  <w:style w:styleId="style82" w:type="character">
    <w:name w:val="Bullets"/>
    <w:next w:val="style82"/>
    <w:rPr>
      <w:rFonts w:ascii="OpenSymbol" w:cs="OpenSymbol" w:eastAsia="OpenSymbol" w:hAnsi="OpenSymbol"/>
    </w:rPr>
  </w:style>
  <w:style w:styleId="style83" w:type="character">
    <w:name w:val="ListLabel 51"/>
    <w:next w:val="style83"/>
    <w:rPr>
      <w:b/>
    </w:rPr>
  </w:style>
  <w:style w:styleId="style84" w:type="character">
    <w:name w:val="ListLabel 52"/>
    <w:next w:val="style84"/>
    <w:rPr>
      <w:rFonts w:cs="Symbol"/>
    </w:rPr>
  </w:style>
  <w:style w:styleId="style85" w:type="character">
    <w:name w:val="ListLabel 53"/>
    <w:next w:val="style85"/>
    <w:rPr>
      <w:rFonts w:cs="Courier New"/>
    </w:rPr>
  </w:style>
  <w:style w:styleId="style86" w:type="character">
    <w:name w:val="ListLabel 54"/>
    <w:next w:val="style86"/>
    <w:rPr>
      <w:rFonts w:cs="Wingdings"/>
    </w:rPr>
  </w:style>
  <w:style w:styleId="style87" w:type="character">
    <w:name w:val="ListLabel 55"/>
    <w:next w:val="style87"/>
    <w:rPr>
      <w:i w:val="false"/>
    </w:rPr>
  </w:style>
  <w:style w:styleId="style88" w:type="character">
    <w:name w:val="ListLabel 56"/>
    <w:next w:val="style88"/>
    <w:rPr>
      <w:rFonts w:cs="OpenSymbol"/>
    </w:rPr>
  </w:style>
  <w:style w:styleId="style89" w:type="character">
    <w:name w:val="ListLabel 57"/>
    <w:next w:val="style89"/>
    <w:rPr>
      <w:b/>
      <w:bCs/>
    </w:rPr>
  </w:style>
  <w:style w:styleId="style90" w:type="character">
    <w:name w:val="ListLabel 58"/>
    <w:next w:val="style90"/>
    <w:rPr>
      <w:b/>
    </w:rPr>
  </w:style>
  <w:style w:styleId="style91" w:type="character">
    <w:name w:val="ListLabel 59"/>
    <w:next w:val="style91"/>
    <w:rPr>
      <w:rFonts w:cs="Symbol"/>
    </w:rPr>
  </w:style>
  <w:style w:styleId="style92" w:type="character">
    <w:name w:val="ListLabel 60"/>
    <w:next w:val="style92"/>
    <w:rPr>
      <w:rFonts w:cs="Courier New"/>
    </w:rPr>
  </w:style>
  <w:style w:styleId="style93" w:type="character">
    <w:name w:val="ListLabel 61"/>
    <w:next w:val="style93"/>
    <w:rPr>
      <w:rFonts w:cs="Wingdings"/>
    </w:rPr>
  </w:style>
  <w:style w:styleId="style94" w:type="character">
    <w:name w:val="ListLabel 62"/>
    <w:next w:val="style94"/>
    <w:rPr>
      <w:b/>
      <w:bCs/>
    </w:rPr>
  </w:style>
  <w:style w:styleId="style95" w:type="character">
    <w:name w:val="ListLabel 63"/>
    <w:next w:val="style95"/>
    <w:rPr>
      <w:b/>
      <w:bCs/>
      <w:i w:val="false"/>
    </w:rPr>
  </w:style>
  <w:style w:styleId="style96" w:type="character">
    <w:name w:val="ListLabel 64"/>
    <w:next w:val="style96"/>
    <w:rPr>
      <w:rFonts w:cs="OpenSymbol"/>
    </w:rPr>
  </w:style>
  <w:style w:styleId="style97" w:type="character">
    <w:name w:val="ListLabel 65"/>
    <w:next w:val="style97"/>
    <w:rPr>
      <w:b/>
      <w:bCs/>
    </w:rPr>
  </w:style>
  <w:style w:styleId="style98" w:type="character">
    <w:name w:val="ListLabel 66"/>
    <w:next w:val="style98"/>
    <w:rPr>
      <w:b/>
      <w:bCs/>
      <w:i w:val="false"/>
    </w:rPr>
  </w:style>
  <w:style w:styleId="style99" w:type="character">
    <w:name w:val="ListLabel 67"/>
    <w:next w:val="style99"/>
    <w:rPr>
      <w:rFonts w:cs="Symbol"/>
    </w:rPr>
  </w:style>
  <w:style w:styleId="style100" w:type="character">
    <w:name w:val="ListLabel 68"/>
    <w:next w:val="style100"/>
    <w:rPr>
      <w:rFonts w:cs="Courier New"/>
    </w:rPr>
  </w:style>
  <w:style w:styleId="style101" w:type="character">
    <w:name w:val="ListLabel 69"/>
    <w:next w:val="style101"/>
    <w:rPr>
      <w:rFonts w:cs="Wingdings"/>
    </w:rPr>
  </w:style>
  <w:style w:styleId="style102" w:type="character">
    <w:name w:val="ListLabel 70"/>
    <w:next w:val="style102"/>
    <w:rPr>
      <w:rFonts w:cs="OpenSymbol"/>
    </w:rPr>
  </w:style>
  <w:style w:styleId="style103" w:type="character">
    <w:name w:val="ListLabel 71"/>
    <w:next w:val="style103"/>
    <w:rPr>
      <w:b/>
      <w:bCs/>
    </w:rPr>
  </w:style>
  <w:style w:styleId="style104" w:type="character">
    <w:name w:val="ListLabel 72"/>
    <w:next w:val="style104"/>
    <w:rPr>
      <w:b/>
      <w:bCs/>
      <w:i w:val="false"/>
    </w:rPr>
  </w:style>
  <w:style w:styleId="style105" w:type="character">
    <w:name w:val="ListLabel 73"/>
    <w:next w:val="style105"/>
    <w:rPr>
      <w:rFonts w:cs="Symbol"/>
    </w:rPr>
  </w:style>
  <w:style w:styleId="style106" w:type="character">
    <w:name w:val="ListLabel 74"/>
    <w:next w:val="style106"/>
    <w:rPr>
      <w:rFonts w:cs="Courier New"/>
    </w:rPr>
  </w:style>
  <w:style w:styleId="style107" w:type="character">
    <w:name w:val="ListLabel 75"/>
    <w:next w:val="style107"/>
    <w:rPr>
      <w:rFonts w:cs="Wingdings"/>
    </w:rPr>
  </w:style>
  <w:style w:styleId="style108" w:type="character">
    <w:name w:val="ListLabel 76"/>
    <w:next w:val="style108"/>
    <w:rPr>
      <w:rFonts w:cs="OpenSymbol"/>
    </w:rPr>
  </w:style>
  <w:style w:styleId="style109" w:type="character">
    <w:name w:val="ListLabel 77"/>
    <w:next w:val="style109"/>
    <w:rPr>
      <w:b/>
      <w:bCs/>
    </w:rPr>
  </w:style>
  <w:style w:styleId="style110" w:type="character">
    <w:name w:val="ListLabel 78"/>
    <w:next w:val="style110"/>
    <w:rPr>
      <w:b/>
      <w:bCs/>
      <w:i w:val="false"/>
    </w:rPr>
  </w:style>
  <w:style w:styleId="style111" w:type="character">
    <w:name w:val="ListLabel 79"/>
    <w:next w:val="style111"/>
    <w:rPr>
      <w:rFonts w:cs="Symbol"/>
    </w:rPr>
  </w:style>
  <w:style w:styleId="style112" w:type="character">
    <w:name w:val="ListLabel 80"/>
    <w:next w:val="style112"/>
    <w:rPr>
      <w:rFonts w:cs="Courier New"/>
    </w:rPr>
  </w:style>
  <w:style w:styleId="style113" w:type="character">
    <w:name w:val="ListLabel 81"/>
    <w:next w:val="style113"/>
    <w:rPr>
      <w:rFonts w:cs="Wingdings"/>
    </w:rPr>
  </w:style>
  <w:style w:styleId="style114" w:type="character">
    <w:name w:val="ListLabel 82"/>
    <w:next w:val="style114"/>
    <w:rPr>
      <w:rFonts w:cs="OpenSymbol"/>
    </w:rPr>
  </w:style>
  <w:style w:styleId="style115" w:type="character">
    <w:name w:val="ListLabel 83"/>
    <w:next w:val="style115"/>
    <w:rPr>
      <w:b/>
      <w:bCs/>
    </w:rPr>
  </w:style>
  <w:style w:styleId="style116" w:type="character">
    <w:name w:val="ListLabel 84"/>
    <w:next w:val="style116"/>
    <w:rPr>
      <w:b/>
      <w:bCs/>
      <w:i w:val="false"/>
    </w:rPr>
  </w:style>
  <w:style w:styleId="style117" w:type="character">
    <w:name w:val="ListLabel 85"/>
    <w:next w:val="style117"/>
    <w:rPr>
      <w:rFonts w:cs="Symbol"/>
    </w:rPr>
  </w:style>
  <w:style w:styleId="style118" w:type="character">
    <w:name w:val="ListLabel 86"/>
    <w:next w:val="style118"/>
    <w:rPr>
      <w:rFonts w:cs="Courier New"/>
    </w:rPr>
  </w:style>
  <w:style w:styleId="style119" w:type="character">
    <w:name w:val="ListLabel 87"/>
    <w:next w:val="style119"/>
    <w:rPr>
      <w:rFonts w:cs="Wingdings"/>
    </w:rPr>
  </w:style>
  <w:style w:styleId="style120" w:type="character">
    <w:name w:val="ListLabel 88"/>
    <w:next w:val="style120"/>
    <w:rPr>
      <w:rFonts w:cs="OpenSymbol"/>
    </w:rPr>
  </w:style>
  <w:style w:styleId="style121" w:type="character">
    <w:name w:val="ListLabel 89"/>
    <w:next w:val="style121"/>
    <w:rPr>
      <w:b/>
      <w:bCs/>
    </w:rPr>
  </w:style>
  <w:style w:styleId="style122" w:type="character">
    <w:name w:val="ListLabel 90"/>
    <w:next w:val="style122"/>
    <w:rPr>
      <w:b/>
      <w:bCs/>
      <w:i w:val="false"/>
    </w:rPr>
  </w:style>
  <w:style w:styleId="style123" w:type="character">
    <w:name w:val="ListLabel 91"/>
    <w:next w:val="style123"/>
    <w:rPr>
      <w:rFonts w:cs="Symbol"/>
    </w:rPr>
  </w:style>
  <w:style w:styleId="style124" w:type="character">
    <w:name w:val="ListLabel 92"/>
    <w:next w:val="style124"/>
    <w:rPr>
      <w:rFonts w:cs="Courier New"/>
    </w:rPr>
  </w:style>
  <w:style w:styleId="style125" w:type="character">
    <w:name w:val="ListLabel 93"/>
    <w:next w:val="style125"/>
    <w:rPr>
      <w:rFonts w:cs="Wingdings"/>
    </w:rPr>
  </w:style>
  <w:style w:styleId="style126" w:type="character">
    <w:name w:val="ListLabel 94"/>
    <w:next w:val="style126"/>
    <w:rPr>
      <w:rFonts w:cs="OpenSymbol"/>
    </w:rPr>
  </w:style>
  <w:style w:styleId="style127" w:type="character">
    <w:name w:val="ListLabel 95"/>
    <w:next w:val="style127"/>
    <w:rPr>
      <w:b/>
      <w:bCs/>
    </w:rPr>
  </w:style>
  <w:style w:styleId="style128" w:type="character">
    <w:name w:val="ListLabel 96"/>
    <w:next w:val="style128"/>
    <w:rPr>
      <w:b/>
      <w:bCs/>
      <w:i w:val="false"/>
    </w:rPr>
  </w:style>
  <w:style w:styleId="style129" w:type="character">
    <w:name w:val="ListLabel 97"/>
    <w:next w:val="style129"/>
    <w:rPr>
      <w:rFonts w:cs="Symbol"/>
    </w:rPr>
  </w:style>
  <w:style w:styleId="style130" w:type="character">
    <w:name w:val="ListLabel 98"/>
    <w:next w:val="style130"/>
    <w:rPr>
      <w:rFonts w:cs="Courier New"/>
    </w:rPr>
  </w:style>
  <w:style w:styleId="style131" w:type="character">
    <w:name w:val="ListLabel 99"/>
    <w:next w:val="style131"/>
    <w:rPr>
      <w:rFonts w:cs="Wingdings"/>
    </w:rPr>
  </w:style>
  <w:style w:styleId="style132" w:type="character">
    <w:name w:val="ListLabel 100"/>
    <w:next w:val="style132"/>
    <w:rPr>
      <w:rFonts w:cs="OpenSymbol"/>
    </w:rPr>
  </w:style>
  <w:style w:styleId="style133" w:type="character">
    <w:name w:val="ListLabel 101"/>
    <w:next w:val="style133"/>
    <w:rPr>
      <w:b/>
      <w:bCs/>
    </w:rPr>
  </w:style>
  <w:style w:styleId="style134" w:type="character">
    <w:name w:val="ListLabel 102"/>
    <w:next w:val="style134"/>
    <w:rPr>
      <w:b/>
      <w:bCs/>
      <w:i w:val="false"/>
    </w:rPr>
  </w:style>
  <w:style w:styleId="style135" w:type="character">
    <w:name w:val="ListLabel 103"/>
    <w:next w:val="style135"/>
    <w:rPr>
      <w:rFonts w:cs="Symbol"/>
    </w:rPr>
  </w:style>
  <w:style w:styleId="style136" w:type="character">
    <w:name w:val="ListLabel 104"/>
    <w:next w:val="style136"/>
    <w:rPr>
      <w:rFonts w:cs="Courier New"/>
    </w:rPr>
  </w:style>
  <w:style w:styleId="style137" w:type="character">
    <w:name w:val="ListLabel 105"/>
    <w:next w:val="style137"/>
    <w:rPr>
      <w:rFonts w:cs="Wingdings"/>
    </w:rPr>
  </w:style>
  <w:style w:styleId="style138" w:type="character">
    <w:name w:val="ListLabel 106"/>
    <w:next w:val="style138"/>
    <w:rPr>
      <w:rFonts w:cs="OpenSymbol"/>
    </w:rPr>
  </w:style>
  <w:style w:styleId="style139" w:type="paragraph">
    <w:name w:val="Heading"/>
    <w:basedOn w:val="style0"/>
    <w:next w:val="style140"/>
    <w:pPr>
      <w:keepNext/>
      <w:spacing w:after="120" w:before="240"/>
    </w:pPr>
    <w:rPr>
      <w:rFonts w:ascii="Liberation Sans" w:cs="FreeSans" w:eastAsia="Droid Sans Fallback" w:hAnsi="Liberation Sans"/>
      <w:sz w:val="28"/>
      <w:szCs w:val="28"/>
    </w:rPr>
  </w:style>
  <w:style w:styleId="style140" w:type="paragraph">
    <w:name w:val="Text body"/>
    <w:basedOn w:val="style0"/>
    <w:next w:val="style140"/>
    <w:pPr>
      <w:spacing w:after="120" w:before="0"/>
    </w:pPr>
    <w:rPr/>
  </w:style>
  <w:style w:styleId="style141" w:type="paragraph">
    <w:name w:val="List"/>
    <w:basedOn w:val="style140"/>
    <w:next w:val="style141"/>
    <w:pPr/>
    <w:rPr>
      <w:rFonts w:cs="FreeSans"/>
    </w:rPr>
  </w:style>
  <w:style w:styleId="style142" w:type="paragraph">
    <w:name w:val="Caption"/>
    <w:basedOn w:val="style0"/>
    <w:next w:val="style142"/>
    <w:pPr>
      <w:suppressLineNumbers/>
      <w:spacing w:after="120" w:before="120"/>
    </w:pPr>
    <w:rPr>
      <w:rFonts w:cs="FreeSans"/>
      <w:i/>
      <w:iCs/>
      <w:sz w:val="24"/>
      <w:szCs w:val="24"/>
    </w:rPr>
  </w:style>
  <w:style w:styleId="style143" w:type="paragraph">
    <w:name w:val="Index"/>
    <w:basedOn w:val="style0"/>
    <w:next w:val="style143"/>
    <w:pPr>
      <w:suppressLineNumbers/>
    </w:pPr>
    <w:rPr>
      <w:rFonts w:cs="FreeSans"/>
    </w:rPr>
  </w:style>
  <w:style w:styleId="style144" w:type="paragraph">
    <w:name w:val="caption"/>
    <w:basedOn w:val="style0"/>
    <w:next w:val="style144"/>
    <w:pPr>
      <w:suppressLineNumbers/>
      <w:spacing w:after="120" w:before="120"/>
    </w:pPr>
    <w:rPr>
      <w:rFonts w:cs="FreeSans"/>
      <w:i/>
      <w:iCs/>
    </w:rPr>
  </w:style>
  <w:style w:styleId="style145" w:type="paragraph">
    <w:name w:val="Body Text 2"/>
    <w:basedOn w:val="style0"/>
    <w:next w:val="style145"/>
    <w:pPr>
      <w:jc w:val="both"/>
    </w:pPr>
    <w:rPr/>
  </w:style>
  <w:style w:styleId="style146" w:type="paragraph">
    <w:name w:val="Footer"/>
    <w:basedOn w:val="style0"/>
    <w:next w:val="style146"/>
    <w:pPr>
      <w:suppressLineNumbers/>
      <w:tabs>
        <w:tab w:leader="none" w:pos="4320" w:val="center"/>
        <w:tab w:leader="none" w:pos="8640" w:val="right"/>
      </w:tabs>
    </w:pPr>
    <w:rPr/>
  </w:style>
  <w:style w:styleId="style147" w:type="paragraph">
    <w:name w:val="Body Text Indent 2"/>
    <w:basedOn w:val="style0"/>
    <w:next w:val="style147"/>
    <w:pPr>
      <w:spacing w:after="0" w:before="0"/>
      <w:ind w:hanging="0" w:left="1440" w:right="0"/>
      <w:jc w:val="both"/>
    </w:pPr>
    <w:rPr/>
  </w:style>
  <w:style w:styleId="style148" w:type="paragraph">
    <w:name w:val="List Paragraph"/>
    <w:basedOn w:val="style0"/>
    <w:next w:val="style148"/>
    <w:pPr>
      <w:spacing w:after="0" w:before="0"/>
      <w:ind w:hanging="0" w:left="720" w:right="0"/>
    </w:pPr>
    <w:rPr/>
  </w:style>
  <w:style w:styleId="style149" w:type="paragraph">
    <w:name w:val="No Spacing"/>
    <w:next w:val="style149"/>
    <w:pPr>
      <w:widowControl/>
      <w:tabs>
        <w:tab w:leader="none" w:pos="720" w:val="left"/>
      </w:tabs>
      <w:suppressAutoHyphens w:val="true"/>
      <w:kinsoku w:val="true"/>
      <w:overflowPunct w:val="true"/>
      <w:autoSpaceDE w:val="true"/>
      <w:spacing w:after="0" w:before="0" w:line="100" w:lineRule="atLeast"/>
    </w:pPr>
    <w:rPr>
      <w:rFonts w:ascii="Calibri" w:cs="Times New Roman" w:eastAsia="Times New Roman" w:hAnsi="Calibri"/>
      <w:color w:val="00000A"/>
      <w:sz w:val="22"/>
      <w:szCs w:val="22"/>
      <w:lang w:bidi="ar-SA" w:eastAsia="en-IN" w:val="en-IN"/>
    </w:rPr>
  </w:style>
  <w:style w:styleId="style150" w:type="paragraph">
    <w:name w:val="annotation text"/>
    <w:basedOn w:val="style0"/>
    <w:next w:val="style150"/>
    <w:pPr/>
    <w:rPr>
      <w:sz w:val="20"/>
      <w:szCs w:val="20"/>
    </w:rPr>
  </w:style>
  <w:style w:styleId="style151" w:type="paragraph">
    <w:name w:val="annotation subject"/>
    <w:basedOn w:val="style150"/>
    <w:next w:val="style151"/>
    <w:pPr>
      <w:spacing w:after="200" w:before="0"/>
    </w:pPr>
    <w:rPr>
      <w:rFonts w:ascii="Calibri" w:hAnsi="Calibri"/>
      <w:b/>
      <w:bCs/>
      <w:lang w:eastAsia="en-IN" w:val="en-IN"/>
    </w:rPr>
  </w:style>
  <w:style w:styleId="style152" w:type="paragraph">
    <w:name w:val="Normal (Web)"/>
    <w:basedOn w:val="style0"/>
    <w:next w:val="style152"/>
    <w:pPr>
      <w:spacing w:after="28" w:before="28"/>
    </w:pPr>
    <w:rPr/>
  </w:style>
  <w:style w:styleId="style153" w:type="paragraph">
    <w:name w:val="Header"/>
    <w:basedOn w:val="style0"/>
    <w:next w:val="style153"/>
    <w:pPr>
      <w:suppressLineNumbers/>
      <w:tabs>
        <w:tab w:leader="none" w:pos="4680" w:val="center"/>
        <w:tab w:leader="none" w:pos="9360" w:val="right"/>
      </w:tabs>
    </w:pPr>
    <w:rPr/>
  </w:style>
  <w:style w:styleId="style154" w:type="paragraph">
    <w:name w:val="authors"/>
    <w:basedOn w:val="style0"/>
    <w:next w:val="style154"/>
    <w:pPr>
      <w:spacing w:after="28" w:before="28"/>
    </w:pPr>
    <w:rPr/>
  </w:style>
  <w:style w:styleId="style155" w:type="paragraph">
    <w:name w:val="citationline"/>
    <w:basedOn w:val="style0"/>
    <w:next w:val="style155"/>
    <w:pPr>
      <w:spacing w:after="28" w:before="28"/>
    </w:pPr>
    <w:rPr/>
  </w:style>
  <w:style w:styleId="style156" w:type="paragraph">
    <w:name w:val="Table Contents"/>
    <w:basedOn w:val="style0"/>
    <w:next w:val="style156"/>
    <w:pPr>
      <w:suppressLineNumbers/>
    </w:pPr>
    <w:rPr/>
  </w:style>
  <w:style w:styleId="style157" w:type="paragraph">
    <w:name w:val="Table Heading"/>
    <w:basedOn w:val="style156"/>
    <w:next w:val="style157"/>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microbelibrary.org/library/8-authors/228-rebecca-buxton" TargetMode="Externa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2795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2013-08-05T04:51:00.00Z</dcterms:created>
  <dc:creator>Acer</dc:creator>
  <cp:lastModifiedBy>clostridium </cp:lastModifiedBy>
  <cp:lastPrinted>2015-03-11T07:19:00.00Z</cp:lastPrinted>
  <dcterms:modified xsi:type="dcterms:W3CDTF">2015-06-30T08:14:17.00Z</dcterms:modified>
  <cp:revision>88</cp:revision>
</cp:coreProperties>
</file>