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Multi-Timeframe Charts — Architecture Guide</w:t>
      </w:r>
    </w:p>
    <w:p>
      <w:pPr>
        <w:jc w:val="center"/>
      </w:pPr>
      <w:r>
        <w:rPr>
          <w:b w:val="0"/>
          <w:i/>
        </w:rPr>
        <w:t>Version 3.1  |  Last updated: July 2026</w:t>
      </w:r>
    </w:p>
    <w:p/>
    <w:p>
      <w:pPr>
        <w:pStyle w:val="Heading1"/>
      </w:pPr>
      <w:r>
        <w:t>1. Project Overview</w:t>
      </w:r>
    </w:p>
    <w:p>
      <w:r>
        <w:rPr>
          <w:b w:val="0"/>
          <w:i w:val="0"/>
        </w:rPr>
        <w:t>Multi-Timeframe Charts (MTC) is a browser-based trading dashboard that displays live candlestick charts across multiple timeframes simultaneously. It supports multiple data sources, a full watchlist with live prices, 14 drawing tools, technical indicators, price alerts, and chart synchronisation.</w:t>
      </w:r>
    </w:p>
    <w:p/>
    <w:p>
      <w:pPr>
        <w:pStyle w:val="Heading2"/>
      </w:pPr>
      <w:r>
        <w:t>1.1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  <w:shd w:val="clear" w:color="auto" w:fill="E8ECF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  <w:shd w:val="clear" w:color="auto" w:fill="E8ECF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3 / Flask</w:t>
            </w:r>
          </w:p>
        </w:tc>
        <w:tc>
          <w:tcPr>
            <w:tcW w:type="dxa" w:w="4320"/>
          </w:tcPr>
          <w:p>
            <w:r>
              <w:t>REST API server; serves static files</w:t>
            </w:r>
          </w:p>
        </w:tc>
      </w:tr>
      <w:tr>
        <w:tc>
          <w:tcPr>
            <w:tcW w:type="dxa" w:w="2160"/>
          </w:tcPr>
          <w:p>
            <w:r>
              <w:t>Data — Crypto</w:t>
            </w:r>
          </w:p>
        </w:tc>
        <w:tc>
          <w:tcPr>
            <w:tcW w:type="dxa" w:w="2880"/>
          </w:tcPr>
          <w:p>
            <w:r>
              <w:t>Hyperliquid REST + WS</w:t>
            </w:r>
          </w:p>
        </w:tc>
        <w:tc>
          <w:tcPr>
            <w:tcW w:type="dxa" w:w="4320"/>
          </w:tcPr>
          <w:p>
            <w:r>
              <w:t>Perpetual futures; real-time WS price feed</w:t>
            </w:r>
          </w:p>
        </w:tc>
      </w:tr>
      <w:tr>
        <w:tc>
          <w:tcPr>
            <w:tcW w:type="dxa" w:w="2160"/>
          </w:tcPr>
          <w:p>
            <w:r>
              <w:t>Data — Crypto</w:t>
            </w:r>
          </w:p>
        </w:tc>
        <w:tc>
          <w:tcPr>
            <w:tcW w:type="dxa" w:w="2880"/>
          </w:tcPr>
          <w:p>
            <w:r>
              <w:t>Binance REST + WS</w:t>
            </w:r>
          </w:p>
        </w:tc>
        <w:tc>
          <w:tcPr>
            <w:tcW w:type="dxa" w:w="4320"/>
          </w:tcPr>
          <w:p>
            <w:r>
              <w:t>Spot/futures; optional API key for higher limits</w:t>
            </w:r>
          </w:p>
        </w:tc>
      </w:tr>
      <w:tr>
        <w:tc>
          <w:tcPr>
            <w:tcW w:type="dxa" w:w="2160"/>
          </w:tcPr>
          <w:p>
            <w:r>
              <w:t>Data — Stocks</w:t>
            </w:r>
          </w:p>
        </w:tc>
        <w:tc>
          <w:tcPr>
            <w:tcW w:type="dxa" w:w="2880"/>
          </w:tcPr>
          <w:p>
            <w:r>
              <w:t>Yahoo Finance (yfinance)</w:t>
            </w:r>
          </w:p>
        </w:tc>
        <w:tc>
          <w:tcPr>
            <w:tcW w:type="dxa" w:w="4320"/>
          </w:tcPr>
          <w:p>
            <w:r>
              <w:t>NSE, BSE, US Stocks, Indices, Forex, Commodities</w:t>
            </w:r>
          </w:p>
        </w:tc>
      </w:tr>
      <w:tr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Lightweight Charts v4.1.3</w:t>
            </w:r>
          </w:p>
        </w:tc>
        <w:tc>
          <w:tcPr>
            <w:tcW w:type="dxa" w:w="4320"/>
          </w:tcPr>
          <w:p>
            <w:r>
              <w:t>TradingView open-source library (CDN)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Vanilla JS / CSS</w:t>
            </w:r>
          </w:p>
        </w:tc>
        <w:tc>
          <w:tcPr>
            <w:tcW w:type="dxa" w:w="4320"/>
          </w:tcPr>
          <w:p>
            <w:r>
              <w:t>No framework; single-page app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localStorage</w:t>
            </w:r>
          </w:p>
        </w:tc>
        <w:tc>
          <w:tcPr>
            <w:tcW w:type="dxa" w:w="4320"/>
          </w:tcPr>
          <w:p>
            <w:r>
              <w:t>Persist watchlist, layouts, indicator state</w:t>
            </w:r>
          </w:p>
        </w:tc>
      </w:tr>
    </w:tbl>
    <w:p/>
    <w:p>
      <w:pPr>
        <w:pStyle w:val="Heading1"/>
      </w:pPr>
      <w:r>
        <w:t>2.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760"/>
            <w:shd w:val="clear" w:color="auto" w:fill="E8ECF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600"/>
          </w:tcPr>
          <w:p>
            <w:r>
              <w:t>app.py</w:t>
            </w:r>
          </w:p>
        </w:tc>
        <w:tc>
          <w:tcPr>
            <w:tcW w:type="dxa" w:w="5760"/>
          </w:tcPr>
          <w:p>
            <w:r>
              <w:t>Flask server — routes, API endpoints, startup</w:t>
            </w:r>
          </w:p>
        </w:tc>
      </w:tr>
      <w:tr>
        <w:tc>
          <w:tcPr>
            <w:tcW w:type="dxa" w:w="3600"/>
          </w:tcPr>
          <w:p>
            <w:r>
              <w:t>data_source.py</w:t>
            </w:r>
          </w:p>
        </w:tc>
        <w:tc>
          <w:tcPr>
            <w:tcW w:type="dxa" w:w="5760"/>
          </w:tcPr>
          <w:p>
            <w:r>
              <w:t>All data fetching: history, search, price, WS helpers</w:t>
            </w:r>
          </w:p>
        </w:tc>
      </w:tr>
      <w:tr>
        <w:tc>
          <w:tcPr>
            <w:tcW w:type="dxa" w:w="3600"/>
          </w:tcPr>
          <w:p>
            <w:r>
              <w:t>requirements.txt</w:t>
            </w:r>
          </w:p>
        </w:tc>
        <w:tc>
          <w:tcPr>
            <w:tcW w:type="dxa" w:w="5760"/>
          </w:tcPr>
          <w:p>
            <w:r>
              <w:t>Python deps: flask, flask-cors, yfinance, pandas, requests, certifi</w:t>
            </w:r>
          </w:p>
        </w:tc>
      </w:tr>
      <w:tr>
        <w:tc>
          <w:tcPr>
            <w:tcW w:type="dxa" w:w="3600"/>
          </w:tcPr>
          <w:p>
            <w:r>
              <w:t>static/index.html</w:t>
            </w:r>
          </w:p>
        </w:tc>
        <w:tc>
          <w:tcPr>
            <w:tcW w:type="dxa" w:w="5760"/>
          </w:tcPr>
          <w:p>
            <w:r>
              <w:t>Single HTML page; all panels, modals, script tags</w:t>
            </w:r>
          </w:p>
        </w:tc>
      </w:tr>
      <w:tr>
        <w:tc>
          <w:tcPr>
            <w:tcW w:type="dxa" w:w="3600"/>
          </w:tcPr>
          <w:p>
            <w:r>
              <w:t>static/css/style.css</w:t>
            </w:r>
          </w:p>
        </w:tc>
        <w:tc>
          <w:tcPr>
            <w:tcW w:type="dxa" w:w="5760"/>
          </w:tcPr>
          <w:p>
            <w:r>
              <w:t>All styles; CSS custom properties for theme tokens</w:t>
            </w:r>
          </w:p>
        </w:tc>
      </w:tr>
      <w:tr>
        <w:tc>
          <w:tcPr>
            <w:tcW w:type="dxa" w:w="3600"/>
          </w:tcPr>
          <w:p>
            <w:r>
              <w:t>static/js/app.js</w:t>
            </w:r>
          </w:p>
        </w:tc>
        <w:tc>
          <w:tcPr>
            <w:tcW w:type="dxa" w:w="5760"/>
          </w:tcPr>
          <w:p>
            <w:r>
              <w:t>Dashboard orchestrator: grid, active pane, expand mode, theme</w:t>
            </w:r>
          </w:p>
        </w:tc>
      </w:tr>
      <w:tr>
        <w:tc>
          <w:tcPr>
            <w:tcW w:type="dxa" w:w="3600"/>
          </w:tcPr>
          <w:p>
            <w:r>
              <w:t>static/js/chart-pane.js</w:t>
            </w:r>
          </w:p>
        </w:tc>
        <w:tc>
          <w:tcPr>
            <w:tcW w:type="dxa" w:w="5760"/>
          </w:tcPr>
          <w:p>
            <w:r>
              <w:t>ChartPane class: render, LWC init, controls, search, price feed</w:t>
            </w:r>
          </w:p>
        </w:tc>
      </w:tr>
      <w:tr>
        <w:tc>
          <w:tcPr>
            <w:tcW w:type="dxa" w:w="3600"/>
          </w:tcPr>
          <w:p>
            <w:r>
              <w:t>static/js/watchlist.js</w:t>
            </w:r>
          </w:p>
        </w:tc>
        <w:tc>
          <w:tcPr>
            <w:tcW w:type="dxa" w:w="5760"/>
          </w:tcPr>
          <w:p>
            <w:r>
              <w:t>WatchlistManager IIFE: tabs, sections, drag, prices, import/export</w:t>
            </w:r>
          </w:p>
        </w:tc>
      </w:tr>
      <w:tr>
        <w:tc>
          <w:tcPr>
            <w:tcW w:type="dxa" w:w="3600"/>
          </w:tcPr>
          <w:p>
            <w:r>
              <w:t>static/js/draw-engine.js</w:t>
            </w:r>
          </w:p>
        </w:tc>
        <w:tc>
          <w:tcPr>
            <w:tcW w:type="dxa" w:w="5760"/>
          </w:tcPr>
          <w:p>
            <w:r>
              <w:t>Canvas overlay: attach/detach per pane, tool dispatch, render</w:t>
            </w:r>
          </w:p>
        </w:tc>
      </w:tr>
      <w:tr>
        <w:tc>
          <w:tcPr>
            <w:tcW w:type="dxa" w:w="3600"/>
          </w:tcPr>
          <w:p>
            <w:r>
              <w:t>static/js/draw-tools.js</w:t>
            </w:r>
          </w:p>
        </w:tc>
        <w:tc>
          <w:tcPr>
            <w:tcW w:type="dxa" w:w="5760"/>
          </w:tcPr>
          <w:p>
            <w:r>
              <w:t>14 drawing tool definitions (geometry, hit-test, render)</w:t>
            </w:r>
          </w:p>
        </w:tc>
      </w:tr>
      <w:tr>
        <w:tc>
          <w:tcPr>
            <w:tcW w:type="dxa" w:w="3600"/>
          </w:tcPr>
          <w:p>
            <w:r>
              <w:t>static/js/draw-toolbar.js</w:t>
            </w:r>
          </w:p>
        </w:tc>
        <w:tc>
          <w:tcPr>
            <w:tcW w:type="dxa" w:w="5760"/>
          </w:tcPr>
          <w:p>
            <w:r>
              <w:t>Floating toolbar panel; tool selection UI</w:t>
            </w:r>
          </w:p>
        </w:tc>
      </w:tr>
      <w:tr>
        <w:tc>
          <w:tcPr>
            <w:tcW w:type="dxa" w:w="3600"/>
          </w:tcPr>
          <w:p>
            <w:r>
              <w:t>static/js/drawings.js</w:t>
            </w:r>
          </w:p>
        </w:tc>
        <w:tc>
          <w:tcPr>
            <w:tcW w:type="dxa" w:w="5760"/>
          </w:tcPr>
          <w:p>
            <w:r>
              <w:t>Drawing persistence: save/load per symbol per pane</w:t>
            </w:r>
          </w:p>
        </w:tc>
      </w:tr>
      <w:tr>
        <w:tc>
          <w:tcPr>
            <w:tcW w:type="dxa" w:w="3600"/>
          </w:tcPr>
          <w:p>
            <w:r>
              <w:t>static/js/indicators.js</w:t>
            </w:r>
          </w:p>
        </w:tc>
        <w:tc>
          <w:tcPr>
            <w:tcW w:type="dxa" w:w="5760"/>
          </w:tcPr>
          <w:p>
            <w:r>
              <w:t>IndicatorManager: compute + render all indicators on LWC</w:t>
            </w:r>
          </w:p>
        </w:tc>
      </w:tr>
      <w:tr>
        <w:tc>
          <w:tcPr>
            <w:tcW w:type="dxa" w:w="3600"/>
          </w:tcPr>
          <w:p>
            <w:r>
              <w:t>static/js/sync.js</w:t>
            </w:r>
          </w:p>
        </w:tc>
        <w:tc>
          <w:tcPr>
            <w:tcW w:type="dxa" w:w="5760"/>
          </w:tcPr>
          <w:p>
            <w:r>
              <w:t>CrosshairSync: mirror crosshair across all panes</w:t>
            </w:r>
          </w:p>
        </w:tc>
      </w:tr>
      <w:tr>
        <w:tc>
          <w:tcPr>
            <w:tcW w:type="dxa" w:w="3600"/>
          </w:tcPr>
          <w:p>
            <w:r>
              <w:t>static/js/hl-ws.js</w:t>
            </w:r>
          </w:p>
        </w:tc>
        <w:tc>
          <w:tcPr>
            <w:tcW w:type="dxa" w:w="5760"/>
          </w:tcPr>
          <w:p>
            <w:r>
              <w:t>Hyperliquid WebSocket client; subscribeMids(), subscribeCandles()</w:t>
            </w:r>
          </w:p>
        </w:tc>
      </w:tr>
      <w:tr>
        <w:tc>
          <w:tcPr>
            <w:tcW w:type="dxa" w:w="3600"/>
          </w:tcPr>
          <w:p>
            <w:r>
              <w:t>static/js/binance-ws.js</w:t>
            </w:r>
          </w:p>
        </w:tc>
        <w:tc>
          <w:tcPr>
            <w:tcW w:type="dxa" w:w="5760"/>
          </w:tcPr>
          <w:p>
            <w:r>
              <w:t>Binance WebSocket client; real-time kline + price streams</w:t>
            </w:r>
          </w:p>
        </w:tc>
      </w:tr>
      <w:tr>
        <w:tc>
          <w:tcPr>
            <w:tcW w:type="dxa" w:w="3600"/>
          </w:tcPr>
          <w:p>
            <w:r>
              <w:t>static/js/alerts.js</w:t>
            </w:r>
          </w:p>
        </w:tc>
        <w:tc>
          <w:tcPr>
            <w:tcW w:type="dxa" w:w="5760"/>
          </w:tcPr>
          <w:p>
            <w:r>
              <w:t>AlertsManager: price alert CRUD, polling, browser notifications</w:t>
            </w:r>
          </w:p>
        </w:tc>
      </w:tr>
      <w:tr>
        <w:tc>
          <w:tcPr>
            <w:tcW w:type="dxa" w:w="3600"/>
          </w:tcPr>
          <w:p>
            <w:r>
              <w:t>static/js/shortcuts.js</w:t>
            </w:r>
          </w:p>
        </w:tc>
        <w:tc>
          <w:tcPr>
            <w:tcW w:type="dxa" w:w="5760"/>
          </w:tcPr>
          <w:p>
            <w:r>
              <w:t>Global keyboard shortcuts (W, S, T, I, E, 1/2/4/6/8, Esc, Del)</w:t>
            </w:r>
          </w:p>
        </w:tc>
      </w:tr>
      <w:tr>
        <w:tc>
          <w:tcPr>
            <w:tcW w:type="dxa" w:w="3600"/>
          </w:tcPr>
          <w:p>
            <w:r>
              <w:t>static/js/mtf-rsi.js</w:t>
            </w:r>
          </w:p>
        </w:tc>
        <w:tc>
          <w:tcPr>
            <w:tcW w:type="dxa" w:w="5760"/>
          </w:tcPr>
          <w:p>
            <w:r>
              <w:t>MtfRsiWidget: multi-timeframe RSI table panel</w:t>
            </w:r>
          </w:p>
        </w:tc>
      </w:tr>
      <w:tr>
        <w:tc>
          <w:tcPr>
            <w:tcW w:type="dxa" w:w="3600"/>
          </w:tcPr>
          <w:p>
            <w:r>
              <w:t>static/js/workspaces.js</w:t>
            </w:r>
          </w:p>
        </w:tc>
        <w:tc>
          <w:tcPr>
            <w:tcW w:type="dxa" w:w="5760"/>
          </w:tcPr>
          <w:p>
            <w:r>
              <w:t>Workspace save/load: named snapshots of all pane states</w:t>
            </w:r>
          </w:p>
        </w:tc>
      </w:tr>
    </w:tbl>
    <w:p/>
    <w:p>
      <w:pPr>
        <w:pStyle w:val="Heading1"/>
      </w:pPr>
      <w:r>
        <w:t>3. Backend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E8EC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752"/>
            <w:shd w:val="clear" w:color="auto" w:fill="E8ECF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GET /</w:t>
            </w:r>
          </w:p>
        </w:tc>
        <w:tc>
          <w:tcPr>
            <w:tcW w:type="dxa" w:w="4752"/>
          </w:tcPr>
          <w:p>
            <w:r>
              <w:t>Serves static/index.html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GET /&lt;path&gt;</w:t>
            </w:r>
          </w:p>
        </w:tc>
        <w:tc>
          <w:tcPr>
            <w:tcW w:type="dxa" w:w="4752"/>
          </w:tcPr>
          <w:p>
            <w:r>
              <w:t>Serves any file under /static/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GET /api/history</w:t>
            </w:r>
          </w:p>
        </w:tc>
        <w:tc>
          <w:tcPr>
            <w:tcW w:type="dxa" w:w="4752"/>
          </w:tcPr>
          <w:p>
            <w:r>
              <w:t>OHLCV candle history. Params: source, symbol, interval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GET /api/price</w:t>
            </w:r>
          </w:p>
        </w:tc>
        <w:tc>
          <w:tcPr>
            <w:tcW w:type="dxa" w:w="4752"/>
          </w:tcPr>
          <w:p>
            <w:r>
              <w:t>Single current price. Params: source, symbol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GET /api/symbols</w:t>
            </w:r>
          </w:p>
        </w:tc>
        <w:tc>
          <w:tcPr>
            <w:tcW w:type="dxa" w:w="4752"/>
          </w:tcPr>
          <w:p>
            <w:r>
              <w:t>Backward-compat stub (deprecated)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GET /api/search-symbols</w:t>
            </w:r>
          </w:p>
        </w:tc>
        <w:tc>
          <w:tcPr>
            <w:tcW w:type="dxa" w:w="4752"/>
          </w:tcPr>
          <w:p>
            <w:r>
              <w:t>Live hybrid search. Params: q, source (optional)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GET /api/source-intervals</w:t>
            </w:r>
          </w:p>
        </w:tc>
        <w:tc>
          <w:tcPr>
            <w:tcW w:type="dxa" w:w="4752"/>
          </w:tcPr>
          <w:p>
            <w:r>
              <w:t>Returns valid intervals per source</w:t>
            </w:r>
          </w:p>
        </w:tc>
      </w:tr>
      <w:tr>
        <w:tc>
          <w:tcPr>
            <w:tcW w:type="dxa" w:w="1152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GET/POST /api/binance-config</w:t>
            </w:r>
          </w:p>
        </w:tc>
        <w:tc>
          <w:tcPr>
            <w:tcW w:type="dxa" w:w="4752"/>
          </w:tcPr>
          <w:p>
            <w:r>
              <w:t>Read/write optional Binance API credentials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GET /api/batch-prices</w:t>
            </w:r>
          </w:p>
        </w:tc>
        <w:tc>
          <w:tcPr>
            <w:tcW w:type="dxa" w:w="4752"/>
          </w:tcPr>
          <w:p>
            <w:r>
              <w:t>Batch price fetch for watchlist. Params: items=source:sym,...</w:t>
            </w:r>
          </w:p>
        </w:tc>
      </w:tr>
    </w:tbl>
    <w:p/>
    <w:p>
      <w:pPr>
        <w:pStyle w:val="Heading2"/>
      </w:pPr>
      <w:r>
        <w:t>3.1 /api/search-symbols Logic</w:t>
      </w:r>
    </w:p>
    <w:p>
      <w:r>
        <w:rPr>
          <w:b w:val="0"/>
          <w:i w:val="0"/>
        </w:rPr>
        <w:t>When called without a source parameter the endpoint searches Yahoo Finance only. When called with source=hyperliquid it searches the cached Hyperliquid perp coin list. When called with source=binance it searches Binance trading pairs. The watchlist search fires all three in parallel and merges results, ensuring crypto coins (BTC, ETH, SOL etc.) appear alongside NSE/US stocks.</w:t>
      </w:r>
    </w:p>
    <w:p>
      <w:pPr>
        <w:pStyle w:val="Heading2"/>
      </w:pPr>
      <w:r>
        <w:t>3.2 /api/batch-prices Logic</w:t>
      </w:r>
    </w:p>
    <w:p>
      <w:r>
        <w:rPr>
          <w:b w:val="0"/>
          <w:i w:val="0"/>
        </w:rPr>
        <w:t>Accepts a comma-separated items query param in the format source:SYMBOL. Groups by source, fetches prices for each, and returns a flat dict keyed by source:SYMBOL. Missing prices are silently omitted — the watchlist row shows '—' instead.</w:t>
      </w:r>
    </w:p>
    <w:p>
      <w:pPr>
        <w:pStyle w:val="Heading1"/>
      </w:pPr>
      <w:r>
        <w:t>4. Data Sources</w:t>
      </w:r>
    </w:p>
    <w:p>
      <w:pPr>
        <w:pStyle w:val="Heading2"/>
      </w:pPr>
      <w:r>
        <w:t>4.1 Hyperliquid</w:t>
      </w:r>
    </w:p>
    <w:p>
      <w:pPr>
        <w:pStyle w:val="ListBullet"/>
        <w:ind w:left="360"/>
      </w:pPr>
      <w:r>
        <w:t>API base: https://api.hyperliquid.xyz/info (POST)</w:t>
      </w:r>
    </w:p>
    <w:p>
      <w:pPr>
        <w:pStyle w:val="ListBullet"/>
        <w:ind w:left="360"/>
      </w:pPr>
      <w:r>
        <w:t>Candle history: type='candleSnapshot' with coin, resolution, startTime, endTime</w:t>
      </w:r>
    </w:p>
    <w:p>
      <w:pPr>
        <w:pStyle w:val="ListBullet"/>
        <w:ind w:left="360"/>
      </w:pPr>
      <w:r>
        <w:t>Symbol format: plain uppercase asset name — BTC, ETH, SOL, ARB, OP, PEPE, WIF etc.</w:t>
      </w:r>
    </w:p>
    <w:p>
      <w:pPr>
        <w:pStyle w:val="ListBullet"/>
        <w:ind w:left="360"/>
      </w:pPr>
      <w:r>
        <w:t>Real-time prices: WebSocket via hl-ws.js → subscribeMids(callback)</w:t>
      </w:r>
    </w:p>
    <w:p>
      <w:pPr>
        <w:pStyle w:val="ListBullet"/>
        <w:ind w:left="360"/>
      </w:pPr>
      <w:r>
        <w:t>Coin list: type='meta' → universe[].name; cached for 1 hour</w:t>
      </w:r>
    </w:p>
    <w:p>
      <w:pPr>
        <w:pStyle w:val="ListBullet"/>
        <w:ind w:left="360"/>
      </w:pPr>
      <w:r>
        <w:t>Intervals: 1m, 3m, 5m, 15m, 30m, 1h, 2h, 4h, 8h, 12h, 1d, 3d, 1w</w:t>
      </w:r>
    </w:p>
    <w:p>
      <w:pPr>
        <w:pStyle w:val="Heading2"/>
      </w:pPr>
      <w:r>
        <w:t>4.2 Binance</w:t>
      </w:r>
    </w:p>
    <w:p>
      <w:pPr>
        <w:pStyle w:val="ListBullet"/>
        <w:ind w:left="360"/>
      </w:pPr>
      <w:r>
        <w:t>REST API: https://api.binance.com/api/v3/</w:t>
      </w:r>
    </w:p>
    <w:p>
      <w:pPr>
        <w:pStyle w:val="ListBullet"/>
        <w:ind w:left="360"/>
      </w:pPr>
      <w:r>
        <w:t>Symbol format: normalised to base+USDT (e.g. BTC → BTCUSDT)</w:t>
      </w:r>
    </w:p>
    <w:p>
      <w:pPr>
        <w:pStyle w:val="ListBullet"/>
        <w:ind w:left="360"/>
      </w:pPr>
      <w:r>
        <w:t>Real-time prices: WebSocket via binance-ws.js (miniTicker stream)</w:t>
      </w:r>
    </w:p>
    <w:p>
      <w:pPr>
        <w:pStyle w:val="ListBullet"/>
        <w:ind w:left="360"/>
      </w:pPr>
      <w:r>
        <w:t>Optional API key/secret stored in session only (never written to disk)</w:t>
      </w:r>
    </w:p>
    <w:p>
      <w:pPr>
        <w:pStyle w:val="Heading2"/>
      </w:pPr>
      <w:r>
        <w:t>4.3 Yahoo Finance (yfinance / yfinance_us)</w:t>
      </w:r>
    </w:p>
    <w:p>
      <w:pPr>
        <w:pStyle w:val="ListBullet"/>
        <w:ind w:left="360"/>
      </w:pPr>
      <w:r>
        <w:t>Library: yfinance Python package</w:t>
      </w:r>
    </w:p>
    <w:p>
      <w:pPr>
        <w:pStyle w:val="ListBullet"/>
        <w:ind w:left="360"/>
      </w:pPr>
      <w:r>
        <w:t>source='yfinance'   → India NSE (.NS) and BSE (.BO) stocks + India indices</w:t>
      </w:r>
    </w:p>
    <w:p>
      <w:pPr>
        <w:pStyle w:val="ListBullet"/>
        <w:ind w:left="360"/>
      </w:pPr>
      <w:r>
        <w:t>source='yfinance_us' → US Stocks, US Indices (^), Forex (=X), Commodities (=F), UK/EU stocks</w:t>
      </w:r>
    </w:p>
    <w:p>
      <w:pPr>
        <w:pStyle w:val="ListBullet"/>
        <w:ind w:left="360"/>
      </w:pPr>
      <w:r>
        <w:t>Search: Yahoo Finance v1 search API; CURRENCY quoteType is allowed (forex pairs appear)</w:t>
      </w:r>
    </w:p>
    <w:p>
      <w:pPr>
        <w:pStyle w:val="ListBullet"/>
        <w:ind w:left="360"/>
      </w:pPr>
      <w:r>
        <w:t>Price polling: /api/price endpoint called every 15 s from watchlist for non-HL/Binance items</w:t>
      </w:r>
    </w:p>
    <w:p>
      <w:pPr>
        <w:pStyle w:val="ListParagraph"/>
      </w:pPr>
      <w:r>
        <w:t xml:space="preserve">Timeout protection: _TimeoutAdapter in data_source.py is mounted on both the https:// and http:// adapters of the shared requests.Session. It replaces any None timeout with 20 seconds, so every outbound call — including yf.Ticker().history() — is capped at 20 s. Without this guard, a stalled Yahoo Finance connection hangs indefinitely and leaves the chart loading overlay permanently visible (blank chart symptom).</w:t>
      </w:r>
    </w:p>
    <w:p>
      <w:pPr>
        <w:pStyle w:val="Heading1"/>
      </w:pPr>
      <w:r>
        <w:t>5. Frontend Architecture</w:t>
      </w:r>
    </w:p>
    <w:p>
      <w:pPr>
        <w:pStyle w:val="Heading2"/>
      </w:pPr>
      <w:r>
        <w:t>5.1 Grid &amp; Panes (app.js + chart-pane.js)</w:t>
      </w:r>
    </w:p>
    <w:p>
      <w:r>
        <w:rPr>
          <w:b w:val="0"/>
          <w:i w:val="0"/>
        </w:rPr>
        <w:t>app.js manages the top-level grid. buildGrid(count) destroys existing ChartPane instances, clears the #chart-grid DOM element, and creates count new ChartPane objects. Supported counts: 1, 2, 4, 6, 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E8ECF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CSS columns</w:t>
            </w:r>
          </w:p>
        </w:tc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CSS rows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r>
        <w:rPr>
          <w:b w:val="0"/>
          <w:i w:val="0"/>
        </w:rPr>
        <w:t>ChartPane is a class. Each instance owns its DOM container (.chart-pane), a Lightweight Charts instance, an IndicatorManager, and a DrawEngine overlay. State (source, symbol, interval, indicators) is persisted in localStorage keyed by pane index.</w:t>
      </w:r>
    </w:p>
    <w:p>
      <w:pPr>
        <w:pStyle w:val="Normal"/>
      </w:pPr>
      <w:r>
        <w:t xml:space="preserve">ChartPane._load() creates an AbortController and sets a 30-second client-side abort timer before calling fetch(). If the server does not respond within 30 s the fetch is aborted and the chart displays a clear error message ("Request timed out — data source may be slow. Click Retry in a moment.") with a Retry button, instead of leaving the loading overlay stuck. The timer is cancelled in .finally() on success so normal fast requests are unaffected.</w:t>
      </w:r>
    </w:p>
    <w:p>
      <w:pPr>
        <w:pStyle w:val="Heading2"/>
      </w:pPr>
      <w:r>
        <w:t>5.2 Chart Expand / Focus Mode (app.js)</w:t>
      </w:r>
    </w:p>
    <w:p>
      <w:r>
        <w:rPr>
          <w:b w:val="0"/>
          <w:i w:val="0"/>
        </w:rPr>
        <w:t>Any chart can be expanded to fill the full grid area without losing data. Implemented via CSS classes on #chart-grid:</w:t>
      </w:r>
    </w:p>
    <w:p>
      <w:pPr>
        <w:pStyle w:val="ListBullet"/>
        <w:ind w:left="360"/>
      </w:pPr>
      <w:r>
        <w:t>#chart-grid.grid-expanded hides all .chart-pane via display:none</w:t>
      </w:r>
    </w:p>
    <w:p>
      <w:pPr>
        <w:pStyle w:val="ListBullet"/>
        <w:ind w:left="360"/>
      </w:pPr>
      <w:r>
        <w:t>The focused pane gets class .pane-focused and spans grid-column/row 1/-1</w:t>
      </w:r>
    </w:p>
    <w:p>
      <w:pPr>
        <w:pStyle w:val="ListBullet"/>
        <w:ind w:left="360"/>
      </w:pPr>
      <w:r>
        <w:t>The LWC instance is resized after the CSS layout change via chart.applyOptions()</w:t>
      </w:r>
    </w:p>
    <w:p>
      <w:r>
        <w:rPr>
          <w:b w:val="0"/>
          <w:i w:val="0"/>
        </w:rPr>
        <w:t>Triggers:</w:t>
      </w:r>
    </w:p>
    <w:p>
      <w:pPr>
        <w:pStyle w:val="ListBullet"/>
        <w:ind w:left="360"/>
      </w:pPr>
      <w:r>
        <w:t>Click the ⤢ button in any chart's toolbar</w:t>
      </w:r>
    </w:p>
    <w:p>
      <w:pPr>
        <w:pStyle w:val="ListBullet"/>
        <w:ind w:left="360"/>
      </w:pPr>
      <w:r>
        <w:t>Press E key (active pane expands)</w:t>
      </w:r>
    </w:p>
    <w:p>
      <w:pPr>
        <w:pStyle w:val="ListBullet"/>
        <w:ind w:left="360"/>
      </w:pPr>
      <w:r>
        <w:t>Press Escape key (exits expand mode; skipped if a modal is open)</w:t>
      </w:r>
    </w:p>
    <w:p>
      <w:pPr>
        <w:pStyle w:val="ListBullet"/>
        <w:ind w:left="360"/>
      </w:pPr>
      <w:r>
        <w:t>Changing chart count (1/2/4/6/8) also exits expand mode</w:t>
      </w:r>
    </w:p>
    <w:p>
      <w:pPr>
        <w:pStyle w:val="Heading2"/>
      </w:pPr>
      <w:r>
        <w:t>5.3 Watchlist (watchlist.js)</w:t>
      </w:r>
    </w:p>
    <w:p>
      <w:r>
        <w:rPr>
          <w:b w:val="0"/>
          <w:i w:val="0"/>
        </w:rPr>
        <w:t>WatchlistManager is a self-contained IIFE. It supports multiple named tabs, each containing named collapsible sections, each containing symbol rows with live prices.</w:t>
      </w:r>
    </w:p>
    <w:p>
      <w:pPr>
        <w:pStyle w:val="Heading3"/>
      </w:pPr>
      <w:r>
        <w:t>Storage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E8EC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6768"/>
            <w:shd w:val="clear" w:color="auto" w:fill="E8ECF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t>mtc-wl2-tabs</w:t>
            </w:r>
          </w:p>
        </w:tc>
        <w:tc>
          <w:tcPr>
            <w:tcW w:type="dxa" w:w="6768"/>
          </w:tcPr>
          <w:p>
            <w:r>
              <w:t>JSON array of tab names</w:t>
            </w:r>
          </w:p>
        </w:tc>
      </w:tr>
      <w:tr>
        <w:tc>
          <w:tcPr>
            <w:tcW w:type="dxa" w:w="2592"/>
          </w:tcPr>
          <w:p>
            <w:r>
              <w:t>mtc-wl2-active</w:t>
            </w:r>
          </w:p>
        </w:tc>
        <w:tc>
          <w:tcPr>
            <w:tcW w:type="dxa" w:w="6768"/>
          </w:tcPr>
          <w:p>
            <w:r>
              <w:t>Currently active tab name (string)</w:t>
            </w:r>
          </w:p>
        </w:tc>
      </w:tr>
      <w:tr>
        <w:tc>
          <w:tcPr>
            <w:tcW w:type="dxa" w:w="2592"/>
          </w:tcPr>
          <w:p>
            <w:r>
              <w:t>mtc-wl2-tab-{name}</w:t>
            </w:r>
          </w:p>
        </w:tc>
        <w:tc>
          <w:tcPr>
            <w:tcW w:type="dxa" w:w="6768"/>
          </w:tcPr>
          <w:p>
            <w:r>
              <w:t>JSON object: { sections: [{name, collapsed, items:[{symbol,name,source}]}] }</w:t>
            </w:r>
          </w:p>
        </w:tc>
      </w:tr>
      <w:tr>
        <w:tc>
          <w:tcPr>
            <w:tcW w:type="dxa" w:w="2592"/>
          </w:tcPr>
          <w:p>
            <w:r>
              <w:t>mtc-watchlist</w:t>
            </w:r>
          </w:p>
        </w:tc>
        <w:tc>
          <w:tcPr>
            <w:tcW w:type="dxa" w:w="6768"/>
          </w:tcPr>
          <w:p>
            <w:r>
              <w:t>Old flat-list format (read-only; migrated on first load with new format)</w:t>
            </w:r>
          </w:p>
        </w:tc>
      </w:tr>
    </w:tbl>
    <w:p/>
    <w:p>
      <w:pPr>
        <w:pStyle w:val="Heading3"/>
      </w:pPr>
      <w:r>
        <w:t>Price Feeds</w:t>
      </w:r>
    </w:p>
    <w:p>
      <w:pPr>
        <w:pStyle w:val="ListBullet"/>
        <w:ind w:left="360"/>
      </w:pPr>
      <w:r>
        <w:t>Hyperliquid items: real-time via hlWS.subscribeMids()</w:t>
      </w:r>
    </w:p>
    <w:p>
      <w:pPr>
        <w:pStyle w:val="ListBullet"/>
        <w:ind w:left="360"/>
      </w:pPr>
      <w:r>
        <w:t>All other items: REST poll every 15 s via /api/batch-prices</w:t>
      </w:r>
    </w:p>
    <w:p>
      <w:pPr>
        <w:pStyle w:val="ListBullet"/>
        <w:ind w:left="360"/>
      </w:pPr>
      <w:r>
        <w:t>Prices restart automatically when tab switches or sections change</w:t>
      </w:r>
    </w:p>
    <w:p>
      <w:pPr>
        <w:pStyle w:val="Heading3"/>
      </w:pPr>
      <w:r>
        <w:t>Drag &amp; Drop</w:t>
      </w:r>
    </w:p>
    <w:p>
      <w:pPr>
        <w:pStyle w:val="ListBullet"/>
        <w:ind w:left="360"/>
      </w:pPr>
      <w:r>
        <w:t>Row drag: cross-section; _computeRowDropTarget scans all .wl-sec-hd + .wl-row in DOM order</w:t>
      </w:r>
    </w:p>
    <w:p>
      <w:pPr>
        <w:pStyle w:val="ListBullet"/>
        <w:ind w:left="360"/>
      </w:pPr>
      <w:r>
        <w:t>Section drag: _computeSecDropTarget scans .wl-sec-hd elements only</w:t>
      </w:r>
    </w:p>
    <w:p>
      <w:pPr>
        <w:pStyle w:val="ListBullet"/>
        <w:ind w:left="360"/>
      </w:pPr>
      <w:r>
        <w:t>_lastDragMoved flag prevents section collapse from firing after a drag</w:t>
      </w:r>
    </w:p>
    <w:p>
      <w:pPr>
        <w:pStyle w:val="Heading3"/>
      </w:pPr>
      <w:r>
        <w:t>Import / Export</w:t>
      </w:r>
    </w:p>
    <w:p>
      <w:pPr>
        <w:pStyle w:val="ListBullet"/>
        <w:ind w:left="360"/>
      </w:pPr>
      <w:r>
        <w:t>CSV format: symbol, name, source, section (4 columns, header row)</w:t>
      </w:r>
    </w:p>
    <w:p>
      <w:pPr>
        <w:pStyle w:val="ListBullet"/>
        <w:ind w:left="360"/>
      </w:pPr>
      <w:r>
        <w:t>Import: maps rows to sections by the 'section' column value</w:t>
      </w:r>
    </w:p>
    <w:p>
      <w:pPr>
        <w:pStyle w:val="ListBullet"/>
        <w:ind w:left="360"/>
      </w:pPr>
      <w:r>
        <w:t>Export: downloads watchlist.csv via Blob → object URL</w:t>
      </w:r>
    </w:p>
    <w:p>
      <w:pPr>
        <w:pStyle w:val="Heading2"/>
      </w:pPr>
      <w:r>
        <w:t>5.4 Drawing Tools (draw-engine.js + draw-tools.js)</w:t>
      </w:r>
    </w:p>
    <w:p>
      <w:r>
        <w:rPr>
          <w:b w:val="0"/>
          <w:i w:val="0"/>
        </w:rPr>
        <w:t>DrawEngine attaches a transparent &lt;canvas&gt; overlay to each ChartPane. The canvas is kept in sync with the LWC price scale via subscribeVisibleLogicalRangeChange and subscribeVisibleTimeRangeChange callbacks.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E8ECF0"/>
          </w:tcPr>
          <w:p>
            <w:r>
              <w:rPr>
                <w:b/>
              </w:rPr>
              <w:t>Tool ID</w:t>
            </w:r>
          </w:p>
        </w:tc>
        <w:tc>
          <w:tcPr>
            <w:tcW w:type="dxa" w:w="2880"/>
            <w:shd w:val="clear" w:color="auto" w:fill="E8ECF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016"/>
            <w:shd w:val="clear" w:color="auto" w:fill="E8ECF0"/>
          </w:tcPr>
          <w:p>
            <w:r>
              <w:rPr>
                <w:b/>
              </w:rPr>
              <w:t>Points needed</w:t>
            </w:r>
          </w:p>
        </w:tc>
      </w:tr>
      <w:tr>
        <w:tc>
          <w:tcPr>
            <w:tcW w:type="dxa" w:w="2016"/>
          </w:tcPr>
          <w:p>
            <w:r>
              <w:t>trendline</w:t>
            </w:r>
          </w:p>
        </w:tc>
        <w:tc>
          <w:tcPr>
            <w:tcW w:type="dxa" w:w="2880"/>
          </w:tcPr>
          <w:p>
            <w:r>
              <w:t>Trend Line</w:t>
            </w:r>
          </w:p>
        </w:tc>
        <w:tc>
          <w:tcPr>
            <w:tcW w:type="dxa" w:w="2016"/>
          </w:tcPr>
          <w:p>
            <w:r>
              <w:t>2</w:t>
            </w:r>
          </w:p>
        </w:tc>
      </w:tr>
      <w:tr>
        <w:tc>
          <w:tcPr>
            <w:tcW w:type="dxa" w:w="2016"/>
          </w:tcPr>
          <w:p>
            <w:r>
              <w:t>hline</w:t>
            </w:r>
          </w:p>
        </w:tc>
        <w:tc>
          <w:tcPr>
            <w:tcW w:type="dxa" w:w="2880"/>
          </w:tcPr>
          <w:p>
            <w:r>
              <w:t>Horizontal Line</w:t>
            </w:r>
          </w:p>
        </w:tc>
        <w:tc>
          <w:tcPr>
            <w:tcW w:type="dxa" w:w="2016"/>
          </w:tcPr>
          <w:p>
            <w:r>
              <w:t>1</w:t>
            </w:r>
          </w:p>
        </w:tc>
      </w:tr>
      <w:tr>
        <w:tc>
          <w:tcPr>
            <w:tcW w:type="dxa" w:w="2016"/>
          </w:tcPr>
          <w:p>
            <w:r>
              <w:t>vline</w:t>
            </w:r>
          </w:p>
        </w:tc>
        <w:tc>
          <w:tcPr>
            <w:tcW w:type="dxa" w:w="2880"/>
          </w:tcPr>
          <w:p>
            <w:r>
              <w:t>Vertical Line</w:t>
            </w:r>
          </w:p>
        </w:tc>
        <w:tc>
          <w:tcPr>
            <w:tcW w:type="dxa" w:w="2016"/>
          </w:tcPr>
          <w:p>
            <w:r>
              <w:t>1</w:t>
            </w:r>
          </w:p>
        </w:tc>
      </w:tr>
      <w:tr>
        <w:tc>
          <w:tcPr>
            <w:tcW w:type="dxa" w:w="2016"/>
          </w:tcPr>
          <w:p>
            <w:r>
              <w:t>ray</w:t>
            </w:r>
          </w:p>
        </w:tc>
        <w:tc>
          <w:tcPr>
            <w:tcW w:type="dxa" w:w="2880"/>
          </w:tcPr>
          <w:p>
            <w:r>
              <w:t>Ray</w:t>
            </w:r>
          </w:p>
        </w:tc>
        <w:tc>
          <w:tcPr>
            <w:tcW w:type="dxa" w:w="2016"/>
          </w:tcPr>
          <w:p>
            <w:r>
              <w:t>2</w:t>
            </w:r>
          </w:p>
        </w:tc>
      </w:tr>
      <w:tr>
        <w:tc>
          <w:tcPr>
            <w:tcW w:type="dxa" w:w="2016"/>
          </w:tcPr>
          <w:p>
            <w:r>
              <w:t>arrow</w:t>
            </w:r>
          </w:p>
        </w:tc>
        <w:tc>
          <w:tcPr>
            <w:tcW w:type="dxa" w:w="2880"/>
          </w:tcPr>
          <w:p>
            <w:r>
              <w:t>Arrow</w:t>
            </w:r>
          </w:p>
        </w:tc>
        <w:tc>
          <w:tcPr>
            <w:tcW w:type="dxa" w:w="2016"/>
          </w:tcPr>
          <w:p>
            <w:r>
              <w:t>2</w:t>
            </w:r>
          </w:p>
        </w:tc>
      </w:tr>
      <w:tr>
        <w:tc>
          <w:tcPr>
            <w:tcW w:type="dxa" w:w="2016"/>
          </w:tcPr>
          <w:p>
            <w:r>
              <w:t>rect</w:t>
            </w:r>
          </w:p>
        </w:tc>
        <w:tc>
          <w:tcPr>
            <w:tcW w:type="dxa" w:w="2880"/>
          </w:tcPr>
          <w:p>
            <w:r>
              <w:t>Rectangle</w:t>
            </w:r>
          </w:p>
        </w:tc>
        <w:tc>
          <w:tcPr>
            <w:tcW w:type="dxa" w:w="2016"/>
          </w:tcPr>
          <w:p>
            <w:r>
              <w:t>2</w:t>
            </w:r>
          </w:p>
        </w:tc>
      </w:tr>
      <w:tr>
        <w:tc>
          <w:tcPr>
            <w:tcW w:type="dxa" w:w="2016"/>
          </w:tcPr>
          <w:p>
            <w:r>
              <w:t>circle</w:t>
            </w:r>
          </w:p>
        </w:tc>
        <w:tc>
          <w:tcPr>
            <w:tcW w:type="dxa" w:w="2880"/>
          </w:tcPr>
          <w:p>
            <w:r>
              <w:t>Circle</w:t>
            </w:r>
          </w:p>
        </w:tc>
        <w:tc>
          <w:tcPr>
            <w:tcW w:type="dxa" w:w="2016"/>
          </w:tcPr>
          <w:p>
            <w:r>
              <w:t>2</w:t>
            </w:r>
          </w:p>
        </w:tc>
      </w:tr>
      <w:tr>
        <w:tc>
          <w:tcPr>
            <w:tcW w:type="dxa" w:w="2016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016"/>
          </w:tcPr>
          <w:p>
            <w:r>
              <w:t>1</w:t>
            </w:r>
          </w:p>
        </w:tc>
      </w:tr>
      <w:tr>
        <w:tc>
          <w:tcPr>
            <w:tcW w:type="dxa" w:w="2016"/>
          </w:tcPr>
          <w:p>
            <w:r>
              <w:t>fibr</w:t>
            </w:r>
          </w:p>
        </w:tc>
        <w:tc>
          <w:tcPr>
            <w:tcW w:type="dxa" w:w="2880"/>
          </w:tcPr>
          <w:p>
            <w:r>
              <w:t>Fib Retracement</w:t>
            </w:r>
          </w:p>
        </w:tc>
        <w:tc>
          <w:tcPr>
            <w:tcW w:type="dxa" w:w="2016"/>
          </w:tcPr>
          <w:p>
            <w:r>
              <w:t>2</w:t>
            </w:r>
          </w:p>
        </w:tc>
      </w:tr>
      <w:tr>
        <w:tc>
          <w:tcPr>
            <w:tcW w:type="dxa" w:w="2016"/>
          </w:tcPr>
          <w:p>
            <w:r>
              <w:t>fibe</w:t>
            </w:r>
          </w:p>
        </w:tc>
        <w:tc>
          <w:tcPr>
            <w:tcW w:type="dxa" w:w="2880"/>
          </w:tcPr>
          <w:p>
            <w:r>
              <w:t>Fib Extension</w:t>
            </w:r>
          </w:p>
        </w:tc>
        <w:tc>
          <w:tcPr>
            <w:tcW w:type="dxa" w:w="2016"/>
          </w:tcPr>
          <w:p>
            <w:r>
              <w:t>3</w:t>
            </w:r>
          </w:p>
        </w:tc>
      </w:tr>
      <w:tr>
        <w:tc>
          <w:tcPr>
            <w:tcW w:type="dxa" w:w="2016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Parallel Channel</w:t>
            </w:r>
          </w:p>
        </w:tc>
        <w:tc>
          <w:tcPr>
            <w:tcW w:type="dxa" w:w="2016"/>
          </w:tcPr>
          <w:p>
            <w:r>
              <w:t>3</w:t>
            </w:r>
          </w:p>
        </w:tc>
      </w:tr>
      <w:tr>
        <w:tc>
          <w:tcPr>
            <w:tcW w:type="dxa" w:w="2016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016"/>
          </w:tcPr>
          <w:p>
            <w:r>
              <w:t>2</w:t>
            </w:r>
          </w:p>
        </w:tc>
      </w:tr>
      <w:tr>
        <w:tc>
          <w:tcPr>
            <w:tcW w:type="dxa" w:w="2016"/>
          </w:tcPr>
          <w:p>
            <w:r>
              <w:t>longpos</w:t>
            </w:r>
          </w:p>
        </w:tc>
        <w:tc>
          <w:tcPr>
            <w:tcW w:type="dxa" w:w="2880"/>
          </w:tcPr>
          <w:p>
            <w:r>
              <w:t>Long Position</w:t>
            </w:r>
          </w:p>
        </w:tc>
        <w:tc>
          <w:tcPr>
            <w:tcW w:type="dxa" w:w="2016"/>
          </w:tcPr>
          <w:p>
            <w:r>
              <w:t>1</w:t>
            </w:r>
          </w:p>
        </w:tc>
      </w:tr>
      <w:tr>
        <w:tc>
          <w:tcPr>
            <w:tcW w:type="dxa" w:w="2016"/>
          </w:tcPr>
          <w:p>
            <w:r>
              <w:t>shortpos</w:t>
            </w:r>
          </w:p>
        </w:tc>
        <w:tc>
          <w:tcPr>
            <w:tcW w:type="dxa" w:w="2880"/>
          </w:tcPr>
          <w:p>
            <w:r>
              <w:t>Short Position</w:t>
            </w:r>
          </w:p>
        </w:tc>
        <w:tc>
          <w:tcPr>
            <w:tcW w:type="dxa" w:w="2016"/>
          </w:tcPr>
          <w:p>
            <w:r>
              <w:t>1</w:t>
            </w:r>
          </w:p>
        </w:tc>
      </w:tr>
    </w:tbl>
    <w:p/>
    <w:p>
      <w:r>
        <w:rPr>
          <w:b w:val="0"/>
          <w:i w:val="0"/>
        </w:rPr>
        <w:t>Drawings are persisted in localStorage keyed by pane index + symbol (via drawings.js).</w:t>
      </w:r>
    </w:p>
    <w:p>
      <w:pPr>
        <w:pStyle w:val="Heading2"/>
      </w:pPr>
      <w:r>
        <w:t>5.5 Technical Indicators (indicators.js)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7200"/>
            <w:shd w:val="clear" w:color="auto" w:fill="E8ECF0"/>
          </w:tcPr>
          <w:p>
            <w:r>
              <w:rPr>
                <w:b/>
              </w:rPr>
              <w:t>Indicators</w:t>
            </w:r>
          </w:p>
        </w:tc>
      </w:tr>
      <w:tr>
        <w:tc>
          <w:tcPr>
            <w:tcW w:type="dxa" w:w="2160"/>
          </w:tcPr>
          <w:p>
            <w:r>
              <w:t>Trend</w:t>
            </w:r>
          </w:p>
        </w:tc>
        <w:tc>
          <w:tcPr>
            <w:tcW w:type="dxa" w:w="7200"/>
          </w:tcPr>
          <w:p>
            <w:r>
              <w:t>SMA 20, SMA 50, SMA 200, EMA 20, EMA 50, EMA 200</w:t>
            </w:r>
          </w:p>
        </w:tc>
      </w:tr>
      <w:tr>
        <w:tc>
          <w:tcPr>
            <w:tcW w:type="dxa" w:w="2160"/>
          </w:tcPr>
          <w:p>
            <w:r>
              <w:t>Oscillator</w:t>
            </w:r>
          </w:p>
        </w:tc>
        <w:tc>
          <w:tcPr>
            <w:tcW w:type="dxa" w:w="7200"/>
          </w:tcPr>
          <w:p>
            <w:r>
              <w:t>RSI, MACD</w:t>
            </w:r>
          </w:p>
        </w:tc>
      </w:tr>
      <w:tr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7200"/>
          </w:tcPr>
          <w:p>
            <w:r>
              <w:t>Volume bars, OBV, VWAP</w:t>
            </w:r>
          </w:p>
        </w:tc>
      </w:tr>
      <w:tr>
        <w:tc>
          <w:tcPr>
            <w:tcW w:type="dxa" w:w="2160"/>
          </w:tcPr>
          <w:p>
            <w:r>
              <w:t>Volatility</w:t>
            </w:r>
          </w:p>
        </w:tc>
        <w:tc>
          <w:tcPr>
            <w:tcW w:type="dxa" w:w="7200"/>
          </w:tcPr>
          <w:p>
            <w:r>
              <w:t>Bollinger Bands, ATR</w:t>
            </w:r>
          </w:p>
        </w:tc>
      </w:tr>
      <w:tr>
        <w:tc>
          <w:tcPr>
            <w:tcW w:type="dxa" w:w="2160"/>
          </w:tcPr>
          <w:p>
            <w:r>
              <w:t>Advanced</w:t>
            </w:r>
          </w:p>
        </w:tc>
        <w:tc>
          <w:tcPr>
            <w:tcW w:type="dxa" w:w="7200"/>
          </w:tcPr>
          <w:p>
            <w:r>
              <w:t>Volume Profile, Fair Value Gaps (FVG), Order Blocks (OB), Pivot Points</w:t>
            </w:r>
          </w:p>
        </w:tc>
      </w:tr>
    </w:tbl>
    <w:p/>
    <w:p>
      <w:r>
        <w:rPr>
          <w:b w:val="0"/>
          <w:i w:val="0"/>
        </w:rPr>
        <w:t>Indicator enabled state is persisted per pane index: localStorage key 'inds-{index}'.</w:t>
      </w:r>
    </w:p>
    <w:p>
      <w:pPr>
        <w:pStyle w:val="Heading2"/>
      </w:pPr>
      <w:r>
        <w:t>5.6 Keyboard Shortcuts</w:t>
      </w:r>
    </w:p>
    <w:p>
      <w:r>
        <w:rPr>
          <w:b w:val="0"/>
          <w:i w:val="0"/>
        </w:rPr>
        <w:t>All single-key shortcuts are suppressed when the cursor is inside an INPUT, SELECT, or TEXTAREA element.</w:t>
      </w:r>
    </w:p>
    <w:p>
      <w:pPr>
        <w:pStyle w:val="Heading3"/>
      </w:pPr>
      <w:r>
        <w:t>Global shortcuts (shortcuts.js + app.js)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E8EC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752"/>
            <w:shd w:val="clear" w:color="auto" w:fill="E8ECF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304"/>
          </w:tcPr>
          <w:p>
            <w:r>
              <w:t>1 / 2 / 4 / 6 / 8</w:t>
            </w:r>
          </w:p>
        </w:tc>
        <w:tc>
          <w:tcPr>
            <w:tcW w:type="dxa" w:w="4752"/>
          </w:tcPr>
          <w:p>
            <w:r>
              <w:t>Set chart count</w:t>
            </w:r>
          </w:p>
        </w:tc>
        <w:tc>
          <w:tcPr>
            <w:tcW w:type="dxa" w:w="2160"/>
          </w:tcPr>
          <w:p>
            <w:r>
              <w:t>shortcuts.js</w:t>
            </w:r>
          </w:p>
        </w:tc>
      </w:tr>
      <w:tr>
        <w:tc>
          <w:tcPr>
            <w:tcW w:type="dxa" w:w="2304"/>
          </w:tcPr>
          <w:p>
            <w:r>
              <w:t>W</w:t>
            </w:r>
          </w:p>
        </w:tc>
        <w:tc>
          <w:tcPr>
            <w:tcW w:type="dxa" w:w="4752"/>
          </w:tcPr>
          <w:p>
            <w:r>
              <w:t>Toggle watchlist panel open/closed</w:t>
            </w:r>
          </w:p>
        </w:tc>
        <w:tc>
          <w:tcPr>
            <w:tcW w:type="dxa" w:w="2160"/>
          </w:tcPr>
          <w:p>
            <w:r>
              <w:t>shortcuts.js</w:t>
            </w:r>
          </w:p>
        </w:tc>
      </w:tr>
      <w:tr>
        <w:tc>
          <w:tcPr>
            <w:tcW w:type="dxa" w:w="2304"/>
          </w:tcPr>
          <w:p>
            <w:r>
              <w:t>S</w:t>
            </w:r>
          </w:p>
        </w:tc>
        <w:tc>
          <w:tcPr>
            <w:tcW w:type="dxa" w:w="4752"/>
          </w:tcPr>
          <w:p>
            <w:r>
              <w:t>Focus symbol search input of active pane</w:t>
            </w:r>
          </w:p>
        </w:tc>
        <w:tc>
          <w:tcPr>
            <w:tcW w:type="dxa" w:w="2160"/>
          </w:tcPr>
          <w:p>
            <w:r>
              <w:t>shortcuts.js</w:t>
            </w:r>
          </w:p>
        </w:tc>
      </w:tr>
      <w:tr>
        <w:tc>
          <w:tcPr>
            <w:tcW w:type="dxa" w:w="2304"/>
          </w:tcPr>
          <w:p>
            <w:r>
              <w:t>T</w:t>
            </w:r>
          </w:p>
        </w:tc>
        <w:tc>
          <w:tcPr>
            <w:tcW w:type="dxa" w:w="4752"/>
          </w:tcPr>
          <w:p>
            <w:r>
              <w:t>Focus interval selector of active pane</w:t>
            </w:r>
          </w:p>
        </w:tc>
        <w:tc>
          <w:tcPr>
            <w:tcW w:type="dxa" w:w="2160"/>
          </w:tcPr>
          <w:p>
            <w:r>
              <w:t>shortcuts.js</w:t>
            </w:r>
          </w:p>
        </w:tc>
      </w:tr>
      <w:tr>
        <w:tc>
          <w:tcPr>
            <w:tcW w:type="dxa" w:w="2304"/>
          </w:tcPr>
          <w:p>
            <w:r>
              <w:t>I</w:t>
            </w:r>
          </w:p>
        </w:tc>
        <w:tc>
          <w:tcPr>
            <w:tcW w:type="dxa" w:w="4752"/>
          </w:tcPr>
          <w:p>
            <w:r>
              <w:t>Toggle indicator panel of active pane</w:t>
            </w:r>
          </w:p>
        </w:tc>
        <w:tc>
          <w:tcPr>
            <w:tcW w:type="dxa" w:w="2160"/>
          </w:tcPr>
          <w:p>
            <w:r>
              <w:t>shortcuts.js</w:t>
            </w:r>
          </w:p>
        </w:tc>
      </w:tr>
      <w:tr>
        <w:tc>
          <w:tcPr>
            <w:tcW w:type="dxa" w:w="2304"/>
          </w:tcPr>
          <w:p>
            <w:r>
              <w:t>E</w:t>
            </w:r>
          </w:p>
        </w:tc>
        <w:tc>
          <w:tcPr>
            <w:tcW w:type="dxa" w:w="4752"/>
          </w:tcPr>
          <w:p>
            <w:r>
              <w:t>Expand / collapse active pane (focus mode)</w:t>
            </w:r>
          </w:p>
        </w:tc>
        <w:tc>
          <w:tcPr>
            <w:tcW w:type="dxa" w:w="2160"/>
          </w:tcPr>
          <w:p>
            <w:r>
              <w:t>app.js</w:t>
            </w:r>
          </w:p>
        </w:tc>
      </w:tr>
      <w:tr>
        <w:tc>
          <w:tcPr>
            <w:tcW w:type="dxa" w:w="2304"/>
          </w:tcPr>
          <w:p>
            <w:r>
              <w:t>Escape</w:t>
            </w:r>
          </w:p>
        </w:tc>
        <w:tc>
          <w:tcPr>
            <w:tcW w:type="dxa" w:w="4752"/>
          </w:tcPr>
          <w:p>
            <w:r>
              <w:t>Cancel active drawing tool; close dropdowns, indicator panel, alerts panel; exit expand mode</w:t>
            </w:r>
          </w:p>
        </w:tc>
        <w:tc>
          <w:tcPr>
            <w:tcW w:type="dxa" w:w="2160"/>
          </w:tcPr>
          <w:p>
            <w:r>
              <w:t>shortcuts.js + app.js</w:t>
            </w:r>
          </w:p>
        </w:tc>
      </w:tr>
      <w:tr>
        <w:tc>
          <w:tcPr>
            <w:tcW w:type="dxa" w:w="2304"/>
          </w:tcPr>
          <w:p>
            <w:r>
              <w:t>Delete / Backspace</w:t>
            </w:r>
          </w:p>
        </w:tc>
        <w:tc>
          <w:tcPr>
            <w:tcW w:type="dxa" w:w="4752"/>
          </w:tcPr>
          <w:p>
            <w:r>
              <w:t>Delete the currently selected drawing</w:t>
            </w:r>
          </w:p>
        </w:tc>
        <w:tc>
          <w:tcPr>
            <w:tcW w:type="dxa" w:w="2160"/>
          </w:tcPr>
          <w:p>
            <w:r>
              <w:t>shortcuts.js</w:t>
            </w:r>
          </w:p>
        </w:tc>
      </w:tr>
      <w:tr>
        <w:tc>
          <w:tcPr>
            <w:tcW w:type="dxa" w:w="2304"/>
          </w:tcPr>
          <w:p>
            <w:r>
              <w:t>Ctrl+Z</w:t>
            </w:r>
          </w:p>
        </w:tc>
        <w:tc>
          <w:tcPr>
            <w:tcW w:type="dxa" w:w="4752"/>
          </w:tcPr>
          <w:p>
            <w:r>
              <w:t>Undo last drawing action</w:t>
            </w:r>
          </w:p>
        </w:tc>
        <w:tc>
          <w:tcPr>
            <w:tcW w:type="dxa" w:w="2160"/>
          </w:tcPr>
          <w:p>
            <w:r>
              <w:t>shortcuts.js</w:t>
            </w:r>
          </w:p>
        </w:tc>
      </w:tr>
      <w:tr>
        <w:tc>
          <w:tcPr>
            <w:tcW w:type="dxa" w:w="2304"/>
          </w:tcPr>
          <w:p>
            <w:r>
              <w:t>Ctrl+Shift+Z</w:t>
            </w:r>
          </w:p>
        </w:tc>
        <w:tc>
          <w:tcPr>
            <w:tcW w:type="dxa" w:w="4752"/>
          </w:tcPr>
          <w:p>
            <w:r>
              <w:t>Redo drawing action</w:t>
            </w:r>
          </w:p>
        </w:tc>
        <w:tc>
          <w:tcPr>
            <w:tcW w:type="dxa" w:w="2160"/>
          </w:tcPr>
          <w:p>
            <w:r>
              <w:t>shortcuts.js</w:t>
            </w:r>
          </w:p>
        </w:tc>
      </w:tr>
    </w:tbl>
    <w:p/>
    <w:p>
      <w:pPr>
        <w:pStyle w:val="Heading3"/>
      </w:pPr>
      <w:r>
        <w:t>Drawing tool context shortcuts (draw-engine.js)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E8EC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304"/>
          </w:tcPr>
          <w:p>
            <w:r>
              <w:t>Shift (hold)</w:t>
            </w:r>
          </w:p>
        </w:tc>
        <w:tc>
          <w:tcPr>
            <w:tcW w:type="dxa" w:w="3456"/>
          </w:tcPr>
          <w:p>
            <w:r>
              <w:t>While placing any drawing</w:t>
            </w:r>
          </w:p>
        </w:tc>
        <w:tc>
          <w:tcPr>
            <w:tcW w:type="dxa" w:w="3456"/>
          </w:tcPr>
          <w:p>
            <w:r>
              <w:t>Constrain to 45° angles (snap)</w:t>
            </w:r>
          </w:p>
        </w:tc>
      </w:tr>
      <w:tr>
        <w:tc>
          <w:tcPr>
            <w:tcW w:type="dxa" w:w="2304"/>
          </w:tcPr>
          <w:p>
            <w:r>
              <w:t>Enter</w:t>
            </w:r>
          </w:p>
        </w:tc>
        <w:tc>
          <w:tcPr>
            <w:tcW w:type="dxa" w:w="3456"/>
          </w:tcPr>
          <w:p>
            <w:r>
              <w:t>Text tool — label input active</w:t>
            </w:r>
          </w:p>
        </w:tc>
        <w:tc>
          <w:tcPr>
            <w:tcW w:type="dxa" w:w="3456"/>
          </w:tcPr>
          <w:p>
            <w:r>
              <w:t>Commit the text label</w:t>
            </w:r>
          </w:p>
        </w:tc>
      </w:tr>
      <w:tr>
        <w:tc>
          <w:tcPr>
            <w:tcW w:type="dxa" w:w="2304"/>
          </w:tcPr>
          <w:p>
            <w:r>
              <w:t>Shift+Enter</w:t>
            </w:r>
          </w:p>
        </w:tc>
        <w:tc>
          <w:tcPr>
            <w:tcW w:type="dxa" w:w="3456"/>
          </w:tcPr>
          <w:p>
            <w:r>
              <w:t>Text tool — label input active</w:t>
            </w:r>
          </w:p>
        </w:tc>
        <w:tc>
          <w:tcPr>
            <w:tcW w:type="dxa" w:w="3456"/>
          </w:tcPr>
          <w:p>
            <w:r>
              <w:t>Insert newline inside the label</w:t>
            </w:r>
          </w:p>
        </w:tc>
      </w:tr>
      <w:tr>
        <w:tc>
          <w:tcPr>
            <w:tcW w:type="dxa" w:w="2304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Text tool — label input active</w:t>
            </w:r>
          </w:p>
        </w:tc>
        <w:tc>
          <w:tcPr>
            <w:tcW w:type="dxa" w:w="3456"/>
          </w:tcPr>
          <w:p>
            <w:r>
              <w:t>Cancel edit; restore original text</w:t>
            </w:r>
          </w:p>
        </w:tc>
      </w:tr>
      <w:tr>
        <w:tc>
          <w:tcPr>
            <w:tcW w:type="dxa" w:w="2304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Properties panel open</w:t>
            </w:r>
          </w:p>
        </w:tc>
        <w:tc>
          <w:tcPr>
            <w:tcW w:type="dxa" w:w="3456"/>
          </w:tcPr>
          <w:p>
            <w:r>
              <w:t>Close the drawing properties panel</w:t>
            </w:r>
          </w:p>
        </w:tc>
      </w:tr>
    </w:tbl>
    <w:p/>
    <w:p>
      <w:pPr>
        <w:pStyle w:val="Heading3"/>
      </w:pPr>
      <w:r>
        <w:t>Chart header context shortcuts (chart-pane.js)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E8EC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304"/>
          </w:tcPr>
          <w:p>
            <w:r>
              <w:t>Enter</w:t>
            </w:r>
          </w:p>
        </w:tc>
        <w:tc>
          <w:tcPr>
            <w:tcW w:type="dxa" w:w="3456"/>
          </w:tcPr>
          <w:p>
            <w:r>
              <w:t>Symbol search input focused</w:t>
            </w:r>
          </w:p>
        </w:tc>
        <w:tc>
          <w:tcPr>
            <w:tcW w:type="dxa" w:w="3456"/>
          </w:tcPr>
          <w:p>
            <w:r>
              <w:t>Load the typed symbol immediately (no dropdown needed)</w:t>
            </w:r>
          </w:p>
        </w:tc>
      </w:tr>
      <w:tr>
        <w:tc>
          <w:tcPr>
            <w:tcW w:type="dxa" w:w="2304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Symbol search input focused</w:t>
            </w:r>
          </w:p>
        </w:tc>
        <w:tc>
          <w:tcPr>
            <w:tcW w:type="dxa" w:w="3456"/>
          </w:tcPr>
          <w:p>
            <w:r>
              <w:t>Close the symbol search dropdown</w:t>
            </w:r>
          </w:p>
        </w:tc>
      </w:tr>
      <w:tr>
        <w:tc>
          <w:tcPr>
            <w:tcW w:type="dxa" w:w="2304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Context menu visible</w:t>
            </w:r>
          </w:p>
        </w:tc>
        <w:tc>
          <w:tcPr>
            <w:tcW w:type="dxa" w:w="3456"/>
          </w:tcPr>
          <w:p>
            <w:r>
              <w:t>Close the right-click context menu</w:t>
            </w:r>
          </w:p>
        </w:tc>
      </w:tr>
    </w:tbl>
    <w:p/>
    <w:p>
      <w:pPr>
        <w:pStyle w:val="Heading3"/>
      </w:pPr>
      <w:r>
        <w:t>Watchlist context shortcuts (watchlist.js)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E8EC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304"/>
          </w:tcPr>
          <w:p>
            <w:r>
              <w:t>Enter</w:t>
            </w:r>
          </w:p>
        </w:tc>
        <w:tc>
          <w:tcPr>
            <w:tcW w:type="dxa" w:w="3456"/>
          </w:tcPr>
          <w:p>
            <w:r>
              <w:t>Tab rename input active</w:t>
            </w:r>
          </w:p>
        </w:tc>
        <w:tc>
          <w:tcPr>
            <w:tcW w:type="dxa" w:w="3456"/>
          </w:tcPr>
          <w:p>
            <w:r>
              <w:t>Confirm the new tab name</w:t>
            </w:r>
          </w:p>
        </w:tc>
      </w:tr>
      <w:tr>
        <w:tc>
          <w:tcPr>
            <w:tcW w:type="dxa" w:w="2304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Tab rename input active</w:t>
            </w:r>
          </w:p>
        </w:tc>
        <w:tc>
          <w:tcPr>
            <w:tcW w:type="dxa" w:w="3456"/>
          </w:tcPr>
          <w:p>
            <w:r>
              <w:t>Cancel rename; restore original tab name</w:t>
            </w:r>
          </w:p>
        </w:tc>
      </w:tr>
      <w:tr>
        <w:tc>
          <w:tcPr>
            <w:tcW w:type="dxa" w:w="2304"/>
          </w:tcPr>
          <w:p>
            <w:r>
              <w:t>Enter</w:t>
            </w:r>
          </w:p>
        </w:tc>
        <w:tc>
          <w:tcPr>
            <w:tcW w:type="dxa" w:w="3456"/>
          </w:tcPr>
          <w:p>
            <w:r>
              <w:t>Section rename input active</w:t>
            </w:r>
          </w:p>
        </w:tc>
        <w:tc>
          <w:tcPr>
            <w:tcW w:type="dxa" w:w="3456"/>
          </w:tcPr>
          <w:p>
            <w:r>
              <w:t>Confirm the new section name</w:t>
            </w:r>
          </w:p>
        </w:tc>
      </w:tr>
      <w:tr>
        <w:tc>
          <w:tcPr>
            <w:tcW w:type="dxa" w:w="2304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Section rename input active</w:t>
            </w:r>
          </w:p>
        </w:tc>
        <w:tc>
          <w:tcPr>
            <w:tcW w:type="dxa" w:w="3456"/>
          </w:tcPr>
          <w:p>
            <w:r>
              <w:t>Cancel rename; restore original section name</w:t>
            </w:r>
          </w:p>
        </w:tc>
      </w:tr>
      <w:tr>
        <w:tc>
          <w:tcPr>
            <w:tcW w:type="dxa" w:w="2304"/>
          </w:tcPr>
          <w:p>
            <w:r>
              <w:t>Enter</w:t>
            </w:r>
          </w:p>
        </w:tc>
        <w:tc>
          <w:tcPr>
            <w:tcW w:type="dxa" w:w="3456"/>
          </w:tcPr>
          <w:p>
            <w:r>
              <w:t>Watchlist search input</w:t>
            </w:r>
          </w:p>
        </w:tc>
        <w:tc>
          <w:tcPr>
            <w:tcW w:type="dxa" w:w="3456"/>
          </w:tcPr>
          <w:p>
            <w:r>
              <w:t>Add the typed symbol directly to watchlist</w:t>
            </w:r>
          </w:p>
        </w:tc>
      </w:tr>
      <w:tr>
        <w:tc>
          <w:tcPr>
            <w:tcW w:type="dxa" w:w="2304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Watchlist search input</w:t>
            </w:r>
          </w:p>
        </w:tc>
        <w:tc>
          <w:tcPr>
            <w:tcW w:type="dxa" w:w="3456"/>
          </w:tcPr>
          <w:p>
            <w:r>
              <w:t>Close the search dropdown</w:t>
            </w:r>
          </w:p>
        </w:tc>
      </w:tr>
    </w:tbl>
    <w:p/>
    <w:p>
      <w:pPr>
        <w:pStyle w:val="Heading2"/>
      </w:pPr>
      <w:r>
        <w:t>5.7 Crosshair Sync (sync.js)</w:t>
      </w:r>
    </w:p>
    <w:p>
      <w:r>
        <w:rPr>
          <w:b w:val="0"/>
          <w:i w:val="0"/>
        </w:rPr>
        <w:t>CrosshairSync.rebuild(panes) wires subscribeCrosshairMove on every pane. When the crosshair moves on one chart, the logical time position is set on all others via chart.setCrosshairPosition(). Rebuilt whenever the pane count changes.</w:t>
      </w:r>
    </w:p>
    <w:p>
      <w:pPr>
        <w:pStyle w:val="Heading2"/>
      </w:pPr>
      <w:r>
        <w:t>5.8 MTF RSI Widget (mtf-rsi.js)</w:t>
      </w:r>
    </w:p>
    <w:p>
      <w:r>
        <w:rPr>
          <w:b w:val="0"/>
          <w:i w:val="0"/>
        </w:rPr>
        <w:t>A collapsible side panel that shows the RSI value for the active pane's symbol across multiple timeframes simultaneously. Refreshed whenever the active pane changes or a new symbol is loaded.</w:t>
      </w:r>
    </w:p>
    <w:p>
      <w:pPr>
        <w:pStyle w:val="Heading2"/>
      </w:pPr>
      <w:r>
        <w:t>5.9 Workspaces (workspaces.js)</w:t>
      </w:r>
    </w:p>
    <w:p>
      <w:r>
        <w:rPr>
          <w:b w:val="0"/>
          <w:i w:val="0"/>
        </w:rPr>
        <w:t>Named snapshots of the full dashboard state (all pane sources, symbols, intervals, indicators). Saved and restored via localStorage. Allows quick context switching between different market setups.</w:t>
      </w:r>
    </w:p>
    <w:p>
      <w:pPr>
        <w:pStyle w:val="Heading1"/>
      </w:pPr>
      <w:r>
        <w:t>6. Theme System</w:t>
      </w:r>
    </w:p>
    <w:p>
      <w:r>
        <w:rPr>
          <w:b w:val="0"/>
          <w:i w:val="0"/>
        </w:rPr>
        <w:t>All colours are CSS custom properties defined on :root. Dark theme is the default; light theme is applied by setting data-theme='light' on &lt;html&gt;. The LWC chart theme is updated in sync via pane.applyTheme().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Dark</w:t>
            </w:r>
          </w:p>
        </w:tc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Light</w:t>
            </w:r>
          </w:p>
        </w:tc>
      </w:tr>
      <w:tr>
        <w:tc>
          <w:tcPr>
            <w:tcW w:type="dxa" w:w="2160"/>
          </w:tcPr>
          <w:p>
            <w:r>
              <w:t>--bg</w:t>
            </w:r>
          </w:p>
        </w:tc>
        <w:tc>
          <w:tcPr>
            <w:tcW w:type="dxa" w:w="2160"/>
          </w:tcPr>
          <w:p>
            <w:r>
              <w:t>#0d1117</w:t>
            </w:r>
          </w:p>
        </w:tc>
        <w:tc>
          <w:tcPr>
            <w:tcW w:type="dxa" w:w="2160"/>
          </w:tcPr>
          <w:p>
            <w:r>
              <w:t>#f0f3fa</w:t>
            </w:r>
          </w:p>
        </w:tc>
      </w:tr>
      <w:tr>
        <w:tc>
          <w:tcPr>
            <w:tcW w:type="dxa" w:w="2160"/>
          </w:tcPr>
          <w:p>
            <w:r>
              <w:t>--bg2</w:t>
            </w:r>
          </w:p>
        </w:tc>
        <w:tc>
          <w:tcPr>
            <w:tcW w:type="dxa" w:w="2160"/>
          </w:tcPr>
          <w:p>
            <w:r>
              <w:t>#131722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</w:tr>
      <w:tr>
        <w:tc>
          <w:tcPr>
            <w:tcW w:type="dxa" w:w="2160"/>
          </w:tcPr>
          <w:p>
            <w:r>
              <w:t>--bg3</w:t>
            </w:r>
          </w:p>
        </w:tc>
        <w:tc>
          <w:tcPr>
            <w:tcW w:type="dxa" w:w="2160"/>
          </w:tcPr>
          <w:p>
            <w:r>
              <w:t>#1e222d</w:t>
            </w:r>
          </w:p>
        </w:tc>
        <w:tc>
          <w:tcPr>
            <w:tcW w:type="dxa" w:w="2160"/>
          </w:tcPr>
          <w:p>
            <w:r>
              <w:t>#e4e8f0</w:t>
            </w:r>
          </w:p>
        </w:tc>
      </w:tr>
      <w:tr>
        <w:tc>
          <w:tcPr>
            <w:tcW w:type="dxa" w:w="2160"/>
          </w:tcPr>
          <w:p>
            <w:r>
              <w:t>--bg4</w:t>
            </w:r>
          </w:p>
        </w:tc>
        <w:tc>
          <w:tcPr>
            <w:tcW w:type="dxa" w:w="2160"/>
          </w:tcPr>
          <w:p>
            <w:r>
              <w:t>#252b3b</w:t>
            </w:r>
          </w:p>
        </w:tc>
        <w:tc>
          <w:tcPr>
            <w:tcW w:type="dxa" w:w="2160"/>
          </w:tcPr>
          <w:p>
            <w:r>
              <w:t>#d8dce8</w:t>
            </w:r>
          </w:p>
        </w:tc>
      </w:tr>
      <w:tr>
        <w:tc>
          <w:tcPr>
            <w:tcW w:type="dxa" w:w="2160"/>
          </w:tcPr>
          <w:p>
            <w:r>
              <w:t>--border</w:t>
            </w:r>
          </w:p>
        </w:tc>
        <w:tc>
          <w:tcPr>
            <w:tcW w:type="dxa" w:w="2160"/>
          </w:tcPr>
          <w:p>
            <w:r>
              <w:t>#2a2e39</w:t>
            </w:r>
          </w:p>
        </w:tc>
        <w:tc>
          <w:tcPr>
            <w:tcW w:type="dxa" w:w="2160"/>
          </w:tcPr>
          <w:p>
            <w:r>
              <w:t>#c4c8d4</w:t>
            </w:r>
          </w:p>
        </w:tc>
      </w:tr>
      <w:tr>
        <w:tc>
          <w:tcPr>
            <w:tcW w:type="dxa" w:w="2160"/>
          </w:tcPr>
          <w:p>
            <w:r>
              <w:t>--text</w:t>
            </w:r>
          </w:p>
        </w:tc>
        <w:tc>
          <w:tcPr>
            <w:tcW w:type="dxa" w:w="2160"/>
          </w:tcPr>
          <w:p>
            <w:r>
              <w:t>#d1d4dc</w:t>
            </w:r>
          </w:p>
        </w:tc>
        <w:tc>
          <w:tcPr>
            <w:tcW w:type="dxa" w:w="2160"/>
          </w:tcPr>
          <w:p>
            <w:r>
              <w:t>#131722</w:t>
            </w:r>
          </w:p>
        </w:tc>
      </w:tr>
      <w:tr>
        <w:tc>
          <w:tcPr>
            <w:tcW w:type="dxa" w:w="2160"/>
          </w:tcPr>
          <w:p>
            <w:r>
              <w:t>--muted</w:t>
            </w:r>
          </w:p>
        </w:tc>
        <w:tc>
          <w:tcPr>
            <w:tcW w:type="dxa" w:w="2160"/>
          </w:tcPr>
          <w:p>
            <w:r>
              <w:t>#787b86</w:t>
            </w:r>
          </w:p>
        </w:tc>
        <w:tc>
          <w:tcPr>
            <w:tcW w:type="dxa" w:w="2160"/>
          </w:tcPr>
          <w:p>
            <w:r>
              <w:t>#5a5f72</w:t>
            </w:r>
          </w:p>
        </w:tc>
      </w:tr>
      <w:tr>
        <w:tc>
          <w:tcPr>
            <w:tcW w:type="dxa" w:w="2160"/>
          </w:tcPr>
          <w:p>
            <w:r>
              <w:t>--accent</w:t>
            </w:r>
          </w:p>
        </w:tc>
        <w:tc>
          <w:tcPr>
            <w:tcW w:type="dxa" w:w="2160"/>
          </w:tcPr>
          <w:p>
            <w:r>
              <w:t>#388bfd</w:t>
            </w:r>
          </w:p>
        </w:tc>
        <w:tc>
          <w:tcPr>
            <w:tcW w:type="dxa" w:w="2160"/>
          </w:tcPr>
          <w:p>
            <w:r>
              <w:t>#1a56db</w:t>
            </w:r>
          </w:p>
        </w:tc>
      </w:tr>
      <w:tr>
        <w:tc>
          <w:tcPr>
            <w:tcW w:type="dxa" w:w="2160"/>
          </w:tcPr>
          <w:p>
            <w:r>
              <w:t>--green</w:t>
            </w:r>
          </w:p>
        </w:tc>
        <w:tc>
          <w:tcPr>
            <w:tcW w:type="dxa" w:w="2160"/>
          </w:tcPr>
          <w:p>
            <w:r>
              <w:t>#26a69a</w:t>
            </w:r>
          </w:p>
        </w:tc>
        <w:tc>
          <w:tcPr>
            <w:tcW w:type="dxa" w:w="2160"/>
          </w:tcPr>
          <w:p>
            <w:r>
              <w:t>#26a69a</w:t>
            </w:r>
          </w:p>
        </w:tc>
      </w:tr>
      <w:tr>
        <w:tc>
          <w:tcPr>
            <w:tcW w:type="dxa" w:w="2160"/>
          </w:tcPr>
          <w:p>
            <w:r>
              <w:t>--red</w:t>
            </w:r>
          </w:p>
        </w:tc>
        <w:tc>
          <w:tcPr>
            <w:tcW w:type="dxa" w:w="2160"/>
          </w:tcPr>
          <w:p>
            <w:r>
              <w:t>#ef5350</w:t>
            </w:r>
          </w:p>
        </w:tc>
        <w:tc>
          <w:tcPr>
            <w:tcW w:type="dxa" w:w="2160"/>
          </w:tcPr>
          <w:p>
            <w:r>
              <w:t>#ef5350</w:t>
            </w:r>
          </w:p>
        </w:tc>
      </w:tr>
    </w:tbl>
    <w:p/>
    <w:p>
      <w:pPr>
        <w:pStyle w:val="Heading1"/>
      </w:pPr>
      <w:r>
        <w:t>7. localStorage Keys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Key pattern</w:t>
            </w:r>
          </w:p>
        </w:tc>
        <w:tc>
          <w:tcPr>
            <w:tcW w:type="dxa" w:w="5760"/>
            <w:shd w:val="clear" w:color="auto" w:fill="E8ECF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3600"/>
          </w:tcPr>
          <w:p>
            <w:r>
              <w:t>theme</w:t>
            </w:r>
          </w:p>
        </w:tc>
        <w:tc>
          <w:tcPr>
            <w:tcW w:type="dxa" w:w="5760"/>
          </w:tcPr>
          <w:p>
            <w:r>
              <w:t>User's selected theme: 'dark' or 'light'</w:t>
            </w:r>
          </w:p>
        </w:tc>
      </w:tr>
      <w:tr>
        <w:tc>
          <w:tcPr>
            <w:tcW w:type="dxa" w:w="3600"/>
          </w:tcPr>
          <w:p>
            <w:r>
              <w:t>chart-count</w:t>
            </w:r>
          </w:p>
        </w:tc>
        <w:tc>
          <w:tcPr>
            <w:tcW w:type="dxa" w:w="5760"/>
          </w:tcPr>
          <w:p>
            <w:r>
              <w:t>Number of chart panes: 1, 2, 4, 6, or 8</w:t>
            </w:r>
          </w:p>
        </w:tc>
      </w:tr>
      <w:tr>
        <w:tc>
          <w:tcPr>
            <w:tcW w:type="dxa" w:w="3600"/>
          </w:tcPr>
          <w:p>
            <w:r>
              <w:t>pane-{n}</w:t>
            </w:r>
          </w:p>
        </w:tc>
        <w:tc>
          <w:tcPr>
            <w:tcW w:type="dxa" w:w="5760"/>
          </w:tcPr>
          <w:p>
            <w:r>
              <w:t>ChartPane state: { source, symbol, interval }</w:t>
            </w:r>
          </w:p>
        </w:tc>
      </w:tr>
      <w:tr>
        <w:tc>
          <w:tcPr>
            <w:tcW w:type="dxa" w:w="3600"/>
          </w:tcPr>
          <w:p>
            <w:r>
              <w:t>inds-{n}</w:t>
            </w:r>
          </w:p>
        </w:tc>
        <w:tc>
          <w:tcPr>
            <w:tcW w:type="dxa" w:w="5760"/>
          </w:tcPr>
          <w:p>
            <w:r>
              <w:t>Enabled indicators for pane n: JSON array of strings</w:t>
            </w:r>
          </w:p>
        </w:tc>
      </w:tr>
      <w:tr>
        <w:tc>
          <w:tcPr>
            <w:tcW w:type="dxa" w:w="3600"/>
          </w:tcPr>
          <w:p>
            <w:r>
              <w:t>drawings-{n}-{symbol}</w:t>
            </w:r>
          </w:p>
        </w:tc>
        <w:tc>
          <w:tcPr>
            <w:tcW w:type="dxa" w:w="5760"/>
          </w:tcPr>
          <w:p>
            <w:r>
              <w:t>Drawing objects for pane n and symbol</w:t>
            </w:r>
          </w:p>
        </w:tc>
      </w:tr>
      <w:tr>
        <w:tc>
          <w:tcPr>
            <w:tcW w:type="dxa" w:w="3600"/>
          </w:tcPr>
          <w:p>
            <w:r>
              <w:t>mtc-wl2-tabs</w:t>
            </w:r>
          </w:p>
        </w:tc>
        <w:tc>
          <w:tcPr>
            <w:tcW w:type="dxa" w:w="5760"/>
          </w:tcPr>
          <w:p>
            <w:r>
              <w:t>Watchlist tab names: JSON array of strings</w:t>
            </w:r>
          </w:p>
        </w:tc>
      </w:tr>
      <w:tr>
        <w:tc>
          <w:tcPr>
            <w:tcW w:type="dxa" w:w="3600"/>
          </w:tcPr>
          <w:p>
            <w:r>
              <w:t>mtc-wl2-active</w:t>
            </w:r>
          </w:p>
        </w:tc>
        <w:tc>
          <w:tcPr>
            <w:tcW w:type="dxa" w:w="5760"/>
          </w:tcPr>
          <w:p>
            <w:r>
              <w:t>Active tab name: string</w:t>
            </w:r>
          </w:p>
        </w:tc>
      </w:tr>
      <w:tr>
        <w:tc>
          <w:tcPr>
            <w:tcW w:type="dxa" w:w="3600"/>
          </w:tcPr>
          <w:p>
            <w:r>
              <w:t>mtc-wl2-tab-{name}</w:t>
            </w:r>
          </w:p>
        </w:tc>
        <w:tc>
          <w:tcPr>
            <w:tcW w:type="dxa" w:w="5760"/>
          </w:tcPr>
          <w:p>
            <w:r>
              <w:t>Tab data: { sections: [{name, collapsed, items}] }</w:t>
            </w:r>
          </w:p>
        </w:tc>
      </w:tr>
      <w:tr>
        <w:tc>
          <w:tcPr>
            <w:tcW w:type="dxa" w:w="3600"/>
          </w:tcPr>
          <w:p>
            <w:r>
              <w:t>mtc-watchlist</w:t>
            </w:r>
          </w:p>
        </w:tc>
        <w:tc>
          <w:tcPr>
            <w:tcW w:type="dxa" w:w="5760"/>
          </w:tcPr>
          <w:p>
            <w:r>
              <w:t>Legacy flat watchlist (migrated; not written to after migration)</w:t>
            </w:r>
          </w:p>
        </w:tc>
      </w:tr>
      <w:tr>
        <w:tc>
          <w:tcPr>
            <w:tcW w:type="dxa" w:w="3600"/>
          </w:tcPr>
          <w:p>
            <w:r>
              <w:t>workspaces</w:t>
            </w:r>
          </w:p>
        </w:tc>
        <w:tc>
          <w:tcPr>
            <w:tcW w:type="dxa" w:w="5760"/>
          </w:tcPr>
          <w:p>
            <w:r>
              <w:t>Saved workspace snapshots: JSON object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