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w:hAnsi="Aptos"/>
          <w:b/>
          <w:color w:val="9A6F14"/>
          <w:sz w:val="22"/>
        </w:rPr>
        <w:t>FIELD ATLAS</w:t>
      </w:r>
    </w:p>
    <w:p>
      <w:pPr>
        <w:spacing w:after="160"/>
        <w:jc w:val="center"/>
      </w:pPr>
      <w:r>
        <w:rPr>
          <w:rFonts w:ascii="Aptos" w:hAnsi="Aptos"/>
          <w:b/>
          <w:color w:val="19374E"/>
          <w:sz w:val="60"/>
        </w:rPr>
        <w:t>SAT/H(s)H Across Fields</w:t>
      </w:r>
    </w:p>
    <w:p>
      <w:pPr>
        <w:spacing w:after="520"/>
        <w:jc w:val="center"/>
      </w:pPr>
      <w:r>
        <w:rPr>
          <w:rFonts w:ascii="Aptos" w:hAnsi="Aptos"/>
          <w:color w:val="2E74B5"/>
          <w:sz w:val="30"/>
        </w:rPr>
        <w:t>A chronological atlas of conceptual evolution, external precedence, and independent convergence</w:t>
      </w:r>
    </w:p>
    <w:p>
      <w:pPr>
        <w:spacing w:before="1600"/>
        <w:jc w:val="center"/>
      </w:pPr>
      <w:r>
        <w:rPr>
          <w:rFonts w:ascii="Aptos" w:hAnsi="Aptos"/>
          <w:b/>
          <w:color w:val="5F666E"/>
          <w:sz w:val="20"/>
        </w:rPr>
        <w:t>FIRST SUBSTANTIVE VERSION  •  3 SEPTEMBER 2026</w:t>
      </w:r>
    </w:p>
    <w:p>
      <w:pPr>
        <w:jc w:val="center"/>
      </w:pPr>
      <w:r>
        <w:rPr>
          <w:rFonts w:ascii="Aptos" w:hAnsi="Aptos"/>
          <w:i/>
          <w:color w:val="5F666E"/>
          <w:sz w:val="19"/>
        </w:rPr>
        <w:t>Model-facing historical analysis; no ontological or physical-fact claim is implied</w:t>
      </w:r>
    </w:p>
    <w:p>
      <w:r>
        <w:br w:type="page"/>
      </w:r>
    </w:p>
    <w:p>
      <w:r>
        <w:rPr>
          <w:rFonts w:ascii="Aptos" w:hAnsi="Aptos"/>
          <w:b/>
          <w:sz w:val="22"/>
        </w:rPr>
        <w:t>First substantive atlas — 3 September 2026</w:t>
      </w:r>
    </w:p>
    <w:p>
      <w:pPr>
        <w:spacing w:after="40"/>
      </w:pPr>
      <w:r>
        <w:rPr>
          <w:rFonts w:ascii="Aptos" w:hAnsi="Aptos"/>
          <w:b/>
          <w:sz w:val="22"/>
        </w:rPr>
        <w:t>Scope:</w:t>
      </w:r>
      <w:r>
        <w:rPr>
          <w:rFonts w:ascii="Aptos" w:hAnsi="Aptos"/>
          <w:sz w:val="22"/>
        </w:rPr>
        <w:t xml:space="preserve"> concept-level comparison between the documented evolution of SAT/H(s)H and prior or parallel ideas in physics and mathematics.</w:t>
      </w:r>
    </w:p>
    <w:p>
      <w:pPr>
        <w:spacing w:after="40"/>
      </w:pPr>
      <w:r>
        <w:rPr>
          <w:rFonts w:ascii="Aptos" w:hAnsi="Aptos"/>
          <w:b/>
          <w:sz w:val="22"/>
        </w:rPr>
        <w:t>Epistemic frame:</w:t>
      </w:r>
      <w:r>
        <w:rPr>
          <w:rFonts w:ascii="Aptos" w:hAnsi="Aptos"/>
          <w:sz w:val="22"/>
        </w:rPr>
        <w:t xml:space="preserve"> SAT/H(s)H is treated as a representational and calculational program. Similarity to an established construction is neither validation nor evidence of physical identity.</w:t>
      </w:r>
    </w:p>
    <w:p>
      <w:pPr>
        <w:pStyle w:val="Heading1"/>
      </w:pPr>
      <w:r>
        <w:t>Executive finding</w:t>
      </w:r>
    </w:p>
    <w:p>
      <w:r>
        <w:rPr>
          <w:rFonts w:ascii="Aptos" w:hAnsi="Aptos"/>
          <w:sz w:val="22"/>
        </w:rPr>
        <w:t xml:space="preserve">SAT/H(s)H is best understood as the progressive unpacking of one compact early picture, not as a collage assembled from later literature. The 2003–04 sketches and the later document </w:t>
      </w:r>
      <w:r>
        <w:rPr>
          <w:rFonts w:ascii="Aptos" w:hAnsi="Aptos"/>
          <w:i/>
          <w:sz w:val="22"/>
        </w:rPr>
        <w:t>The Fundamental Intuitions</w:t>
      </w:r>
      <w:r>
        <w:rPr>
          <w:rFonts w:ascii="Aptos" w:hAnsi="Aptos"/>
          <w:sz w:val="22"/>
        </w:rPr>
        <w:t xml:space="preserve"> already contain almost the whole conceptual genome: four-dimensional particle histories treated as filaments; a time wavefront or resolving surface; particles as local intersections; mutual filament–surface interaction; curvature as the collective back-action on the surface; forces and particle properties as modes of one geometry; matter and vacuum as differently configured instances of the same underlying structure; helical traces from oscillating filaments; and the possibility that a full history records influences in both temporal directions.</w:t>
      </w:r>
    </w:p>
    <w:p>
      <w:r>
        <w:rPr>
          <w:rFonts w:ascii="Aptos" w:hAnsi="Aptos"/>
          <w:sz w:val="22"/>
        </w:rPr>
        <w:t xml:space="preserve">The subsequent evolution mostly performs five operations on that genome: </w:t>
      </w:r>
      <w:r>
        <w:rPr>
          <w:rFonts w:ascii="Aptos" w:hAnsi="Aptos"/>
          <w:b/>
          <w:sz w:val="22"/>
        </w:rPr>
        <w:t>naming</w:t>
      </w:r>
      <w:r>
        <w:rPr>
          <w:rFonts w:ascii="Aptos" w:hAnsi="Aptos"/>
          <w:sz w:val="22"/>
        </w:rPr>
        <w:t xml:space="preserve">, </w:t>
      </w:r>
      <w:r>
        <w:rPr>
          <w:rFonts w:ascii="Aptos" w:hAnsi="Aptos"/>
          <w:b/>
          <w:sz w:val="22"/>
        </w:rPr>
        <w:t>differentiating objects that were initially fused</w:t>
      </w:r>
      <w:r>
        <w:rPr>
          <w:rFonts w:ascii="Aptos" w:hAnsi="Aptos"/>
          <w:sz w:val="22"/>
        </w:rPr>
        <w:t xml:space="preserve">, </w:t>
      </w:r>
      <w:r>
        <w:rPr>
          <w:rFonts w:ascii="Aptos" w:hAnsi="Aptos"/>
          <w:b/>
          <w:sz w:val="22"/>
        </w:rPr>
        <w:t>finding mathematical languages for the picture</w:t>
      </w:r>
      <w:r>
        <w:rPr>
          <w:rFonts w:ascii="Aptos" w:hAnsi="Aptos"/>
          <w:sz w:val="22"/>
        </w:rPr>
        <w:t xml:space="preserve">, </w:t>
      </w:r>
      <w:r>
        <w:rPr>
          <w:rFonts w:ascii="Aptos" w:hAnsi="Aptos"/>
          <w:b/>
          <w:sz w:val="22"/>
        </w:rPr>
        <w:t>following consequences into new domains</w:t>
      </w:r>
      <w:r>
        <w:rPr>
          <w:rFonts w:ascii="Aptos" w:hAnsi="Aptos"/>
          <w:sz w:val="22"/>
        </w:rPr>
        <w:t xml:space="preserve">, and </w:t>
      </w:r>
      <w:r>
        <w:rPr>
          <w:rFonts w:ascii="Aptos" w:hAnsi="Aptos"/>
          <w:b/>
          <w:sz w:val="22"/>
        </w:rPr>
        <w:t>discarding machinery that later proved unnecessary or too convenient</w:t>
      </w:r>
      <w:r>
        <w:rPr>
          <w:rFonts w:ascii="Aptos" w:hAnsi="Aptos"/>
          <w:sz w:val="22"/>
        </w:rPr>
        <w:t>. H(s)H is therefore a change in resolution more than a conceptual replacement: the early “worldline/filament” becomes a finite-core worldtube; the intuitive intersection becomes an explicit readout map; generic twisting becomes framed curvature, torsion, braid, and holonomy; and the original mutual interaction divides into worldtube–worldtube Interbraid and worldtube–resolving-structure Electrogravity.</w:t>
      </w:r>
    </w:p>
    <w:p>
      <w:r>
        <w:rPr>
          <w:rFonts w:ascii="Aptos" w:hAnsi="Aptos"/>
          <w:sz w:val="22"/>
        </w:rPr>
        <w:t xml:space="preserve">At granular scale, many parts of this picture have older relatives in physics: worldtubes, elastic framed curves, helical Dirac models, topological solitons, emergent Lorentzian metrics, time-symmetric interactions, and vortex glitches. That establishes </w:t>
      </w:r>
      <w:r>
        <w:rPr>
          <w:rFonts w:ascii="Aptos" w:hAnsi="Aptos"/>
          <w:b/>
          <w:sz w:val="22"/>
        </w:rPr>
        <w:t>external precedence for related concepts</w:t>
      </w:r>
      <w:r>
        <w:rPr>
          <w:rFonts w:ascii="Aptos" w:hAnsi="Aptos"/>
          <w:sz w:val="22"/>
        </w:rPr>
        <w:t>, but not intellectual lineage. On the available chronology, the most interesting pattern is repeated convergence: SAT began from a visual-mechanical construction, then later found that different pieces had already been formalized in different specialties. The historical question is thus not “which ingredients were borrowed?” but “how closely did an independently sustained picture converge on each neighboring field, when did the contact occur, and what changed after contact?”</w:t>
      </w:r>
    </w:p>
    <w:p>
      <w:r>
        <w:rPr>
          <w:rFonts w:ascii="Aptos" w:hAnsi="Aptos"/>
          <w:sz w:val="22"/>
        </w:rPr>
        <w:t>The strongest candidate for distinctiveness remains architectural: the attempt to hold these pieces in one literal geometric chain from whole history through finite-core structure and resolving interaction to the locally observed world, while importing successful inherited physics as constraints and readouts. This atlas does not treat that architecture as established physics; it tracks how the representational program came together and where its internal path converges with, diverges from, or predates the project’s encounter with parallel ideas.</w:t>
      </w:r>
    </w:p>
    <w:p>
      <w:pPr>
        <w:pStyle w:val="Heading1"/>
      </w:pPr>
      <w:r>
        <w:t>How to read the status labels</w:t>
      </w:r>
    </w:p>
    <w:p>
      <w:r>
        <w:rPr>
          <w:rFonts w:ascii="Aptos" w:hAnsi="Aptos"/>
          <w:b/>
          <w:sz w:val="22"/>
        </w:rPr>
        <w:t>Internal role:</w:t>
      </w:r>
      <w:r>
        <w:rPr>
          <w:rFonts w:ascii="Aptos" w:hAnsi="Aptos"/>
          <w:sz w:val="22"/>
        </w:rPr>
        <w:t xml:space="preserve"> FOUNDATIONAL INTUITION (present in the early picture); LATER EXPLICATION (a more exact articulation of something already latent); GENUINE ADDITION (not clearly contained in the early picture); TOOL ADOPTION (a mathematical language encountered later); HISTORICAL SCAFFOLD (temporarily useful but displaced); OPEN FRONTIER.</w:t>
      </w:r>
    </w:p>
    <w:p>
      <w:r>
        <w:rPr>
          <w:rFonts w:ascii="Aptos" w:hAnsi="Aptos"/>
          <w:b/>
          <w:sz w:val="22"/>
        </w:rPr>
        <w:t>Historical relation:</w:t>
      </w:r>
      <w:r>
        <w:rPr>
          <w:rFonts w:ascii="Aptos" w:hAnsi="Aptos"/>
          <w:sz w:val="22"/>
        </w:rPr>
        <w:t xml:space="preserve"> EXTERNAL PRECEDENCE (a materially similar concept is documented earlier); INDEPENDENT CONVERGENCE PLAUSIBLE (the archive dates the internal idea without evidence that the external source caused it); PARALLEL BUT NON-EQUIVALENT (shared geometry, different mathematical or empirical role); SAT/H(s)H-SPECIFIC SYNTHESIS CANDIDATE; UNRESOLVED.</w:t>
      </w:r>
    </w:p>
    <w:p>
      <w:r>
        <w:rPr>
          <w:rFonts w:ascii="Aptos" w:hAnsi="Aptos"/>
          <w:b/>
          <w:sz w:val="22"/>
        </w:rPr>
        <w:t>Date discipline:</w:t>
      </w:r>
      <w:r>
        <w:rPr>
          <w:rFonts w:ascii="Aptos" w:hAnsi="Aptos"/>
          <w:sz w:val="22"/>
        </w:rPr>
        <w:t xml:space="preserve"> archive dates are treated as approximately reliable for this overview. “Earliest SAT date” still distinguishes surviving sketch, later recollection of the sketch’s meaning, first explicit formulation, first public disclosure, and current wording wherever that difference matters.</w:t>
      </w:r>
    </w:p>
    <w:p>
      <w:pPr>
        <w:pStyle w:val="Heading1"/>
      </w:pPr>
      <w:r>
        <w:t>I. Internal evolution: what changed and when</w:t>
      </w:r>
    </w:p>
    <w:p>
      <w:pPr>
        <w:pStyle w:val="Heading2"/>
      </w:pPr>
      <w:r>
        <w:t>1. Fundamental picture: 2003–04 sketches and their later statement</w:t>
      </w:r>
    </w:p>
    <w:p>
      <w:r>
        <w:rPr>
          <w:rFonts w:ascii="Aptos" w:hAnsi="Aptos"/>
          <w:sz w:val="22"/>
        </w:rPr>
        <w:t>The 2003–04 sketches are the beginning of SAT in practice. The older timeline reports earlier visualization, but the surviving sketches are the appropriate historical anchor. By the mid-2000s the working picture already included motion, particle interactions, a geometrical account of QCD-like binding, and a time wavefront/timesheet acting in the role otherwise assigned to spacetime.</w:t>
      </w:r>
    </w:p>
    <w:p>
      <w:r>
        <w:rPr>
          <w:rFonts w:ascii="Aptos" w:hAnsi="Aptos"/>
          <w:i/>
          <w:sz w:val="22"/>
        </w:rPr>
        <w:t>The Fundamental Intuitions</w:t>
      </w:r>
      <w:r>
        <w:rPr>
          <w:rFonts w:ascii="Aptos" w:hAnsi="Aptos"/>
          <w:sz w:val="22"/>
        </w:rPr>
        <w:t>, first dated 2 February 2025 and updated 26 February 2026, is a later explicit statement of this early picture rather than the origin of all its contents. Its sequence is remarkably close to current H(s)H:</w:t>
      </w:r>
    </w:p>
    <w:p>
      <w:pPr>
        <w:pStyle w:val="ListNumber"/>
      </w:pPr>
      <w:r>
        <w:rPr>
          <w:rFonts w:ascii="Aptos" w:hAnsi="Aptos"/>
          <w:sz w:val="22"/>
        </w:rPr>
        <w:t>The modeled whole is the tangled four-dimensional world of particle histories—the Zottenwelt.</w:t>
      </w:r>
    </w:p>
    <w:p>
      <w:pPr>
        <w:pStyle w:val="ListNumber"/>
      </w:pPr>
      <w:r>
        <w:rPr>
          <w:rFonts w:ascii="Aptos" w:hAnsi="Aptos"/>
          <w:sz w:val="22"/>
        </w:rPr>
        <w:t>A time surface moves through or resolves those histories.</w:t>
      </w:r>
    </w:p>
    <w:p>
      <w:pPr>
        <w:pStyle w:val="ListNumber"/>
      </w:pPr>
      <w:r>
        <w:rPr>
          <w:rFonts w:ascii="Aptos" w:hAnsi="Aptos"/>
          <w:sz w:val="22"/>
        </w:rPr>
        <w:t>A locally perceived particle is an intersection of history and surface.</w:t>
      </w:r>
    </w:p>
    <w:p>
      <w:pPr>
        <w:pStyle w:val="ListNumber"/>
      </w:pPr>
      <w:r>
        <w:rPr>
          <w:rFonts w:ascii="Aptos" w:hAnsi="Aptos"/>
          <w:sz w:val="22"/>
        </w:rPr>
        <w:t>The surface and histories exchange energy in both directions.</w:t>
      </w:r>
    </w:p>
    <w:p>
      <w:pPr>
        <w:pStyle w:val="ListNumber"/>
      </w:pPr>
      <w:r>
        <w:rPr>
          <w:rFonts w:ascii="Aptos" w:hAnsi="Aptos"/>
          <w:sz w:val="22"/>
        </w:rPr>
        <w:t>Those exchanges govern formation and stability.</w:t>
      </w:r>
    </w:p>
    <w:p>
      <w:pPr>
        <w:pStyle w:val="ListNumber"/>
      </w:pPr>
      <w:r>
        <w:rPr>
          <w:rFonts w:ascii="Aptos" w:hAnsi="Aptos"/>
          <w:sz w:val="22"/>
        </w:rPr>
        <w:t>Collective back-action curves the surface, supplying the intuitive route to GR-like geometry.</w:t>
      </w:r>
    </w:p>
    <w:p>
      <w:pPr>
        <w:pStyle w:val="ListNumber"/>
      </w:pPr>
      <w:r>
        <w:rPr>
          <w:rFonts w:ascii="Aptos" w:hAnsi="Aptos"/>
          <w:sz w:val="22"/>
        </w:rPr>
        <w:t>A history may transmit constraint both futureward and pastward, with geometry limiting observable retro-effects.</w:t>
      </w:r>
    </w:p>
    <w:p>
      <w:pPr>
        <w:pStyle w:val="ListNumber"/>
      </w:pPr>
      <w:r>
        <w:rPr>
          <w:rFonts w:ascii="Aptos" w:hAnsi="Aptos"/>
          <w:sz w:val="22"/>
        </w:rPr>
        <w:t>Particle properties arise from intersection angle, oscillation, helical trace, and multi-filament organization.</w:t>
      </w:r>
    </w:p>
    <w:p>
      <w:pPr>
        <w:pStyle w:val="ListNumber"/>
      </w:pPr>
      <w:r>
        <w:rPr>
          <w:rFonts w:ascii="Aptos" w:hAnsi="Aptos"/>
          <w:sz w:val="22"/>
        </w:rPr>
        <w:t>Bosons/light are proposed as transfers or vibrations through the filament network rather than necessarily persistent particulate filaments.</w:t>
      </w:r>
    </w:p>
    <w:p>
      <w:pPr>
        <w:pStyle w:val="ListNumber"/>
      </w:pPr>
      <w:r>
        <w:rPr>
          <w:rFonts w:ascii="Aptos" w:hAnsi="Aptos"/>
          <w:sz w:val="22"/>
        </w:rPr>
        <w:t>Matter and vacuum occupy one continuum of differently aligned/configured filaments.</w:t>
      </w:r>
    </w:p>
    <w:p>
      <w:pPr>
        <w:pStyle w:val="ListNumber"/>
      </w:pPr>
      <w:r>
        <w:rPr>
          <w:rFonts w:ascii="Aptos" w:hAnsi="Aptos"/>
          <w:sz w:val="22"/>
        </w:rPr>
        <w:t>Holonomy is proposed as the source of quantization.</w:t>
      </w:r>
    </w:p>
    <w:p>
      <w:pPr>
        <w:pStyle w:val="ListNumber"/>
      </w:pPr>
      <w:r>
        <w:rPr>
          <w:rFonts w:ascii="Aptos" w:hAnsi="Aptos"/>
          <w:sz w:val="22"/>
        </w:rPr>
        <w:t>A worldline records external forcing in its overall vector and internal forcing in superimposed helical structure.</w:t>
      </w:r>
    </w:p>
    <w:p>
      <w:r>
        <w:rPr>
          <w:rFonts w:ascii="Aptos" w:hAnsi="Aptos"/>
          <w:sz w:val="22"/>
        </w:rPr>
        <w:t>This is the conceptual spine of the atlas. Later terminology should be read as resolving ambiguities inside it, not automatically as importing unrelated new foundations.</w:t>
      </w:r>
    </w:p>
    <w:p>
      <w:pPr>
        <w:pStyle w:val="Heading2"/>
      </w:pPr>
      <w:r>
        <w:t>2. Named SAT and explicit Fundamental Intuitions: November 2024–May 2025</w:t>
      </w:r>
    </w:p>
    <w:p>
      <w:r>
        <w:rPr>
          <w:rFonts w:ascii="Aptos" w:hAnsi="Aptos"/>
          <w:sz w:val="22"/>
        </w:rPr>
        <w:t xml:space="preserve">The timeline identifies </w:t>
      </w:r>
      <w:r>
        <w:rPr>
          <w:rFonts w:ascii="Aptos" w:hAnsi="Aptos"/>
          <w:i/>
          <w:sz w:val="22"/>
        </w:rPr>
        <w:t>SAT:SoT Scalar-Angular-Theory State of the Theory</w:t>
      </w:r>
      <w:r>
        <w:rPr>
          <w:rFonts w:ascii="Aptos" w:hAnsi="Aptos"/>
          <w:sz w:val="22"/>
        </w:rPr>
        <w:t xml:space="preserve"> on 12 November 2024 and a first public overview in the 2 February 2025 podcast episode. During early 2025 the model increasingly used filaments as time-extended structures, an angular variable later overloaded as </w:t>
      </w:r>
      <w:r>
        <w:rPr>
          <w:rFonts w:ascii="Consolas" w:hAnsi="Consolas"/>
          <w:color w:val="484848"/>
          <w:sz w:val="21"/>
        </w:rPr>
        <w:t>theta_4</w:t>
      </w:r>
      <w:r>
        <w:rPr>
          <w:rFonts w:ascii="Aptos" w:hAnsi="Aptos"/>
          <w:sz w:val="22"/>
        </w:rPr>
        <w:t>, stored angular tension as a mass intuition, and a moving or resolving time surface.</w:t>
      </w:r>
    </w:p>
    <w:p>
      <w:r>
        <w:rPr>
          <w:rFonts w:ascii="Aptos" w:hAnsi="Aptos"/>
          <w:sz w:val="22"/>
        </w:rPr>
        <w:t xml:space="preserve">The important development was not the invention of a new picture so much as making the old one discussable. “Filament,” “time surface,” </w:t>
      </w:r>
      <w:r>
        <w:rPr>
          <w:rFonts w:ascii="Consolas" w:hAnsi="Consolas"/>
          <w:color w:val="484848"/>
          <w:sz w:val="21"/>
        </w:rPr>
        <w:t>theta_4</w:t>
      </w:r>
      <w:r>
        <w:rPr>
          <w:rFonts w:ascii="Aptos" w:hAnsi="Aptos"/>
          <w:sz w:val="22"/>
        </w:rPr>
        <w:t>, Zottenwelt, and the importation principles for the Standard Model, GR, and quantum mechanics gave separate names to roles already visible in the sketch logic. The project’s practice also became explicit: preserve successful physics unless the geometry forces a change; use the four-dimensional picture as a place to look for relations that conventional decompositions obscure.</w:t>
      </w:r>
    </w:p>
    <w:p>
      <w:pPr>
        <w:pStyle w:val="Heading2"/>
      </w:pPr>
      <w:r>
        <w:t>3. SAT O / 4D architecture: May–June 2025</w:t>
      </w:r>
    </w:p>
    <w:p>
      <w:r>
        <w:rPr>
          <w:rFonts w:ascii="Aptos" w:hAnsi="Aptos"/>
          <w:sz w:val="22"/>
        </w:rPr>
        <w:t xml:space="preserve">The archive dates a “4D architecture mandate” to late May–June 2025. Hyperhelical worldlines, a unit timelike or time-flow field, a resolving surface, torsion/holonomy language, and modular attempts to map gravity and gauge structure became explicit. This is also the period in which lattice, </w:t>
      </w:r>
      <w:r>
        <w:rPr>
          <w:rFonts w:ascii="Consolas" w:hAnsi="Consolas"/>
          <w:color w:val="484848"/>
          <w:sz w:val="21"/>
        </w:rPr>
        <w:t>Z3</w:t>
      </w:r>
      <w:r>
        <w:rPr>
          <w:rFonts w:ascii="Aptos" w:hAnsi="Aptos"/>
          <w:sz w:val="22"/>
        </w:rPr>
        <w:t>, rule-of-three, mass-formula, and numerical-threshold machinery proliferated.</w:t>
      </w:r>
    </w:p>
    <w:p>
      <w:r>
        <w:rPr>
          <w:rFonts w:ascii="Aptos" w:hAnsi="Aptos"/>
          <w:sz w:val="22"/>
        </w:rPr>
        <w:t xml:space="preserve">In retrospect this phase contains two different legacies. One is direct explication: taking the whole history seriously, formalizing helical traces, and seeking invariants before assigning particle labels. The other consists of exploratory scaffolds—24-cell structure, a </w:t>
      </w:r>
      <w:r>
        <w:rPr>
          <w:rFonts w:ascii="Consolas" w:hAnsi="Consolas"/>
          <w:color w:val="484848"/>
          <w:sz w:val="21"/>
        </w:rPr>
        <w:t>Z3</w:t>
      </w:r>
      <w:r>
        <w:rPr>
          <w:rFonts w:ascii="Aptos" w:hAnsi="Aptos"/>
          <w:sz w:val="22"/>
        </w:rPr>
        <w:t xml:space="preserve"> fusion ceiling, direct topological-charge-to-mass rules, and numerical locks—that briefly appeared to supply missing specificity but were not part of the original intuition and were later displaced.</w:t>
      </w:r>
    </w:p>
    <w:p>
      <w:pPr>
        <w:pStyle w:val="Heading2"/>
      </w:pPr>
      <w:r>
        <w:t>4. Blockwave and quantitative closure attempts: late 2025–spring 2026</w:t>
      </w:r>
    </w:p>
    <w:p>
      <w:r>
        <w:rPr>
          <w:rFonts w:ascii="Aptos" w:hAnsi="Aptos"/>
          <w:sz w:val="22"/>
        </w:rPr>
        <w:t>The timeline describes an October 2025 SATO/Blockwave integration with a one-action ambition, normalization of constants, and particle-spectrum work. Later work emphasized a Minkowski/worldline benchmark, pulsar glitches, holonomy transitions, and a projection/observability threshold near 0.246 radians.</w:t>
      </w:r>
    </w:p>
    <w:p>
      <w:r>
        <w:rPr>
          <w:rFonts w:ascii="Aptos" w:hAnsi="Aptos"/>
          <w:sz w:val="22"/>
        </w:rPr>
        <w:t xml:space="preserve">This phase is historically important precisely because the current framework does </w:t>
      </w:r>
      <w:r>
        <w:rPr>
          <w:rFonts w:ascii="Aptos" w:hAnsi="Aptos"/>
          <w:b/>
          <w:sz w:val="22"/>
        </w:rPr>
        <w:t>not</w:t>
      </w:r>
      <w:r>
        <w:rPr>
          <w:rFonts w:ascii="Aptos" w:hAnsi="Aptos"/>
          <w:sz w:val="22"/>
        </w:rPr>
        <w:t xml:space="preserve"> inherit all of it. Numerical recurrence is not derivation. The present translation guard leaves the angle’s role unresolved among projection, clipping, phase, holonomy, mixing, and observability possibilities. The pulsar application remains a CANDIDATE until a dimensionally complete link from stellar variables to an observable glitch distribution is reconstructed.</w:t>
      </w:r>
    </w:p>
    <w:p>
      <w:pPr>
        <w:pStyle w:val="Heading2"/>
      </w:pPr>
      <w:r>
        <w:t>5. SAT → H(s)H: June–July 2026</w:t>
      </w:r>
    </w:p>
    <w:p>
      <w:r>
        <w:rPr>
          <w:rFonts w:ascii="Aptos" w:hAnsi="Aptos"/>
          <w:sz w:val="22"/>
        </w:rPr>
        <w:t xml:space="preserve">The transition record shifts the modeled object from an idealized line to a finite-core worldtube/filament history and reserves H(s)H for its recursive hyper(super)helical representation. This is best classified as </w:t>
      </w:r>
      <w:r>
        <w:rPr>
          <w:rFonts w:ascii="Aptos" w:hAnsi="Aptos"/>
          <w:b/>
          <w:sz w:val="22"/>
        </w:rPr>
        <w:t>LATER EXPLICATION</w:t>
      </w:r>
      <w:r>
        <w:rPr>
          <w:rFonts w:ascii="Aptos" w:hAnsi="Aptos"/>
          <w:sz w:val="22"/>
        </w:rPr>
        <w:t>: the early “hard-coded” particle history already behaved more like an enduring structure than an infinitesimal mathematical curve; “worldtube” makes its centerline, material framing, finite thickness, cross-section, and interaction distinguishable.</w:t>
      </w:r>
    </w:p>
    <w:p>
      <w:r>
        <w:rPr>
          <w:rFonts w:ascii="Aptos" w:hAnsi="Aptos"/>
          <w:sz w:val="22"/>
        </w:rPr>
        <w:t xml:space="preserve">The same transition explicitly retires the lattice and </w:t>
      </w:r>
      <w:r>
        <w:rPr>
          <w:rFonts w:ascii="Consolas" w:hAnsi="Consolas"/>
          <w:color w:val="484848"/>
          <w:sz w:val="21"/>
        </w:rPr>
        <w:t>Z3</w:t>
      </w:r>
      <w:r>
        <w:rPr>
          <w:rFonts w:ascii="Aptos" w:hAnsi="Aptos"/>
          <w:sz w:val="22"/>
        </w:rPr>
        <w:t xml:space="preserve"> gate unless geometry independently forces them; rejects numerical “elasticity,” “smoothing,” and “attenuation” factors used to repair calculations; and warns that catchphrases can substitute narrative satisfaction for mechanics. Higher braid order becomes admissible in principle, with formation likelihood and assembly pathway separated from stability after formation.</w:t>
      </w:r>
    </w:p>
    <w:p>
      <w:r>
        <w:rPr>
          <w:rFonts w:ascii="Aptos" w:hAnsi="Aptos"/>
          <w:b/>
          <w:sz w:val="22"/>
        </w:rPr>
        <w:t>Status:</w:t>
      </w:r>
      <w:r>
        <w:rPr>
          <w:rFonts w:ascii="Aptos" w:hAnsi="Aptos"/>
          <w:sz w:val="22"/>
        </w:rPr>
        <w:t xml:space="preserve"> finite-core object/representation distinction and anti-shortcut rules are SAT/FROZEN. Particular worldtube actions and interaction laws remain ACTIVE or CANDIDATE.</w:t>
      </w:r>
    </w:p>
    <w:p>
      <w:pPr>
        <w:pStyle w:val="Heading2"/>
      </w:pPr>
      <w:r>
        <w:t>6. Current architecture: July–September 2026</w:t>
      </w:r>
    </w:p>
    <w:p>
      <w:r>
        <w:rPr>
          <w:rFonts w:ascii="Aptos" w:hAnsi="Aptos"/>
          <w:sz w:val="22"/>
        </w:rPr>
        <w:t xml:space="preserve">The current hierarchy distinguishes empirical Minkowski elements, a higher-dimensional modeled history, a finite-core worldtube/filament, H(s)H as parametrization, a resolving map </w:t>
      </w:r>
      <w:r>
        <w:rPr>
          <w:rFonts w:ascii="Consolas" w:hAnsi="Consolas"/>
          <w:color w:val="484848"/>
          <w:sz w:val="21"/>
        </w:rPr>
        <w:t>R_Sigma</w:t>
      </w:r>
      <w:r>
        <w:rPr>
          <w:rFonts w:ascii="Aptos" w:hAnsi="Aptos"/>
          <w:sz w:val="22"/>
        </w:rPr>
        <w:t>, local observed structure, and analytical tools such as the Universal Indicatrix, Donut, and Whirligig. Photons are not automatically worldtubes: the current working picture treats them as ephemeral vibrations traveling along or transverse to worldtubes. The interaction taxonomy is compressed to Interbraid (worldtube–worldtube) and Electrogravity (worldtube–resolving/metric structure).</w:t>
      </w:r>
    </w:p>
    <w:p>
      <w:r>
        <w:rPr>
          <w:rFonts w:ascii="Aptos" w:hAnsi="Aptos"/>
          <w:sz w:val="22"/>
        </w:rPr>
        <w:t xml:space="preserve">An active metric-induction scaffold begins from a positive-definite 4D metric </w:t>
      </w:r>
      <w:r>
        <w:rPr>
          <w:rFonts w:ascii="Consolas" w:hAnsi="Consolas"/>
          <w:color w:val="484848"/>
          <w:sz w:val="21"/>
        </w:rPr>
        <w:t>delta</w:t>
      </w:r>
      <w:r>
        <w:rPr>
          <w:rFonts w:ascii="Aptos" w:hAnsi="Aptos"/>
          <w:sz w:val="22"/>
        </w:rPr>
        <w:t xml:space="preserve"> plus a preferred unit flow </w:t>
      </w:r>
      <w:r>
        <w:rPr>
          <w:rFonts w:ascii="Consolas" w:hAnsi="Consolas"/>
          <w:color w:val="484848"/>
          <w:sz w:val="21"/>
        </w:rPr>
        <w:t>u</w:t>
      </w:r>
      <w:r>
        <w:rPr>
          <w:rFonts w:ascii="Aptos" w:hAnsi="Aptos"/>
          <w:sz w:val="22"/>
        </w:rPr>
        <w:t>, with candidate effective metric</w:t>
      </w:r>
    </w:p>
    <w:p>
      <w:r>
        <w:rPr>
          <w:rFonts w:ascii="Consolas" w:hAnsi="Consolas"/>
          <w:color w:val="484848"/>
          <w:sz w:val="21"/>
        </w:rPr>
        <w:t>g = delta - 2 u tensor u</w:t>
      </w:r>
      <w:r>
        <w:rPr>
          <w:rFonts w:ascii="Aptos" w:hAnsi="Aptos"/>
          <w:sz w:val="22"/>
        </w:rPr>
        <w:t>.</w:t>
      </w:r>
    </w:p>
    <w:p>
      <w:r>
        <w:rPr>
          <w:rFonts w:ascii="Aptos" w:hAnsi="Aptos"/>
          <w:sz w:val="22"/>
        </w:rPr>
        <w:t xml:space="preserve">This algebra gives one negative direction along </w:t>
      </w:r>
      <w:r>
        <w:rPr>
          <w:rFonts w:ascii="Consolas" w:hAnsi="Consolas"/>
          <w:color w:val="484848"/>
          <w:sz w:val="21"/>
        </w:rPr>
        <w:t>u</w:t>
      </w:r>
      <w:r>
        <w:rPr>
          <w:rFonts w:ascii="Aptos" w:hAnsi="Aptos"/>
          <w:sz w:val="22"/>
        </w:rPr>
        <w:t xml:space="preserve"> and positive transverse directions. What it does </w:t>
      </w:r>
      <w:r>
        <w:rPr>
          <w:rFonts w:ascii="Aptos" w:hAnsi="Aptos"/>
          <w:b/>
          <w:sz w:val="22"/>
        </w:rPr>
        <w:t>not</w:t>
      </w:r>
      <w:r>
        <w:rPr>
          <w:rFonts w:ascii="Aptos" w:hAnsi="Aptos"/>
          <w:sz w:val="22"/>
        </w:rPr>
        <w:t xml:space="preserve"> yet give by itself is the complete causal, dynamical, equivalence-principle, and matter-coupling structure of general relativity.</w:t>
      </w:r>
    </w:p>
    <w:p>
      <w:pPr>
        <w:pStyle w:val="Heading1"/>
      </w:pPr>
      <w:r>
        <w:t>The early genome and its later forms</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2304"/>
            <w:vAlign w:val="center"/>
            <w:tcMar>
              <w:top w:w="80" w:type="dxa"/>
              <w:start w:w="120" w:type="dxa"/>
              <w:bottom w:w="80" w:type="dxa"/>
              <w:end w:w="120" w:type="dxa"/>
            </w:tcMar>
            <w:shd w:fill="E8EEF5"/>
          </w:tcPr>
          <w:p>
            <w:pPr>
              <w:spacing w:after="0" w:line="252" w:lineRule="auto"/>
            </w:pPr>
            <w:r>
              <w:rPr>
                <w:rFonts w:ascii="Aptos" w:hAnsi="Aptos"/>
                <w:b/>
                <w:color w:val="19374E"/>
                <w:sz w:val="18"/>
              </w:rPr>
              <w:t>Fundamental intuition</w:t>
            </w:r>
          </w:p>
        </w:tc>
        <w:tc>
          <w:tcPr>
            <w:tcW w:type="dxa" w:w="3528"/>
            <w:vAlign w:val="center"/>
            <w:tcMar>
              <w:top w:w="80" w:type="dxa"/>
              <w:start w:w="120" w:type="dxa"/>
              <w:bottom w:w="80" w:type="dxa"/>
              <w:end w:w="120" w:type="dxa"/>
            </w:tcMar>
            <w:shd w:fill="E8EEF5"/>
          </w:tcPr>
          <w:p>
            <w:pPr>
              <w:spacing w:after="0" w:line="252" w:lineRule="auto"/>
            </w:pPr>
            <w:r>
              <w:rPr>
                <w:rFonts w:ascii="Aptos" w:hAnsi="Aptos"/>
                <w:b/>
                <w:color w:val="19374E"/>
                <w:sz w:val="18"/>
              </w:rPr>
              <w:t>Later SAT/H(s)H articulation</w:t>
            </w:r>
          </w:p>
        </w:tc>
        <w:tc>
          <w:tcPr>
            <w:tcW w:type="dxa" w:w="3528"/>
            <w:vAlign w:val="center"/>
            <w:tcMar>
              <w:top w:w="80" w:type="dxa"/>
              <w:start w:w="120" w:type="dxa"/>
              <w:bottom w:w="80" w:type="dxa"/>
              <w:end w:w="120" w:type="dxa"/>
            </w:tcMar>
            <w:shd w:fill="E8EEF5"/>
          </w:tcPr>
          <w:p>
            <w:pPr>
              <w:spacing w:after="0" w:line="252" w:lineRule="auto"/>
            </w:pPr>
            <w:r>
              <w:rPr>
                <w:rFonts w:ascii="Aptos" w:hAnsi="Aptos"/>
                <w:b/>
                <w:color w:val="19374E"/>
                <w:sz w:val="18"/>
              </w:rPr>
              <w:t>Kind of development</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Tangled 4D worldline world</w:t>
            </w:r>
          </w:p>
        </w:tc>
        <w:tc>
          <w:tcPr>
            <w:tcW w:type="dxa" w:w="3528"/>
            <w:vAlign w:val="center"/>
            <w:tcMar>
              <w:top w:w="80" w:type="dxa"/>
              <w:start w:w="120" w:type="dxa"/>
              <w:bottom w:w="80" w:type="dxa"/>
              <w:end w:w="120" w:type="dxa"/>
            </w:tcMar>
          </w:tcPr>
          <w:p>
            <w:pPr>
              <w:spacing w:after="0" w:line="252" w:lineRule="auto"/>
            </w:pPr>
            <w:r>
              <w:rPr>
                <w:rFonts w:ascii="Aptos" w:hAnsi="Aptos"/>
                <w:sz w:val="18"/>
              </w:rPr>
              <w:t>Higher-dimensional modeled whole / Zottenwelt</w:t>
            </w:r>
          </w:p>
        </w:tc>
        <w:tc>
          <w:tcPr>
            <w:tcW w:type="dxa" w:w="3528"/>
            <w:vAlign w:val="center"/>
            <w:tcMar>
              <w:top w:w="80" w:type="dxa"/>
              <w:start w:w="120" w:type="dxa"/>
              <w:bottom w:w="80" w:type="dxa"/>
              <w:end w:w="120" w:type="dxa"/>
            </w:tcMar>
          </w:tcPr>
          <w:p>
            <w:pPr>
              <w:spacing w:after="0" w:line="252" w:lineRule="auto"/>
            </w:pPr>
            <w:r>
              <w:rPr>
                <w:rFonts w:ascii="Aptos" w:hAnsi="Aptos"/>
                <w:sz w:val="18"/>
              </w:rPr>
              <w:t>Naming and differentiation</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Worldlines as persistent filaments</w:t>
            </w:r>
          </w:p>
        </w:tc>
        <w:tc>
          <w:tcPr>
            <w:tcW w:type="dxa" w:w="3528"/>
            <w:vAlign w:val="center"/>
            <w:tcMar>
              <w:top w:w="80" w:type="dxa"/>
              <w:start w:w="120" w:type="dxa"/>
              <w:bottom w:w="80" w:type="dxa"/>
              <w:end w:w="120" w:type="dxa"/>
            </w:tcMar>
          </w:tcPr>
          <w:p>
            <w:pPr>
              <w:spacing w:after="0" w:line="252" w:lineRule="auto"/>
            </w:pPr>
            <w:r>
              <w:rPr>
                <w:rFonts w:ascii="Aptos" w:hAnsi="Aptos"/>
                <w:sz w:val="18"/>
              </w:rPr>
              <w:t>Finite-core framed worldtubes</w:t>
            </w:r>
          </w:p>
        </w:tc>
        <w:tc>
          <w:tcPr>
            <w:tcW w:type="dxa" w:w="3528"/>
            <w:vAlign w:val="center"/>
            <w:tcMar>
              <w:top w:w="80" w:type="dxa"/>
              <w:start w:w="120" w:type="dxa"/>
              <w:bottom w:w="80" w:type="dxa"/>
              <w:end w:w="120" w:type="dxa"/>
            </w:tcMar>
          </w:tcPr>
          <w:p>
            <w:pPr>
              <w:spacing w:after="0" w:line="252" w:lineRule="auto"/>
            </w:pPr>
            <w:r>
              <w:rPr>
                <w:rFonts w:ascii="Aptos" w:hAnsi="Aptos"/>
                <w:sz w:val="18"/>
              </w:rPr>
              <w:t>Explication of structural thickness and internal degrees of freedom</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Time wavefront traverses histories</w:t>
            </w:r>
          </w:p>
        </w:tc>
        <w:tc>
          <w:tcPr>
            <w:tcW w:type="dxa" w:w="3528"/>
            <w:vAlign w:val="center"/>
            <w:tcMar>
              <w:top w:w="80" w:type="dxa"/>
              <w:start w:w="120" w:type="dxa"/>
              <w:bottom w:w="80" w:type="dxa"/>
              <w:end w:w="120" w:type="dxa"/>
            </w:tcMar>
          </w:tcPr>
          <w:p>
            <w:pPr>
              <w:spacing w:after="0" w:line="252" w:lineRule="auto"/>
            </w:pPr>
            <w:r>
              <w:rPr>
                <w:rFonts w:ascii="Aptos" w:hAnsi="Aptos"/>
                <w:sz w:val="18"/>
              </w:rPr>
              <w:t>Resolving structure, timesheet, preferred flow</w:t>
            </w:r>
          </w:p>
        </w:tc>
        <w:tc>
          <w:tcPr>
            <w:tcW w:type="dxa" w:w="3528"/>
            <w:vAlign w:val="center"/>
            <w:tcMar>
              <w:top w:w="80" w:type="dxa"/>
              <w:start w:w="120" w:type="dxa"/>
              <w:bottom w:w="80" w:type="dxa"/>
              <w:end w:w="120" w:type="dxa"/>
            </w:tcMar>
          </w:tcPr>
          <w:p>
            <w:pPr>
              <w:spacing w:after="0" w:line="252" w:lineRule="auto"/>
            </w:pPr>
            <w:r>
              <w:rPr>
                <w:rFonts w:ascii="Aptos" w:hAnsi="Aptos"/>
                <w:sz w:val="18"/>
              </w:rPr>
              <w:t>Formalization; exact mathematical identity remains open</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Particle is an intersection</w:t>
            </w:r>
          </w:p>
        </w:tc>
        <w:tc>
          <w:tcPr>
            <w:tcW w:type="dxa" w:w="3528"/>
            <w:vAlign w:val="center"/>
            <w:tcMar>
              <w:top w:w="80" w:type="dxa"/>
              <w:start w:w="120" w:type="dxa"/>
              <w:bottom w:w="80" w:type="dxa"/>
              <w:end w:w="120" w:type="dxa"/>
            </w:tcMar>
          </w:tcPr>
          <w:p>
            <w:pPr>
              <w:spacing w:after="0" w:line="252" w:lineRule="auto"/>
            </w:pPr>
            <w:r>
              <w:rPr>
                <w:rFonts w:ascii="Aptos" w:hAnsi="Aptos"/>
                <w:sz w:val="18"/>
              </w:rPr>
              <w:t xml:space="preserve">General readout map </w:t>
            </w:r>
            <w:r>
              <w:rPr>
                <w:rFonts w:ascii="Consolas" w:hAnsi="Consolas"/>
                <w:color w:val="484848"/>
                <w:sz w:val="17"/>
              </w:rPr>
              <w:t>R_Sigma</w:t>
            </w:r>
            <w:r>
              <w:rPr>
                <w:rFonts w:ascii="Aptos" w:hAnsi="Aptos"/>
                <w:sz w:val="18"/>
              </w:rPr>
              <w:t>; local resolved particle/event</w:t>
            </w:r>
          </w:p>
        </w:tc>
        <w:tc>
          <w:tcPr>
            <w:tcW w:type="dxa" w:w="3528"/>
            <w:vAlign w:val="center"/>
            <w:tcMar>
              <w:top w:w="80" w:type="dxa"/>
              <w:start w:w="120" w:type="dxa"/>
              <w:bottom w:w="80" w:type="dxa"/>
              <w:end w:w="120" w:type="dxa"/>
            </w:tcMar>
          </w:tcPr>
          <w:p>
            <w:pPr>
              <w:spacing w:after="0" w:line="252" w:lineRule="auto"/>
            </w:pPr>
            <w:r>
              <w:rPr>
                <w:rFonts w:ascii="Aptos" w:hAnsi="Aptos"/>
                <w:sz w:val="18"/>
              </w:rPr>
              <w:t>Generalization from one intersection picture to a family of readouts</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Mutual surface–filament energy transfer</w:t>
            </w:r>
          </w:p>
        </w:tc>
        <w:tc>
          <w:tcPr>
            <w:tcW w:type="dxa" w:w="3528"/>
            <w:vAlign w:val="center"/>
            <w:tcMar>
              <w:top w:w="80" w:type="dxa"/>
              <w:start w:w="120" w:type="dxa"/>
              <w:bottom w:w="80" w:type="dxa"/>
              <w:end w:w="120" w:type="dxa"/>
            </w:tcMar>
          </w:tcPr>
          <w:p>
            <w:pPr>
              <w:spacing w:after="0" w:line="252" w:lineRule="auto"/>
            </w:pPr>
            <w:r>
              <w:rPr>
                <w:rFonts w:ascii="Aptos" w:hAnsi="Aptos"/>
                <w:sz w:val="18"/>
              </w:rPr>
              <w:t>Electrogravity</w:t>
            </w:r>
          </w:p>
        </w:tc>
        <w:tc>
          <w:tcPr>
            <w:tcW w:type="dxa" w:w="3528"/>
            <w:vAlign w:val="center"/>
            <w:tcMar>
              <w:top w:w="80" w:type="dxa"/>
              <w:start w:w="120" w:type="dxa"/>
              <w:bottom w:w="80" w:type="dxa"/>
              <w:end w:w="120" w:type="dxa"/>
            </w:tcMar>
          </w:tcPr>
          <w:p>
            <w:pPr>
              <w:spacing w:after="0" w:line="252" w:lineRule="auto"/>
            </w:pPr>
            <w:r>
              <w:rPr>
                <w:rFonts w:ascii="Aptos" w:hAnsi="Aptos"/>
                <w:sz w:val="18"/>
              </w:rPr>
              <w:t>Taxonomic compression and attempted dynamical formalization</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Filaments organize/bind one another</w:t>
            </w:r>
          </w:p>
        </w:tc>
        <w:tc>
          <w:tcPr>
            <w:tcW w:type="dxa" w:w="3528"/>
            <w:vAlign w:val="center"/>
            <w:tcMar>
              <w:top w:w="80" w:type="dxa"/>
              <w:start w:w="120" w:type="dxa"/>
              <w:bottom w:w="80" w:type="dxa"/>
              <w:end w:w="120" w:type="dxa"/>
            </w:tcMar>
          </w:tcPr>
          <w:p>
            <w:pPr>
              <w:spacing w:after="0" w:line="252" w:lineRule="auto"/>
            </w:pPr>
            <w:r>
              <w:rPr>
                <w:rFonts w:ascii="Aptos" w:hAnsi="Aptos"/>
                <w:sz w:val="18"/>
              </w:rPr>
              <w:t>Interbraid</w:t>
            </w:r>
          </w:p>
        </w:tc>
        <w:tc>
          <w:tcPr>
            <w:tcW w:type="dxa" w:w="3528"/>
            <w:vAlign w:val="center"/>
            <w:tcMar>
              <w:top w:w="80" w:type="dxa"/>
              <w:start w:w="120" w:type="dxa"/>
              <w:bottom w:w="80" w:type="dxa"/>
              <w:end w:w="120" w:type="dxa"/>
            </w:tcMar>
          </w:tcPr>
          <w:p>
            <w:pPr>
              <w:spacing w:after="0" w:line="252" w:lineRule="auto"/>
            </w:pPr>
            <w:r>
              <w:rPr>
                <w:rFonts w:ascii="Aptos" w:hAnsi="Aptos"/>
                <w:sz w:val="18"/>
              </w:rPr>
              <w:t>Taxonomic compression; braid mechanics sharpened</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Back-action curves the time surface</w:t>
            </w:r>
          </w:p>
        </w:tc>
        <w:tc>
          <w:tcPr>
            <w:tcW w:type="dxa" w:w="3528"/>
            <w:vAlign w:val="center"/>
            <w:tcMar>
              <w:top w:w="80" w:type="dxa"/>
              <w:start w:w="120" w:type="dxa"/>
              <w:bottom w:w="80" w:type="dxa"/>
              <w:end w:w="120" w:type="dxa"/>
            </w:tcMar>
          </w:tcPr>
          <w:p>
            <w:pPr>
              <w:spacing w:after="0" w:line="252" w:lineRule="auto"/>
            </w:pPr>
            <w:r>
              <w:rPr>
                <w:rFonts w:ascii="Aptos" w:hAnsi="Aptos"/>
                <w:sz w:val="18"/>
              </w:rPr>
              <w:t>GR-like metric-response limit</w:t>
            </w:r>
          </w:p>
        </w:tc>
        <w:tc>
          <w:tcPr>
            <w:tcW w:type="dxa" w:w="3528"/>
            <w:vAlign w:val="center"/>
            <w:tcMar>
              <w:top w:w="80" w:type="dxa"/>
              <w:start w:w="120" w:type="dxa"/>
              <w:bottom w:w="80" w:type="dxa"/>
              <w:end w:w="120" w:type="dxa"/>
            </w:tcMar>
          </w:tcPr>
          <w:p>
            <w:pPr>
              <w:spacing w:after="0" w:line="252" w:lineRule="auto"/>
            </w:pPr>
            <w:r>
              <w:rPr>
                <w:rFonts w:ascii="Aptos" w:hAnsi="Aptos"/>
                <w:sz w:val="18"/>
              </w:rPr>
              <w:t>Cross-field translation of an original mechanism</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Full history carries constraints both ways in time</w:t>
            </w:r>
          </w:p>
        </w:tc>
        <w:tc>
          <w:tcPr>
            <w:tcW w:type="dxa" w:w="3528"/>
            <w:vAlign w:val="center"/>
            <w:tcMar>
              <w:top w:w="80" w:type="dxa"/>
              <w:start w:w="120" w:type="dxa"/>
              <w:bottom w:w="80" w:type="dxa"/>
              <w:end w:w="120" w:type="dxa"/>
            </w:tcMar>
          </w:tcPr>
          <w:p>
            <w:pPr>
              <w:spacing w:after="0" w:line="252" w:lineRule="auto"/>
            </w:pPr>
            <w:r>
              <w:rPr>
                <w:rFonts w:ascii="Aptos" w:hAnsi="Aptos"/>
                <w:sz w:val="18"/>
              </w:rPr>
              <w:t>Backbleed, history-wide consistency, possible retrocausal effects</w:t>
            </w:r>
          </w:p>
        </w:tc>
        <w:tc>
          <w:tcPr>
            <w:tcW w:type="dxa" w:w="3528"/>
            <w:vAlign w:val="center"/>
            <w:tcMar>
              <w:top w:w="80" w:type="dxa"/>
              <w:start w:w="120" w:type="dxa"/>
              <w:bottom w:w="80" w:type="dxa"/>
              <w:end w:w="120" w:type="dxa"/>
            </w:tcMar>
          </w:tcPr>
          <w:p>
            <w:pPr>
              <w:spacing w:after="0" w:line="252" w:lineRule="auto"/>
            </w:pPr>
            <w:r>
              <w:rPr>
                <w:rFonts w:ascii="Aptos" w:hAnsi="Aptos"/>
                <w:sz w:val="18"/>
              </w:rPr>
              <w:t>Persistent frontier; contact with time-symmetric physics</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Intersection angle contributes to particle properties</w:t>
            </w:r>
          </w:p>
        </w:tc>
        <w:tc>
          <w:tcPr>
            <w:tcW w:type="dxa" w:w="3528"/>
            <w:vAlign w:val="center"/>
            <w:tcMar>
              <w:top w:w="80" w:type="dxa"/>
              <w:start w:w="120" w:type="dxa"/>
              <w:bottom w:w="80" w:type="dxa"/>
              <w:end w:w="120" w:type="dxa"/>
            </w:tcMar>
          </w:tcPr>
          <w:p>
            <w:pPr>
              <w:spacing w:after="0" w:line="252" w:lineRule="auto"/>
            </w:pPr>
            <w:r>
              <w:rPr>
                <w:rFonts w:ascii="Aptos" w:hAnsi="Aptos"/>
                <w:sz w:val="18"/>
              </w:rPr>
              <w:t>Several separated angles: projection, clipping, trajectory, bend, twist, phase, mixing</w:t>
            </w:r>
          </w:p>
        </w:tc>
        <w:tc>
          <w:tcPr>
            <w:tcW w:type="dxa" w:w="3528"/>
            <w:vAlign w:val="center"/>
            <w:tcMar>
              <w:top w:w="80" w:type="dxa"/>
              <w:start w:w="120" w:type="dxa"/>
              <w:bottom w:w="80" w:type="dxa"/>
              <w:end w:w="120" w:type="dxa"/>
            </w:tcMar>
          </w:tcPr>
          <w:p>
            <w:pPr>
              <w:spacing w:after="0" w:line="252" w:lineRule="auto"/>
            </w:pPr>
            <w:r>
              <w:rPr>
                <w:rFonts w:ascii="Aptos" w:hAnsi="Aptos"/>
                <w:sz w:val="18"/>
              </w:rPr>
              <w:t xml:space="preserve">Major disambiguation of overloaded </w:t>
            </w:r>
            <w:r>
              <w:rPr>
                <w:rFonts w:ascii="Consolas" w:hAnsi="Consolas"/>
                <w:color w:val="484848"/>
                <w:sz w:val="17"/>
              </w:rPr>
              <w:t>theta_4</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Vibrating histories trace helices</w:t>
            </w:r>
          </w:p>
        </w:tc>
        <w:tc>
          <w:tcPr>
            <w:tcW w:type="dxa" w:w="3528"/>
            <w:vAlign w:val="center"/>
            <w:tcMar>
              <w:top w:w="80" w:type="dxa"/>
              <w:start w:w="120" w:type="dxa"/>
              <w:bottom w:w="80" w:type="dxa"/>
              <w:end w:w="120" w:type="dxa"/>
            </w:tcMar>
          </w:tcPr>
          <w:p>
            <w:pPr>
              <w:spacing w:after="0" w:line="252" w:lineRule="auto"/>
            </w:pPr>
            <w:r>
              <w:rPr>
                <w:rFonts w:ascii="Aptos" w:hAnsi="Aptos"/>
                <w:sz w:val="18"/>
              </w:rPr>
              <w:t>Recursive hyper(super)helical parametrization H(s)H</w:t>
            </w:r>
          </w:p>
        </w:tc>
        <w:tc>
          <w:tcPr>
            <w:tcW w:type="dxa" w:w="3528"/>
            <w:vAlign w:val="center"/>
            <w:tcMar>
              <w:top w:w="80" w:type="dxa"/>
              <w:start w:w="120" w:type="dxa"/>
              <w:bottom w:w="80" w:type="dxa"/>
              <w:end w:w="120" w:type="dxa"/>
            </w:tcMar>
          </w:tcPr>
          <w:p>
            <w:pPr>
              <w:spacing w:after="0" w:line="252" w:lineRule="auto"/>
            </w:pPr>
            <w:r>
              <w:rPr>
                <w:rFonts w:ascii="Aptos" w:hAnsi="Aptos"/>
                <w:sz w:val="18"/>
              </w:rPr>
              <w:t>Mathematical intensification of the original image</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Bi-/tri-partite coil or twist locking</w:t>
            </w:r>
          </w:p>
        </w:tc>
        <w:tc>
          <w:tcPr>
            <w:tcW w:type="dxa" w:w="3528"/>
            <w:vAlign w:val="center"/>
            <w:tcMar>
              <w:top w:w="80" w:type="dxa"/>
              <w:start w:w="120" w:type="dxa"/>
              <w:bottom w:w="80" w:type="dxa"/>
              <w:end w:w="120" w:type="dxa"/>
            </w:tcMar>
          </w:tcPr>
          <w:p>
            <w:pPr>
              <w:spacing w:after="0" w:line="252" w:lineRule="auto"/>
            </w:pPr>
            <w:r>
              <w:rPr>
                <w:rFonts w:ascii="Aptos" w:hAnsi="Aptos"/>
                <w:sz w:val="18"/>
              </w:rPr>
              <w:t>Braid hierarchy, Borromean examples, higher-order assembly</w:t>
            </w:r>
          </w:p>
        </w:tc>
        <w:tc>
          <w:tcPr>
            <w:tcW w:type="dxa" w:w="3528"/>
            <w:vAlign w:val="center"/>
            <w:tcMar>
              <w:top w:w="80" w:type="dxa"/>
              <w:start w:w="120" w:type="dxa"/>
              <w:bottom w:w="80" w:type="dxa"/>
              <w:end w:w="120" w:type="dxa"/>
            </w:tcMar>
          </w:tcPr>
          <w:p>
            <w:pPr>
              <w:spacing w:after="0" w:line="252" w:lineRule="auto"/>
            </w:pPr>
            <w:r>
              <w:rPr>
                <w:rFonts w:ascii="Aptos" w:hAnsi="Aptos"/>
                <w:sz w:val="18"/>
              </w:rPr>
              <w:t xml:space="preserve">Continued exploration; rigid </w:t>
            </w:r>
            <w:r>
              <w:rPr>
                <w:rFonts w:ascii="Consolas" w:hAnsi="Consolas"/>
                <w:color w:val="484848"/>
                <w:sz w:val="17"/>
              </w:rPr>
              <w:t>Z3</w:t>
            </w:r>
            <w:r>
              <w:rPr>
                <w:rFonts w:ascii="Aptos" w:hAnsi="Aptos"/>
                <w:sz w:val="18"/>
              </w:rPr>
              <w:t xml:space="preserve"> limit later removed</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Light/bosons as transferred vibration</w:t>
            </w:r>
          </w:p>
        </w:tc>
        <w:tc>
          <w:tcPr>
            <w:tcW w:type="dxa" w:w="3528"/>
            <w:vAlign w:val="center"/>
            <w:tcMar>
              <w:top w:w="80" w:type="dxa"/>
              <w:start w:w="120" w:type="dxa"/>
              <w:bottom w:w="80" w:type="dxa"/>
              <w:end w:w="120" w:type="dxa"/>
            </w:tcMar>
          </w:tcPr>
          <w:p>
            <w:pPr>
              <w:spacing w:after="0" w:line="252" w:lineRule="auto"/>
            </w:pPr>
            <w:r>
              <w:rPr>
                <w:rFonts w:ascii="Aptos" w:hAnsi="Aptos"/>
                <w:sz w:val="18"/>
              </w:rPr>
              <w:t>Photons as ephemeral along/transverse vibrations, not automatically worldtubes</w:t>
            </w:r>
          </w:p>
        </w:tc>
        <w:tc>
          <w:tcPr>
            <w:tcW w:type="dxa" w:w="3528"/>
            <w:vAlign w:val="center"/>
            <w:tcMar>
              <w:top w:w="80" w:type="dxa"/>
              <w:start w:w="120" w:type="dxa"/>
              <w:bottom w:w="80" w:type="dxa"/>
              <w:end w:w="120" w:type="dxa"/>
            </w:tcMar>
          </w:tcPr>
          <w:p>
            <w:pPr>
              <w:spacing w:after="0" w:line="252" w:lineRule="auto"/>
            </w:pPr>
            <w:r>
              <w:rPr>
                <w:rFonts w:ascii="Aptos" w:hAnsi="Aptos"/>
                <w:sz w:val="18"/>
              </w:rPr>
              <w:t>Return to and sharpening of Proposition D</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Vacuum and matter are one configurational continuum</w:t>
            </w:r>
          </w:p>
        </w:tc>
        <w:tc>
          <w:tcPr>
            <w:tcW w:type="dxa" w:w="3528"/>
            <w:vAlign w:val="center"/>
            <w:tcMar>
              <w:top w:w="80" w:type="dxa"/>
              <w:start w:w="120" w:type="dxa"/>
              <w:bottom w:w="80" w:type="dxa"/>
              <w:end w:w="120" w:type="dxa"/>
            </w:tcMar>
          </w:tcPr>
          <w:p>
            <w:pPr>
              <w:spacing w:after="0" w:line="252" w:lineRule="auto"/>
            </w:pPr>
            <w:r>
              <w:rPr>
                <w:rFonts w:ascii="Aptos" w:hAnsi="Aptos"/>
                <w:sz w:val="18"/>
              </w:rPr>
              <w:t>Matter/vacuum worldtube modes and quiescent/structured vacuum candidates</w:t>
            </w:r>
          </w:p>
        </w:tc>
        <w:tc>
          <w:tcPr>
            <w:tcW w:type="dxa" w:w="3528"/>
            <w:vAlign w:val="center"/>
            <w:tcMar>
              <w:top w:w="80" w:type="dxa"/>
              <w:start w:w="120" w:type="dxa"/>
              <w:bottom w:w="80" w:type="dxa"/>
              <w:end w:w="120" w:type="dxa"/>
            </w:tcMar>
          </w:tcPr>
          <w:p>
            <w:pPr>
              <w:spacing w:after="0" w:line="252" w:lineRule="auto"/>
            </w:pPr>
            <w:r>
              <w:rPr>
                <w:rFonts w:ascii="Aptos" w:hAnsi="Aptos"/>
                <w:sz w:val="18"/>
              </w:rPr>
              <w:t>Persistent foundational intuition</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Quantization from holonomy</w:t>
            </w:r>
          </w:p>
        </w:tc>
        <w:tc>
          <w:tcPr>
            <w:tcW w:type="dxa" w:w="3528"/>
            <w:vAlign w:val="center"/>
            <w:tcMar>
              <w:top w:w="80" w:type="dxa"/>
              <w:start w:w="120" w:type="dxa"/>
              <w:bottom w:w="80" w:type="dxa"/>
              <w:end w:w="120" w:type="dxa"/>
            </w:tcMar>
          </w:tcPr>
          <w:p>
            <w:pPr>
              <w:spacing w:after="0" w:line="252" w:lineRule="auto"/>
            </w:pPr>
            <w:r>
              <w:rPr>
                <w:rFonts w:ascii="Aptos" w:hAnsi="Aptos"/>
                <w:sz w:val="18"/>
              </w:rPr>
              <w:t>Phase/closure accounting; snap candidates</w:t>
            </w:r>
          </w:p>
        </w:tc>
        <w:tc>
          <w:tcPr>
            <w:tcW w:type="dxa" w:w="3528"/>
            <w:vAlign w:val="center"/>
            <w:tcMar>
              <w:top w:w="80" w:type="dxa"/>
              <w:start w:w="120" w:type="dxa"/>
              <w:bottom w:w="80" w:type="dxa"/>
              <w:end w:w="120" w:type="dxa"/>
            </w:tcMar>
          </w:tcPr>
          <w:p>
            <w:pPr>
              <w:spacing w:after="0" w:line="252" w:lineRule="auto"/>
            </w:pPr>
            <w:r>
              <w:rPr>
                <w:rFonts w:ascii="Aptos" w:hAnsi="Aptos"/>
                <w:sz w:val="18"/>
              </w:rPr>
              <w:t>Original extension, later linked to mature geometric-phase mathematics</w:t>
            </w:r>
          </w:p>
        </w:tc>
      </w:tr>
      <w:tr>
        <w:tc>
          <w:tcPr>
            <w:tcW w:type="dxa" w:w="2304"/>
            <w:vAlign w:val="center"/>
            <w:tcMar>
              <w:top w:w="80" w:type="dxa"/>
              <w:start w:w="120" w:type="dxa"/>
              <w:bottom w:w="80" w:type="dxa"/>
              <w:end w:w="120" w:type="dxa"/>
            </w:tcMar>
          </w:tcPr>
          <w:p>
            <w:pPr>
              <w:spacing w:after="0" w:line="252" w:lineRule="auto"/>
            </w:pPr>
            <w:r>
              <w:rPr>
                <w:rFonts w:ascii="Aptos" w:hAnsi="Aptos"/>
                <w:sz w:val="18"/>
              </w:rPr>
              <w:t>Worldline records external and internal forces</w:t>
            </w:r>
          </w:p>
        </w:tc>
        <w:tc>
          <w:tcPr>
            <w:tcW w:type="dxa" w:w="3528"/>
            <w:vAlign w:val="center"/>
            <w:tcMar>
              <w:top w:w="80" w:type="dxa"/>
              <w:start w:w="120" w:type="dxa"/>
              <w:bottom w:w="80" w:type="dxa"/>
              <w:end w:w="120" w:type="dxa"/>
            </w:tcMar>
          </w:tcPr>
          <w:p>
            <w:pPr>
              <w:spacing w:after="0" w:line="252" w:lineRule="auto"/>
            </w:pPr>
            <w:r>
              <w:rPr>
                <w:rFonts w:ascii="Aptos" w:hAnsi="Aptos"/>
                <w:sz w:val="18"/>
              </w:rPr>
              <w:t>Overall trajectory plus superimposed scale-dependent curvature/torsion</w:t>
            </w:r>
          </w:p>
        </w:tc>
        <w:tc>
          <w:tcPr>
            <w:tcW w:type="dxa" w:w="3528"/>
            <w:vAlign w:val="center"/>
            <w:tcMar>
              <w:top w:w="80" w:type="dxa"/>
              <w:start w:w="120" w:type="dxa"/>
              <w:bottom w:w="80" w:type="dxa"/>
              <w:end w:w="120" w:type="dxa"/>
            </w:tcMar>
          </w:tcPr>
          <w:p>
            <w:pPr>
              <w:spacing w:after="0" w:line="252" w:lineRule="auto"/>
            </w:pPr>
            <w:r>
              <w:rPr>
                <w:rFonts w:ascii="Aptos" w:hAnsi="Aptos"/>
                <w:sz w:val="18"/>
              </w:rPr>
              <w:t>Direct path toward the recursive geometry and archive/recording ideas</w:t>
            </w:r>
          </w:p>
        </w:tc>
      </w:tr>
    </w:tbl>
    <w:p>
      <w:pPr>
        <w:spacing w:after="40"/>
      </w:pPr>
    </w:p>
    <w:p>
      <w:r>
        <w:rPr>
          <w:rFonts w:ascii="Aptos" w:hAnsi="Aptos"/>
          <w:sz w:val="22"/>
        </w:rPr>
        <w:t>The table shows why the SAT → H(s)H shift can look radical from the mathematics while remaining conservative in spirit. The ontology-like cast of the early picture changes less than the resolution with which its parts are distinguished.</w:t>
      </w:r>
    </w:p>
    <w:p>
      <w:pPr>
        <w:pStyle w:val="Heading1"/>
      </w:pPr>
      <w:r>
        <w:t>II. Concept-by-concept field atlas</w:t>
      </w:r>
    </w:p>
    <w:p>
      <w:pPr>
        <w:pStyle w:val="Heading2"/>
      </w:pPr>
      <w:r>
        <w:t>A. Worldlines, worldtubes, and extended histories</w:t>
      </w:r>
    </w:p>
    <w:p>
      <w:r>
        <w:rPr>
          <w:rFonts w:ascii="Aptos" w:hAnsi="Aptos"/>
          <w:b/>
          <w:sz w:val="22"/>
        </w:rPr>
        <w:t>SAT/H(s)H path.</w:t>
      </w:r>
      <w:r>
        <w:rPr>
          <w:rFonts w:ascii="Aptos" w:hAnsi="Aptos"/>
          <w:sz w:val="22"/>
        </w:rPr>
        <w:t xml:space="preserve"> The 2003 provenance claim already centers time-extended particle histories; 2022–25 turns them into filaments/hyperhelical worldlines; 2026 promotes finite-core worldtubes and separates object from parametrization and readout.</w:t>
      </w:r>
    </w:p>
    <w:p>
      <w:r>
        <w:rPr>
          <w:rFonts w:ascii="Aptos" w:hAnsi="Aptos"/>
          <w:b/>
          <w:sz w:val="22"/>
        </w:rPr>
        <w:t>External line.</w:t>
      </w:r>
      <w:r>
        <w:rPr>
          <w:rFonts w:ascii="Aptos" w:hAnsi="Aptos"/>
          <w:sz w:val="22"/>
        </w:rPr>
        <w:t xml:space="preserve"> Minkowski made worldlines basic spacetime geometry in 1908. Mathisson, Papapetrou, Dixon, and successors developed motion of spinning and extended bodies; Dixon’s 1970 program encodes the contents of a body’s worldtube through covariant multipole moments. Modern general-relativistic elasticity models evolve extended bodies with internal stress rather than replacing them by points.</w:t>
      </w:r>
    </w:p>
    <w:p>
      <w:r>
        <w:rPr>
          <w:rFonts w:ascii="Aptos" w:hAnsi="Aptos"/>
          <w:b/>
          <w:sz w:val="22"/>
        </w:rPr>
        <w:t>Relation: EXTERNAL PRECEDENCE + PARALLEL NON-EQUIVALENCE.</w:t>
      </w:r>
      <w:r>
        <w:rPr>
          <w:rFonts w:ascii="Aptos" w:hAnsi="Aptos"/>
          <w:sz w:val="22"/>
        </w:rPr>
        <w:t xml:space="preserve"> Physics long predates SAT in treating histories and worldtubes mathematically. H(s)H differs in asking one finite-core filament history to do particle, interaction, and readout work simultaneously. Dixon does not imply H(s)H, and H(s)H has not yet recovered Dixon’s conservation and multipole structure.</w:t>
      </w:r>
    </w:p>
    <w:p>
      <w:r>
        <w:rPr>
          <w:rFonts w:ascii="Aptos" w:hAnsi="Aptos"/>
          <w:b/>
          <w:sz w:val="22"/>
        </w:rPr>
        <w:t>Research use.</w:t>
      </w:r>
      <w:r>
        <w:rPr>
          <w:rFonts w:ascii="Aptos" w:hAnsi="Aptos"/>
          <w:sz w:val="22"/>
        </w:rPr>
        <w:t xml:space="preserve"> Make Dixon-style stress-energy moments the first benchmark for any H(s)H worldtube. If the representation cannot reproduce the pole-dipole limit, “worldtube” is only vocabulary.</w:t>
      </w:r>
    </w:p>
    <w:p>
      <w:r>
        <w:rPr>
          <w:rFonts w:ascii="Aptos" w:hAnsi="Aptos"/>
          <w:sz w:val="22"/>
        </w:rPr>
        <w:t xml:space="preserve">Source: W. G. Dixon, “Dynamics of Extended Bodies in General Relativity” series (1970), </w:t>
      </w:r>
      <w:hyperlink r:id="rId9">
        <w:r>
          <w:rPr>
            <w:color w:val="2E74B5"/>
            <w:u w:val="single"/>
          </w:rPr>
          <w:t>https://www.osti.gov/biblio/4081383</w:t>
        </w:r>
      </w:hyperlink>
      <w:r>
        <w:rPr>
          <w:rFonts w:ascii="Aptos" w:hAnsi="Aptos"/>
          <w:sz w:val="22"/>
        </w:rPr>
        <w:t xml:space="preserve"> ; N. Jadoo, J. D. Brown, and C. R. Evans, “Extended body dynamics in general relativity: Hyperelastic models” (2023), </w:t>
      </w:r>
      <w:hyperlink r:id="rId10">
        <w:r>
          <w:rPr>
            <w:color w:val="2E74B5"/>
            <w:u w:val="single"/>
          </w:rPr>
          <w:t>https://doi.org/10.1103/PhysRevD.108.084020</w:t>
        </w:r>
      </w:hyperlink>
    </w:p>
    <w:p>
      <w:pPr>
        <w:pStyle w:val="Heading2"/>
      </w:pPr>
      <w:r>
        <w:t>B. Framed curves, rods, twist, writhe, and recursive helices</w:t>
      </w:r>
    </w:p>
    <w:p>
      <w:r>
        <w:rPr>
          <w:rFonts w:ascii="Aptos" w:hAnsi="Aptos"/>
          <w:b/>
          <w:sz w:val="22"/>
        </w:rPr>
        <w:t>SAT/H(s)H path.</w:t>
      </w:r>
      <w:r>
        <w:rPr>
          <w:rFonts w:ascii="Aptos" w:hAnsi="Aptos"/>
          <w:sz w:val="22"/>
        </w:rPr>
        <w:t xml:space="preserve"> Curvature and torsion become central during early formalization; nested hyperhelices and bending/jerk penalties become explicit by 2025–26; finite core and material/kinematic parity make framing unavoidable in H(s)H.</w:t>
      </w:r>
    </w:p>
    <w:p>
      <w:r>
        <w:rPr>
          <w:rFonts w:ascii="Aptos" w:hAnsi="Aptos"/>
          <w:b/>
          <w:sz w:val="22"/>
        </w:rPr>
        <w:t>External line.</w:t>
      </w:r>
      <w:r>
        <w:rPr>
          <w:rFonts w:ascii="Aptos" w:hAnsi="Aptos"/>
          <w:sz w:val="22"/>
        </w:rPr>
        <w:t xml:space="preserve"> Kirchhoff/Cosserat rod theory represents a filament by a centerline plus a moving material frame, with bending, twisting, stretching, and shear strains. Călugăreanu–White–Fuller theory separates linking into twist and writhe for a closed ribbon. Elastic rods exhibit buckling, plectonemes, snap-through, and conversion between twist and writhe.</w:t>
      </w:r>
    </w:p>
    <w:p>
      <w:r>
        <w:rPr>
          <w:rFonts w:ascii="Aptos" w:hAnsi="Aptos"/>
          <w:b/>
          <w:sz w:val="22"/>
        </w:rPr>
        <w:t>Relation: STRONG EXTERNAL PRECEDENCE; HIGH-VALUE CONVERGENCE.</w:t>
      </w:r>
      <w:r>
        <w:rPr>
          <w:rFonts w:ascii="Aptos" w:hAnsi="Aptos"/>
          <w:sz w:val="22"/>
        </w:rPr>
        <w:t xml:space="preserve"> This is probably the closest mature mathematical neighbor to the literal mechanics H(s)H now wants. “Recursive superhelix” is not supplied automatically by rod theory, but most local mechanical words in the current model already have disciplined definitions there.</w:t>
      </w:r>
    </w:p>
    <w:p>
      <w:r>
        <w:rPr>
          <w:rFonts w:ascii="Aptos" w:hAnsi="Aptos"/>
          <w:b/>
          <w:sz w:val="22"/>
        </w:rPr>
        <w:t>Research use.</w:t>
      </w:r>
      <w:r>
        <w:rPr>
          <w:rFonts w:ascii="Aptos" w:hAnsi="Aptos"/>
          <w:sz w:val="22"/>
        </w:rPr>
        <w:t xml:space="preserve"> Replace generic </w:t>
      </w:r>
      <w:r>
        <w:rPr>
          <w:rFonts w:ascii="Consolas" w:hAnsi="Consolas"/>
          <w:color w:val="484848"/>
          <w:sz w:val="21"/>
        </w:rPr>
        <w:t>|H''|^2</w:t>
      </w:r>
      <w:r>
        <w:rPr>
          <w:rFonts w:ascii="Aptos" w:hAnsi="Aptos"/>
          <w:sz w:val="22"/>
        </w:rPr>
        <w:t xml:space="preserve"> prose with a framed-rod strain vector and constitutive energy. Test whether recursive coiling is a solution, imposed ansatz, or coordinate description. Use </w:t>
      </w:r>
      <w:r>
        <w:rPr>
          <w:rFonts w:ascii="Consolas" w:hAnsi="Consolas"/>
          <w:color w:val="484848"/>
          <w:sz w:val="21"/>
        </w:rPr>
        <w:t>Lk = Tw + Wr</w:t>
      </w:r>
      <w:r>
        <w:rPr>
          <w:rFonts w:ascii="Aptos" w:hAnsi="Aptos"/>
          <w:sz w:val="22"/>
        </w:rPr>
        <w:t xml:space="preserve"> only for geometries satisfying its hypotheses.</w:t>
      </w:r>
    </w:p>
    <w:p>
      <w:r>
        <w:rPr>
          <w:rFonts w:ascii="Aptos" w:hAnsi="Aptos"/>
          <w:sz w:val="22"/>
        </w:rPr>
        <w:t xml:space="preserve">Sources: M. R. Dennis and J. H. Hannay, “Geometry of Călugăreanu’s theorem” (2005), </w:t>
      </w:r>
      <w:hyperlink r:id="rId11">
        <w:r>
          <w:rPr>
            <w:color w:val="2E74B5"/>
            <w:u w:val="single"/>
          </w:rPr>
          <w:t>https://arxiv.org/abs/math-ph/0503012</w:t>
        </w:r>
      </w:hyperlink>
      <w:r>
        <w:rPr>
          <w:rFonts w:ascii="Aptos" w:hAnsi="Aptos"/>
          <w:sz w:val="22"/>
        </w:rPr>
        <w:t xml:space="preserve"> ; M. Gazzola et al., “Forward and inverse problems in the mechanics of soft filaments” (2018), </w:t>
      </w:r>
      <w:hyperlink r:id="rId12">
        <w:r>
          <w:rPr>
            <w:color w:val="2E74B5"/>
            <w:u w:val="single"/>
          </w:rPr>
          <w:t>https://www.cosseratrods.org/publications/pubs/2018_RSOS.pdf</w:t>
        </w:r>
      </w:hyperlink>
    </w:p>
    <w:p>
      <w:pPr>
        <w:pStyle w:val="Heading2"/>
      </w:pPr>
      <w:r>
        <w:t>C. Dirac, Clifford algebra, and helical internal motion</w:t>
      </w:r>
    </w:p>
    <w:p>
      <w:r>
        <w:rPr>
          <w:rFonts w:ascii="Aptos" w:hAnsi="Aptos"/>
          <w:b/>
          <w:sz w:val="22"/>
        </w:rPr>
        <w:t>SAT/H(s)H path.</w:t>
      </w:r>
      <w:r>
        <w:rPr>
          <w:rFonts w:ascii="Aptos" w:hAnsi="Aptos"/>
          <w:sz w:val="22"/>
        </w:rPr>
        <w:t xml:space="preserve"> Helical motion began as literal geometric intuition. Clifford/Dirac methods were added explicitly to the mathematical toolbox in July 2026 to encode rotations, spinors, chirality, and relativistic readout without treating visual helicity as sufficient.</w:t>
      </w:r>
    </w:p>
    <w:p>
      <w:r>
        <w:rPr>
          <w:rFonts w:ascii="Aptos" w:hAnsi="Aptos"/>
          <w:b/>
          <w:sz w:val="22"/>
        </w:rPr>
        <w:t>External line.</w:t>
      </w:r>
      <w:r>
        <w:rPr>
          <w:rFonts w:ascii="Aptos" w:hAnsi="Aptos"/>
          <w:sz w:val="22"/>
        </w:rPr>
        <w:t xml:space="preserve"> Dirac’s 1928 equation and Schrödinger’s 1930 zitterbewegung analysis long predate SAT. Barut and Zanghi (1984) supplied a covariant symplectic classical model whose quantization yields the Dirac theory and in which spin is orbital angular momentum of real internal motion. Hestenes developed spacetime algebra and a lightlike helical electron model with charge circulation.</w:t>
      </w:r>
    </w:p>
    <w:p>
      <w:r>
        <w:rPr>
          <w:rFonts w:ascii="Aptos" w:hAnsi="Aptos"/>
          <w:b/>
          <w:sz w:val="22"/>
        </w:rPr>
        <w:t>Relation: EXTERNAL PRECEDENCE, WITH POSSIBLE INDEPENDENT VISUAL CONVERGENCE.</w:t>
      </w:r>
      <w:r>
        <w:rPr>
          <w:rFonts w:ascii="Aptos" w:hAnsi="Aptos"/>
          <w:sz w:val="22"/>
        </w:rPr>
        <w:t xml:space="preserve"> A helical particle history is not novel at field level. The archive may document independent arrival at a related image, but priority would require dated sketches showing the specific kinematics. More importantly, the external models impose exact Clifford and symplectic structures that H(s)H has not yet recovered.</w:t>
      </w:r>
    </w:p>
    <w:p>
      <w:r>
        <w:rPr>
          <w:rFonts w:ascii="Aptos" w:hAnsi="Aptos"/>
          <w:b/>
          <w:sz w:val="22"/>
        </w:rPr>
        <w:t>Research use.</w:t>
      </w:r>
      <w:r>
        <w:rPr>
          <w:rFonts w:ascii="Aptos" w:hAnsi="Aptos"/>
          <w:sz w:val="22"/>
        </w:rPr>
        <w:t xml:space="preserve"> Derive a local Clifford frame from the worldtube’s material frame; specify which bivector generates each rotation; test the Dirac limit before assigning spin, magnetic moment, or fermionic statistics.</w:t>
      </w:r>
    </w:p>
    <w:p>
      <w:r>
        <w:rPr>
          <w:rFonts w:ascii="Aptos" w:hAnsi="Aptos"/>
          <w:sz w:val="22"/>
        </w:rPr>
        <w:t xml:space="preserve">Sources: A. O. Barut and N. Zanghi, “Classical Model of the Dirac Electron” (1984), </w:t>
      </w:r>
      <w:hyperlink r:id="rId13">
        <w:r>
          <w:rPr>
            <w:color w:val="2E74B5"/>
            <w:u w:val="single"/>
          </w:rPr>
          <w:t>https://doi.org/10.1103/PhysRevLett.52.2009</w:t>
        </w:r>
      </w:hyperlink>
      <w:r>
        <w:rPr>
          <w:rFonts w:ascii="Aptos" w:hAnsi="Aptos"/>
          <w:sz w:val="22"/>
        </w:rPr>
        <w:t xml:space="preserve"> ; D. Hestenes, “Zitterbewegung in Quantum Mechanics” (2010), </w:t>
      </w:r>
      <w:hyperlink r:id="rId14">
        <w:r>
          <w:rPr>
            <w:color w:val="2E74B5"/>
            <w:u w:val="single"/>
          </w:rPr>
          <w:t>https://doi.org/10.1007/s10701-009-9360-3</w:t>
        </w:r>
      </w:hyperlink>
    </w:p>
    <w:p>
      <w:pPr>
        <w:pStyle w:val="Heading2"/>
      </w:pPr>
      <w:r>
        <w:t>D. Euclidean substrate, Lorentzian readout, and signature change</w:t>
      </w:r>
    </w:p>
    <w:p>
      <w:r>
        <w:rPr>
          <w:rFonts w:ascii="Aptos" w:hAnsi="Aptos"/>
          <w:b/>
          <w:sz w:val="22"/>
        </w:rPr>
        <w:t>SAT/H(s)H path.</w:t>
      </w:r>
      <w:r>
        <w:rPr>
          <w:rFonts w:ascii="Aptos" w:hAnsi="Aptos"/>
          <w:sz w:val="22"/>
        </w:rPr>
        <w:t xml:space="preserve"> Older SAT often mixed Euclidean 4D rotation with inherited Lorentzian formulae. The 2026 “Minkowskian infection” dispute made that conflict explicit. The current metric-induction pass instead treats positive-definite </w:t>
      </w:r>
      <w:r>
        <w:rPr>
          <w:rFonts w:ascii="Consolas" w:hAnsi="Consolas"/>
          <w:color w:val="484848"/>
          <w:sz w:val="21"/>
        </w:rPr>
        <w:t>delta</w:t>
      </w:r>
      <w:r>
        <w:rPr>
          <w:rFonts w:ascii="Aptos" w:hAnsi="Aptos"/>
          <w:sz w:val="22"/>
        </w:rPr>
        <w:t xml:space="preserve">, preferred flow </w:t>
      </w:r>
      <w:r>
        <w:rPr>
          <w:rFonts w:ascii="Consolas" w:hAnsi="Consolas"/>
          <w:color w:val="484848"/>
          <w:sz w:val="21"/>
        </w:rPr>
        <w:t>u</w:t>
      </w:r>
      <w:r>
        <w:rPr>
          <w:rFonts w:ascii="Aptos" w:hAnsi="Aptos"/>
          <w:sz w:val="22"/>
        </w:rPr>
        <w:t xml:space="preserve">, and Lorentzian </w:t>
      </w:r>
      <w:r>
        <w:rPr>
          <w:rFonts w:ascii="Consolas" w:hAnsi="Consolas"/>
          <w:color w:val="484848"/>
          <w:sz w:val="21"/>
        </w:rPr>
        <w:t>g</w:t>
      </w:r>
      <w:r>
        <w:rPr>
          <w:rFonts w:ascii="Aptos" w:hAnsi="Aptos"/>
          <w:sz w:val="22"/>
        </w:rPr>
        <w:t xml:space="preserve"> as separate layers.</w:t>
      </w:r>
    </w:p>
    <w:p>
      <w:r>
        <w:rPr>
          <w:rFonts w:ascii="Aptos" w:hAnsi="Aptos"/>
          <w:b/>
          <w:sz w:val="22"/>
        </w:rPr>
        <w:t>External line.</w:t>
      </w:r>
      <w:r>
        <w:rPr>
          <w:rFonts w:ascii="Aptos" w:hAnsi="Aptos"/>
          <w:sz w:val="22"/>
        </w:rPr>
        <w:t xml:space="preserve"> Greensite (1992/93) treated signature as dynamical through a Wick-angle field. Mukohyama and Uzan (2013) built classical fields on a positive-definite microscopic metric whose excitations propagate according to an effective Lorentzian metric; they also showed that adding gravity does not simply yield GR and identified stability and equivalence-principle constraints. Signature-changing hypersurfaces form a separate literature in which degeneracy and junction conditions are central.</w:t>
      </w:r>
    </w:p>
    <w:p>
      <w:r>
        <w:rPr>
          <w:rFonts w:ascii="Aptos" w:hAnsi="Aptos"/>
          <w:b/>
          <w:sz w:val="22"/>
        </w:rPr>
        <w:t>Relation: CLEAR EXTERNAL PRECEDENCE; CLOSE STRUCTURAL PARALLEL.</w:t>
      </w:r>
      <w:r>
        <w:rPr>
          <w:rFonts w:ascii="Aptos" w:hAnsi="Aptos"/>
          <w:sz w:val="22"/>
        </w:rPr>
        <w:t xml:space="preserve"> Positive-definite-to-effective-Lorentzian architecture predates SAT by decades. The H(s)H dyadic formula may still be a useful particular construction, but its novelty would lie in derivation from the worldtube/resolution geometry, not in the general idea.</w:t>
      </w:r>
    </w:p>
    <w:p>
      <w:r>
        <w:rPr>
          <w:rFonts w:ascii="Aptos" w:hAnsi="Aptos"/>
          <w:b/>
          <w:sz w:val="22"/>
        </w:rPr>
        <w:t>Research use.</w:t>
      </w:r>
      <w:r>
        <w:rPr>
          <w:rFonts w:ascii="Aptos" w:hAnsi="Aptos"/>
          <w:sz w:val="22"/>
        </w:rPr>
        <w:t xml:space="preserve"> Compare </w:t>
      </w:r>
      <w:r>
        <w:rPr>
          <w:rFonts w:ascii="Consolas" w:hAnsi="Consolas"/>
          <w:color w:val="484848"/>
          <w:sz w:val="21"/>
        </w:rPr>
        <w:t>g = delta - 2 u⊗u</w:t>
      </w:r>
      <w:r>
        <w:rPr>
          <w:rFonts w:ascii="Aptos" w:hAnsi="Aptos"/>
          <w:sz w:val="22"/>
        </w:rPr>
        <w:t xml:space="preserve"> with disformal metrics and emergent-time models. Derive inverse metric, determinant, causal cones, connection, and matter principal symbol. Decide whether H(s)H proposes an everywhere-effective Lorentzian metric or an actual signature-changing hypersurface; these are not interchangeable.</w:t>
      </w:r>
    </w:p>
    <w:p>
      <w:r>
        <w:rPr>
          <w:rFonts w:ascii="Aptos" w:hAnsi="Aptos"/>
          <w:sz w:val="22"/>
        </w:rPr>
        <w:t xml:space="preserve">Sources: J. Greensite, “Dynamical Origin of the Lorentzian Signature of Spacetime” (1992/93), </w:t>
      </w:r>
      <w:hyperlink r:id="rId15">
        <w:r>
          <w:rPr>
            <w:color w:val="2E74B5"/>
            <w:u w:val="single"/>
          </w:rPr>
          <w:t>https://arxiv.org/abs/gr-qc/9210008</w:t>
        </w:r>
      </w:hyperlink>
      <w:r>
        <w:rPr>
          <w:rFonts w:ascii="Aptos" w:hAnsi="Aptos"/>
          <w:sz w:val="22"/>
        </w:rPr>
        <w:t xml:space="preserve"> ; S. Mukohyama and J.-P. Uzan, “From configuration to dynamics” (2013), </w:t>
      </w:r>
      <w:hyperlink r:id="rId16">
        <w:r>
          <w:rPr>
            <w:color w:val="2E74B5"/>
            <w:u w:val="single"/>
          </w:rPr>
          <w:t>https://arxiv.org/abs/1301.1361</w:t>
        </w:r>
      </w:hyperlink>
    </w:p>
    <w:p>
      <w:pPr>
        <w:pStyle w:val="Heading2"/>
      </w:pPr>
      <w:r>
        <w:t>E. Preferred flow, foliation, and emergent metric</w:t>
      </w:r>
    </w:p>
    <w:p>
      <w:r>
        <w:rPr>
          <w:rFonts w:ascii="Aptos" w:hAnsi="Aptos"/>
          <w:b/>
          <w:sz w:val="22"/>
        </w:rPr>
        <w:t>SAT/H(s)H path.</w:t>
      </w:r>
      <w:r>
        <w:rPr>
          <w:rFonts w:ascii="Aptos" w:hAnsi="Aptos"/>
          <w:sz w:val="22"/>
        </w:rPr>
        <w:t xml:space="preserve"> A time-flow/radial unit vector appears in 2025 SAT and becomes a preferred flow in the 2026 metric scaffold. The resolving structure is supposed to mediate between whole history and local observable.</w:t>
      </w:r>
    </w:p>
    <w:p>
      <w:r>
        <w:rPr>
          <w:rFonts w:ascii="Aptos" w:hAnsi="Aptos"/>
          <w:b/>
          <w:sz w:val="22"/>
        </w:rPr>
        <w:t>External line.</w:t>
      </w:r>
      <w:r>
        <w:rPr>
          <w:rFonts w:ascii="Aptos" w:hAnsi="Aptos"/>
          <w:sz w:val="22"/>
        </w:rPr>
        <w:t xml:space="preserve"> Gordon’s optical metric, analogue gravity, Einstein-æther theory, Hořava-type foliations, and disformal transformations all construct effective causal structure using a medium velocity, preferred timelike vector, or scalar gradient.</w:t>
      </w:r>
    </w:p>
    <w:p>
      <w:r>
        <w:rPr>
          <w:rFonts w:ascii="Aptos" w:hAnsi="Aptos"/>
          <w:b/>
          <w:sz w:val="22"/>
        </w:rPr>
        <w:t>Relation: EXTERNAL PRECEDENCE; ROLE STILL UNRESOLVED.</w:t>
      </w:r>
      <w:r>
        <w:rPr>
          <w:rFonts w:ascii="Aptos" w:hAnsi="Aptos"/>
          <w:sz w:val="22"/>
        </w:rPr>
        <w:t xml:space="preserve"> A preferred vector is familiar mathematics. H(s)H’s potentially distinctive question is whether the same object is generator, material flow, foliation normal, observer congruence, and readout selector. If it is, equivalence must be derived; if not, the variables must be split.</w:t>
      </w:r>
    </w:p>
    <w:p>
      <w:r>
        <w:rPr>
          <w:rFonts w:ascii="Aptos" w:hAnsi="Aptos"/>
          <w:b/>
          <w:sz w:val="22"/>
        </w:rPr>
        <w:t>Research use.</w:t>
      </w:r>
      <w:r>
        <w:rPr>
          <w:rFonts w:ascii="Aptos" w:hAnsi="Aptos"/>
          <w:sz w:val="22"/>
        </w:rPr>
        <w:t xml:space="preserve"> Audit every occurrence of </w:t>
      </w:r>
      <w:r>
        <w:rPr>
          <w:rFonts w:ascii="Consolas" w:hAnsi="Consolas"/>
          <w:color w:val="484848"/>
          <w:sz w:val="21"/>
        </w:rPr>
        <w:t>u</w:t>
      </w:r>
      <w:r>
        <w:rPr>
          <w:rFonts w:ascii="Aptos" w:hAnsi="Aptos"/>
          <w:sz w:val="22"/>
        </w:rPr>
        <w:t>: domain, normalization metric, dynamical or prescribed status, and coupling. Compare mode speeds and constraint structure with Einstein-æther rather than claiming a generic GR limit.</w:t>
      </w:r>
    </w:p>
    <w:p>
      <w:pPr>
        <w:pStyle w:val="Heading2"/>
      </w:pPr>
      <w:r>
        <w:t>F. Topological particles, knots, and braids</w:t>
      </w:r>
    </w:p>
    <w:p>
      <w:r>
        <w:rPr>
          <w:rFonts w:ascii="Aptos" w:hAnsi="Aptos"/>
          <w:b/>
          <w:sz w:val="22"/>
        </w:rPr>
        <w:t>SAT/H(s)H path.</w:t>
      </w:r>
      <w:r>
        <w:rPr>
          <w:rFonts w:ascii="Aptos" w:hAnsi="Aptos"/>
          <w:sz w:val="22"/>
        </w:rPr>
        <w:t xml:space="preserve"> Interweaving and three-filament binding were present in the pre-AI recollection and became explicit braid/gauge language by 2025. H(s)H retained Interbraid but retired the rule that no stable braid could exceed three strands.</w:t>
      </w:r>
    </w:p>
    <w:p>
      <w:r>
        <w:rPr>
          <w:rFonts w:ascii="Aptos" w:hAnsi="Aptos"/>
          <w:b/>
          <w:sz w:val="22"/>
        </w:rPr>
        <w:t>External line.</w:t>
      </w:r>
      <w:r>
        <w:rPr>
          <w:rFonts w:ascii="Aptos" w:hAnsi="Aptos"/>
          <w:sz w:val="22"/>
        </w:rPr>
        <w:t xml:space="preserve"> Skyrmions and Faddeev–Niemi hopfions model particle-like field configurations by topological charge. Bilson-Thompson’s 2005 helon model maps first-generation particle labels to framed three-strand braids, with twists and braid structure related to charge and chirality. A 2025 representation-theory analysis clarifies that this construction captures only the </w:t>
      </w:r>
      <w:r>
        <w:rPr>
          <w:rFonts w:ascii="Consolas" w:hAnsi="Consolas"/>
          <w:color w:val="484848"/>
          <w:sz w:val="21"/>
        </w:rPr>
        <w:t>SU(3)c × U(1)em</w:t>
      </w:r>
      <w:r>
        <w:rPr>
          <w:rFonts w:ascii="Aptos" w:hAnsi="Aptos"/>
          <w:sz w:val="22"/>
        </w:rPr>
        <w:t xml:space="preserve"> sector rather than the full Standard Model.</w:t>
      </w:r>
    </w:p>
    <w:p>
      <w:r>
        <w:rPr>
          <w:rFonts w:ascii="Aptos" w:hAnsi="Aptos"/>
          <w:b/>
          <w:sz w:val="22"/>
        </w:rPr>
        <w:t>Relation: STRONG EXTERNAL PRECEDENCE; PARTLY INDEPENDENT SYNTHESIS PLAUSIBLE.</w:t>
      </w:r>
      <w:r>
        <w:rPr>
          <w:rFonts w:ascii="Aptos" w:hAnsi="Aptos"/>
          <w:sz w:val="22"/>
        </w:rPr>
        <w:t xml:space="preserve"> Braided matter and topological charge predate SAT. SAT/H(s)H’s literal finite-core, recursively coiled worldtube mechanics is not identical to braid labels in a network. The 2026 rejection of an axiomatic three-strand ceiling actually moves H(s)H away from the helon model.</w:t>
      </w:r>
    </w:p>
    <w:p>
      <w:r>
        <w:rPr>
          <w:rFonts w:ascii="Aptos" w:hAnsi="Aptos"/>
          <w:b/>
          <w:sz w:val="22"/>
        </w:rPr>
        <w:t>Research use.</w:t>
      </w:r>
      <w:r>
        <w:rPr>
          <w:rFonts w:ascii="Aptos" w:hAnsi="Aptos"/>
          <w:sz w:val="22"/>
        </w:rPr>
        <w:t xml:space="preserve"> Separate braid group element, framed-link invariant, formation path, mechanical energy, and particle readout. Test whether Interbraid predicts dynamics or merely classifies diagrams.</w:t>
      </w:r>
    </w:p>
    <w:p>
      <w:r>
        <w:rPr>
          <w:rFonts w:ascii="Aptos" w:hAnsi="Aptos"/>
          <w:sz w:val="22"/>
        </w:rPr>
        <w:t xml:space="preserve">Sources: S. O. Bilson-Thompson, “A topological model of composite preons” (2005), </w:t>
      </w:r>
      <w:hyperlink r:id="rId17">
        <w:r>
          <w:rPr>
            <w:color w:val="2E74B5"/>
            <w:u w:val="single"/>
          </w:rPr>
          <w:t>https://arxiv.org/abs/hep-ph/0503213</w:t>
        </w:r>
      </w:hyperlink>
      <w:r>
        <w:rPr>
          <w:rFonts w:ascii="Aptos" w:hAnsi="Aptos"/>
          <w:sz w:val="22"/>
        </w:rPr>
        <w:t xml:space="preserve"> ; D. Chester, X. D. Arsiwalla, and L. H. Kauffman, “Preons, Braid Topology, and Representations of Fundamental Particles” (2025), </w:t>
      </w:r>
      <w:hyperlink r:id="rId18">
        <w:r>
          <w:rPr>
            <w:color w:val="2E74B5"/>
            <w:u w:val="single"/>
          </w:rPr>
          <w:t>https://arxiv.org/abs/2501.03260</w:t>
        </w:r>
      </w:hyperlink>
    </w:p>
    <w:p>
      <w:pPr>
        <w:pStyle w:val="Heading2"/>
      </w:pPr>
      <w:r>
        <w:t>G. Anyons and braid statistics</w:t>
      </w:r>
    </w:p>
    <w:p>
      <w:r>
        <w:rPr>
          <w:rFonts w:ascii="Aptos" w:hAnsi="Aptos"/>
          <w:b/>
          <w:sz w:val="22"/>
        </w:rPr>
        <w:t>SAT/H(s)H path.</w:t>
      </w:r>
      <w:r>
        <w:rPr>
          <w:rFonts w:ascii="Aptos" w:hAnsi="Aptos"/>
          <w:sz w:val="22"/>
        </w:rPr>
        <w:t xml:space="preserve"> Anyons and modular tensor categories entered the 2026 toolbox as possible machinery for interaction and closure. They are not frozen claims about H(s)H particles.</w:t>
      </w:r>
    </w:p>
    <w:p>
      <w:r>
        <w:rPr>
          <w:rFonts w:ascii="Aptos" w:hAnsi="Aptos"/>
          <w:b/>
          <w:sz w:val="22"/>
        </w:rPr>
        <w:t>External line.</w:t>
      </w:r>
      <w:r>
        <w:rPr>
          <w:rFonts w:ascii="Aptos" w:hAnsi="Aptos"/>
          <w:sz w:val="22"/>
        </w:rPr>
        <w:t xml:space="preserve"> Leinaas–Myrheim and Wilczek established that configuration-space topology in two spatial dimensions permits statistics interpolating between bosonic and fermionic cases. Modern anyon theory is intrinsically tied to low-dimensional topology and topological phases.</w:t>
      </w:r>
    </w:p>
    <w:p>
      <w:r>
        <w:rPr>
          <w:rFonts w:ascii="Aptos" w:hAnsi="Aptos"/>
          <w:b/>
          <w:sz w:val="22"/>
        </w:rPr>
        <w:t>Relation: EXTERNAL PRECEDENCE; IMPORTANT DIMENSIONAL MISMATCH.</w:t>
      </w:r>
      <w:r>
        <w:rPr>
          <w:rFonts w:ascii="Aptos" w:hAnsi="Aptos"/>
          <w:sz w:val="22"/>
        </w:rPr>
        <w:t xml:space="preserve"> A braid picture in 3D or a worldtube braid in 3+1 dimensions does not automatically inherit anyonic statistics. The relevant configuration spaces and exchange groups differ.</w:t>
      </w:r>
    </w:p>
    <w:p>
      <w:r>
        <w:rPr>
          <w:rFonts w:ascii="Aptos" w:hAnsi="Aptos"/>
          <w:b/>
          <w:sz w:val="22"/>
        </w:rPr>
        <w:t>Research use.</w:t>
      </w:r>
      <w:r>
        <w:rPr>
          <w:rFonts w:ascii="Aptos" w:hAnsi="Aptos"/>
          <w:sz w:val="22"/>
        </w:rPr>
        <w:t xml:space="preserve"> State the dimension of the configuration space and whether braiding is spatial exchange, history linking, or internal framing. Use modular tensor categories only if the fusion and braiding data are actually defined.</w:t>
      </w:r>
    </w:p>
    <w:p>
      <w:r>
        <w:rPr>
          <w:rFonts w:ascii="Aptos" w:hAnsi="Aptos"/>
          <w:sz w:val="22"/>
        </w:rPr>
        <w:t xml:space="preserve">Source: F. Wilczek, “Quantum Mechanics of Fractional-Spin Particles” (1982), </w:t>
      </w:r>
      <w:hyperlink r:id="rId19">
        <w:r>
          <w:rPr>
            <w:color w:val="2E74B5"/>
            <w:u w:val="single"/>
          </w:rPr>
          <w:t>https://doi.org/10.1103/PhysRevLett.49.957</w:t>
        </w:r>
      </w:hyperlink>
    </w:p>
    <w:p>
      <w:pPr>
        <w:pStyle w:val="Heading2"/>
      </w:pPr>
      <w:r>
        <w:t>H. Variational bending actions and higher derivatives</w:t>
      </w:r>
    </w:p>
    <w:p>
      <w:r>
        <w:rPr>
          <w:rFonts w:ascii="Aptos" w:hAnsi="Aptos"/>
          <w:b/>
          <w:sz w:val="22"/>
        </w:rPr>
        <w:t>SAT/H(s)H path.</w:t>
      </w:r>
      <w:r>
        <w:rPr>
          <w:rFonts w:ascii="Aptos" w:hAnsi="Aptos"/>
          <w:sz w:val="22"/>
        </w:rPr>
        <w:t xml:space="preserve"> A fourth-order Euler–Lagrange equation arose from curvature/bending penalties in the H(s)H transition documents. Jerk-like penalties and recursive levels were added as possible regularizers and material/kinematic bookkeeping.</w:t>
      </w:r>
    </w:p>
    <w:p>
      <w:r>
        <w:rPr>
          <w:rFonts w:ascii="Aptos" w:hAnsi="Aptos"/>
          <w:b/>
          <w:sz w:val="22"/>
        </w:rPr>
        <w:t>External line.</w:t>
      </w:r>
      <w:r>
        <w:rPr>
          <w:rFonts w:ascii="Aptos" w:hAnsi="Aptos"/>
          <w:sz w:val="22"/>
        </w:rPr>
        <w:t xml:space="preserve"> Euler elastica, rigid-particle actions, curvature-dependent strings, and rod mechanics all yield higher-order equations. Higher derivatives may encode finite stiffness, but they can also add unstable degrees of freedom unless the variational variables and constraints are controlled.</w:t>
      </w:r>
    </w:p>
    <w:p>
      <w:r>
        <w:rPr>
          <w:rFonts w:ascii="Aptos" w:hAnsi="Aptos"/>
          <w:b/>
          <w:sz w:val="22"/>
        </w:rPr>
        <w:t>Relation: EXTERNAL PRECEDENCE; CURRENT FORMULATION ACTIVE.</w:t>
      </w:r>
      <w:r>
        <w:rPr>
          <w:rFonts w:ascii="Aptos" w:hAnsi="Aptos"/>
          <w:sz w:val="22"/>
        </w:rPr>
        <w:t xml:space="preserve"> Fourth order follows mechanically from an action depending on second derivatives; it is not by itself a distinctive prediction or stability guarantee.</w:t>
      </w:r>
    </w:p>
    <w:p>
      <w:r>
        <w:rPr>
          <w:rFonts w:ascii="Aptos" w:hAnsi="Aptos"/>
          <w:b/>
          <w:sz w:val="22"/>
        </w:rPr>
        <w:t>Research use.</w:t>
      </w:r>
      <w:r>
        <w:rPr>
          <w:rFonts w:ascii="Aptos" w:hAnsi="Aptos"/>
          <w:sz w:val="22"/>
        </w:rPr>
        <w:t xml:space="preserve"> Declare parametrization invariance, boundary data, constraints, and constitutive coefficients. Perform an Ostrogradsky/constraint audit only after deciding whether the action is fundamental, effective, or a static energy.</w:t>
      </w:r>
    </w:p>
    <w:p>
      <w:pPr>
        <w:pStyle w:val="Heading2"/>
      </w:pPr>
      <w:r>
        <w:t>I. Projection, coarse-graining, and the resolving map</w:t>
      </w:r>
    </w:p>
    <w:p>
      <w:r>
        <w:rPr>
          <w:rFonts w:ascii="Aptos" w:hAnsi="Aptos"/>
          <w:b/>
          <w:sz w:val="22"/>
        </w:rPr>
        <w:t>SAT/H(s)H path.</w:t>
      </w:r>
      <w:r>
        <w:rPr>
          <w:rFonts w:ascii="Aptos" w:hAnsi="Aptos"/>
          <w:sz w:val="22"/>
        </w:rPr>
        <w:t xml:space="preserve"> The timesheet/resolving surface is among the oldest persistent ideas. It has evolved into a general readout map </w:t>
      </w:r>
      <w:r>
        <w:rPr>
          <w:rFonts w:ascii="Consolas" w:hAnsi="Consolas"/>
          <w:color w:val="484848"/>
          <w:sz w:val="21"/>
        </w:rPr>
        <w:t>R_Sigma</w:t>
      </w:r>
      <w:r>
        <w:rPr>
          <w:rFonts w:ascii="Aptos" w:hAnsi="Aptos"/>
          <w:sz w:val="22"/>
        </w:rPr>
        <w:t>. Some transition documents proposed the Batalin–Vilkovisky (BV) push-forward as the projection engine.</w:t>
      </w:r>
    </w:p>
    <w:p>
      <w:r>
        <w:rPr>
          <w:rFonts w:ascii="Aptos" w:hAnsi="Aptos"/>
          <w:b/>
          <w:sz w:val="22"/>
        </w:rPr>
        <w:t>External line.</w:t>
      </w:r>
      <w:r>
        <w:rPr>
          <w:rFonts w:ascii="Aptos" w:hAnsi="Aptos"/>
          <w:sz w:val="22"/>
        </w:rPr>
        <w:t xml:space="preserve"> Projection operators, effective field theory, renormalization, symplectic reduction, fiber integration, tomography, and measurement maps are all established but inequivalent operations. BV formalism is specifically a framework for gauge systems, ghosts, and integration over fields; it is not a generic synonym for projecting a 4D object into a 3D observation.</w:t>
      </w:r>
    </w:p>
    <w:p>
      <w:r>
        <w:rPr>
          <w:rFonts w:ascii="Aptos" w:hAnsi="Aptos"/>
          <w:b/>
          <w:sz w:val="22"/>
        </w:rPr>
        <w:t>Relation: SAT/H(s)H-SPECIFIC ARCHITECTURAL EMPHASIS; BV IDENTIFICATION UNESTABLISHED.</w:t>
      </w:r>
      <w:r>
        <w:rPr>
          <w:rFonts w:ascii="Aptos" w:hAnsi="Aptos"/>
          <w:sz w:val="22"/>
        </w:rPr>
        <w:t xml:space="preserve"> The insistence on an explicit readout layer is one of the framework’s stronger organizing choices. The mathematical identity of that map remains OPEN. The finite intersection </w:t>
      </w:r>
      <w:r>
        <w:rPr>
          <w:rFonts w:ascii="Consolas" w:hAnsi="Consolas"/>
          <w:color w:val="484848"/>
          <w:sz w:val="21"/>
        </w:rPr>
        <w:t>P_t^(h) = Sigma_t^(h) ∩ N_epsilon(F)</w:t>
      </w:r>
      <w:r>
        <w:rPr>
          <w:rFonts w:ascii="Aptos" w:hAnsi="Aptos"/>
          <w:sz w:val="22"/>
        </w:rPr>
        <w:t xml:space="preserve"> is one candidate, not the general map itself.</w:t>
      </w:r>
    </w:p>
    <w:p>
      <w:r>
        <w:rPr>
          <w:rFonts w:ascii="Aptos" w:hAnsi="Aptos"/>
          <w:b/>
          <w:sz w:val="22"/>
        </w:rPr>
        <w:t>Research use.</w:t>
      </w:r>
      <w:r>
        <w:rPr>
          <w:rFonts w:ascii="Aptos" w:hAnsi="Aptos"/>
          <w:sz w:val="22"/>
        </w:rPr>
        <w:t xml:space="preserve"> Define domain, codomain, information lost, covariance, resolution scale, and composition law for </w:t>
      </w:r>
      <w:r>
        <w:rPr>
          <w:rFonts w:ascii="Consolas" w:hAnsi="Consolas"/>
          <w:color w:val="484848"/>
          <w:sz w:val="21"/>
        </w:rPr>
        <w:t>R_Sigma</w:t>
      </w:r>
      <w:r>
        <w:rPr>
          <w:rFonts w:ascii="Aptos" w:hAnsi="Aptos"/>
          <w:sz w:val="22"/>
        </w:rPr>
        <w:t>. Only then select intersection theory, integral geometry, microlocal analysis, coarse-graining, or BV machinery.</w:t>
      </w:r>
    </w:p>
    <w:p>
      <w:pPr>
        <w:pStyle w:val="Heading2"/>
      </w:pPr>
      <w:r>
        <w:t>J. Whole-history constraint and time-symmetric influence</w:t>
      </w:r>
    </w:p>
    <w:p>
      <w:r>
        <w:rPr>
          <w:rFonts w:ascii="Aptos" w:hAnsi="Aptos"/>
          <w:b/>
          <w:sz w:val="22"/>
        </w:rPr>
        <w:t>SAT/H(s)H path.</w:t>
      </w:r>
      <w:r>
        <w:rPr>
          <w:rFonts w:ascii="Aptos" w:hAnsi="Aptos"/>
          <w:sz w:val="22"/>
        </w:rPr>
        <w:t xml:space="preserve"> The seventh Fundamental Intuition says that if the four-dimensional particle history is treated as an extended structure, tension should propagate along that extension both futureward and pastward. Its proposed self-limitation comes from the stiffness and finite response of the filament and time surface. Later “backbleed,” memory, and worldtube-recording ideas elaborate this same intuition rather than introducing it.</w:t>
      </w:r>
    </w:p>
    <w:p>
      <w:r>
        <w:rPr>
          <w:rFonts w:ascii="Aptos" w:hAnsi="Aptos"/>
          <w:b/>
          <w:sz w:val="22"/>
        </w:rPr>
        <w:t>External line.</w:t>
      </w:r>
      <w:r>
        <w:rPr>
          <w:rFonts w:ascii="Aptos" w:hAnsi="Aptos"/>
          <w:sz w:val="22"/>
        </w:rPr>
        <w:t xml:space="preserve"> Time-symmetric equations are common in fundamental physics. Wheeler–Feynman absorber electrodynamics uses advanced and retarded interactions; Cramer’s transactional interpretation describes quantum events through advanced/retarded exchanges. Block-universe and global-boundary approaches also treat a history as constrained as a whole, although they differ sharply over ontology and observable retrocausation.</w:t>
      </w:r>
    </w:p>
    <w:p>
      <w:r>
        <w:rPr>
          <w:rFonts w:ascii="Aptos" w:hAnsi="Aptos"/>
          <w:b/>
          <w:sz w:val="22"/>
        </w:rPr>
        <w:t>Relation: EARLY SAT INTUITION WITH STRONG EXTERNAL PRECEDENCE; INDEPENDENT CONVERGENCE PLAUSIBLE.</w:t>
      </w:r>
      <w:r>
        <w:rPr>
          <w:rFonts w:ascii="Aptos" w:hAnsi="Aptos"/>
          <w:sz w:val="22"/>
        </w:rPr>
        <w:t xml:space="preserve"> The shared motif is bidirectional or whole-history constraint. SAT’s mechanical tension-along-a-filament picture is not equivalent to an advanced Green function, transactional interpretation, or all-at-once variational boundary problem.</w:t>
      </w:r>
    </w:p>
    <w:p>
      <w:r>
        <w:rPr>
          <w:rFonts w:ascii="Aptos" w:hAnsi="Aptos"/>
          <w:b/>
          <w:sz w:val="22"/>
        </w:rPr>
        <w:t>Research use.</w:t>
      </w:r>
      <w:r>
        <w:rPr>
          <w:rFonts w:ascii="Aptos" w:hAnsi="Aptos"/>
          <w:sz w:val="22"/>
        </w:rPr>
        <w:t xml:space="preserve"> Translate “backbleed” into one of several distinguishable mathematical possibilities: advanced response kernel, two-boundary variational constraint, nonlocal worldline action, or ordinary elastic memory represented in 4D. These alternatives make different causal and experimental commitments.</w:t>
      </w:r>
    </w:p>
    <w:p>
      <w:r>
        <w:rPr>
          <w:rFonts w:ascii="Aptos" w:hAnsi="Aptos"/>
          <w:sz w:val="22"/>
        </w:rPr>
        <w:t xml:space="preserve">Sources: J. A. Wheeler and R. P. Feynman, “Interaction with the Absorber as the Mechanism of Radiation” (1945), </w:t>
      </w:r>
      <w:hyperlink r:id="rId20">
        <w:r>
          <w:rPr>
            <w:color w:val="2E74B5"/>
            <w:u w:val="single"/>
          </w:rPr>
          <w:t>https://doi.org/10.1103/RevModPhys.17.157</w:t>
        </w:r>
      </w:hyperlink>
      <w:r>
        <w:rPr>
          <w:rFonts w:ascii="Aptos" w:hAnsi="Aptos"/>
          <w:sz w:val="22"/>
        </w:rPr>
        <w:t xml:space="preserve"> ; J. G. Cramer, “The transactional interpretation of quantum mechanics” (1986), </w:t>
      </w:r>
      <w:hyperlink r:id="rId21">
        <w:r>
          <w:rPr>
            <w:color w:val="2E74B5"/>
            <w:u w:val="single"/>
          </w:rPr>
          <w:t>https://doi.org/10.1103/RevModPhys.58.647</w:t>
        </w:r>
      </w:hyperlink>
    </w:p>
    <w:p>
      <w:pPr>
        <w:pStyle w:val="Heading2"/>
      </w:pPr>
      <w:r>
        <w:t>K. Pulsar glitches: thresholds, vortices, and avalanches</w:t>
      </w:r>
    </w:p>
    <w:p>
      <w:r>
        <w:rPr>
          <w:rFonts w:ascii="Aptos" w:hAnsi="Aptos"/>
          <w:b/>
          <w:sz w:val="22"/>
        </w:rPr>
        <w:t>SAT/H(s)H path.</w:t>
      </w:r>
      <w:r>
        <w:rPr>
          <w:rFonts w:ascii="Aptos" w:hAnsi="Aptos"/>
          <w:sz w:val="22"/>
        </w:rPr>
        <w:t xml:space="preserve"> Pulsar glitches became an explicit target by 2025 and a major numerical application in early 2026. The proposed picture uses collective worldtube reconfiguration, holonomy reseating, and an angle/velocity threshold.</w:t>
      </w:r>
    </w:p>
    <w:p>
      <w:r>
        <w:rPr>
          <w:rFonts w:ascii="Aptos" w:hAnsi="Aptos"/>
          <w:b/>
          <w:sz w:val="22"/>
        </w:rPr>
        <w:t>External line.</w:t>
      </w:r>
      <w:r>
        <w:rPr>
          <w:rFonts w:ascii="Aptos" w:hAnsi="Aptos"/>
          <w:sz w:val="22"/>
        </w:rPr>
        <w:t xml:space="preserve"> Starquake ideas date to 1969; Anderson and Itoh’s 1975 pinned-superfluid-vortex model made catastrophic vortex release central. Later work added entrainment constraints, vortex avalanches, crust/core coupling, and quantum vortex-network simulations. Marmorini and collaborators (2024) show that network dynamics can produce glitch-like events and broad statistics.</w:t>
      </w:r>
    </w:p>
    <w:p>
      <w:r>
        <w:rPr>
          <w:rFonts w:ascii="Aptos" w:hAnsi="Aptos"/>
          <w:b/>
          <w:sz w:val="22"/>
        </w:rPr>
        <w:t>Relation: EXTERNAL PRECEDENCE FOR VORTEX/THRESHOLD/AVALANCHE MECHANISMS; H(s)H NUMERICAL INVARIANT CANDIDATE.</w:t>
      </w:r>
      <w:r>
        <w:rPr>
          <w:rFonts w:ascii="Aptos" w:hAnsi="Aptos"/>
          <w:sz w:val="22"/>
        </w:rPr>
        <w:t xml:space="preserve"> Describing a glitch as collective vortex or topology reorganization is not distinctive. A universal dimensionless H(s)H threshold could be, but only if mapped to measured variables without selecting the target after inspection.</w:t>
      </w:r>
    </w:p>
    <w:p>
      <w:r>
        <w:rPr>
          <w:rFonts w:ascii="Aptos" w:hAnsi="Aptos"/>
          <w:b/>
          <w:sz w:val="22"/>
        </w:rPr>
        <w:t>Research use.</w:t>
      </w:r>
      <w:r>
        <w:rPr>
          <w:rFonts w:ascii="Aptos" w:hAnsi="Aptos"/>
          <w:sz w:val="22"/>
        </w:rPr>
        <w:t xml:space="preserve"> Predict a distribution, scaling relation, recovery curve, or cross-pulsar invariant distinct from vortex-unpinning models. Treat the 0.246-radian recurrence as quarantined from inference until the angle’s role and observational estimator are fixed.</w:t>
      </w:r>
    </w:p>
    <w:p>
      <w:r>
        <w:rPr>
          <w:rFonts w:ascii="Aptos" w:hAnsi="Aptos"/>
          <w:sz w:val="22"/>
        </w:rPr>
        <w:t xml:space="preserve">Sources: P. W. Anderson and N. Itoh, “Pulsar glitches and restlessness as a hard superfluidity phenomenon” (1975), </w:t>
      </w:r>
      <w:hyperlink r:id="rId22">
        <w:r>
          <w:rPr>
            <w:color w:val="2E74B5"/>
            <w:u w:val="single"/>
          </w:rPr>
          <w:t>https://doi.org/10.1038/256025a0</w:t>
        </w:r>
      </w:hyperlink>
      <w:r>
        <w:rPr>
          <w:rFonts w:ascii="Aptos" w:hAnsi="Aptos"/>
          <w:sz w:val="22"/>
        </w:rPr>
        <w:t xml:space="preserve"> ; N. Andersson et al., “Pulsar Glitches: The Crust is not Enough” (2012), </w:t>
      </w:r>
      <w:hyperlink r:id="rId23">
        <w:r>
          <w:rPr>
            <w:color w:val="2E74B5"/>
            <w:u w:val="single"/>
          </w:rPr>
          <w:t>https://doi.org/10.1103/PhysRevLett.109.241103</w:t>
        </w:r>
      </w:hyperlink>
      <w:r>
        <w:rPr>
          <w:rFonts w:ascii="Aptos" w:hAnsi="Aptos"/>
          <w:sz w:val="22"/>
        </w:rPr>
        <w:t xml:space="preserve"> ; G. Marmorini et al., “Pulsar glitches from quantum vortex networks” (2024), </w:t>
      </w:r>
      <w:hyperlink r:id="rId24">
        <w:r>
          <w:rPr>
            <w:color w:val="2E74B5"/>
            <w:u w:val="single"/>
          </w:rPr>
          <w:t>https://pmc.ncbi.nlm.nih.gov/articles/PMC11322539/</w:t>
        </w:r>
      </w:hyperlink>
    </w:p>
    <w:p>
      <w:pPr>
        <w:pStyle w:val="Heading2"/>
      </w:pPr>
      <w:r>
        <w:t>L. ER bridges, horizons, exclusion, and worldtube boundaries</w:t>
      </w:r>
    </w:p>
    <w:p>
      <w:r>
        <w:rPr>
          <w:rFonts w:ascii="Aptos" w:hAnsi="Aptos"/>
          <w:b/>
          <w:sz w:val="22"/>
        </w:rPr>
        <w:t>SAT/H(s)H path.</w:t>
      </w:r>
      <w:r>
        <w:rPr>
          <w:rFonts w:ascii="Aptos" w:hAnsi="Aptos"/>
          <w:sz w:val="22"/>
        </w:rPr>
        <w:t xml:space="preserve"> During the 2026 transition, generated syntheses proposed identifying filament/worldtube structure with ER bridges and event-horizon-like boundaries, then using asymptotic infall as a mechanical account of Pauli exclusion.</w:t>
      </w:r>
    </w:p>
    <w:p>
      <w:r>
        <w:rPr>
          <w:rFonts w:ascii="Aptos" w:hAnsi="Aptos"/>
          <w:b/>
          <w:sz w:val="22"/>
        </w:rPr>
        <w:t>External line.</w:t>
      </w:r>
      <w:r>
        <w:rPr>
          <w:rFonts w:ascii="Aptos" w:hAnsi="Aptos"/>
          <w:sz w:val="22"/>
        </w:rPr>
        <w:t xml:space="preserve"> Einstein–Rosen bridges date to 1935; black-hole horizon mechanics and the ER=EPR conjecture long predate this transition. Pauli exclusion in standard theory follows from fermionic antisymmetry/spin-statistics, not coordinate-time delay at a horizon.</w:t>
      </w:r>
    </w:p>
    <w:p>
      <w:r>
        <w:rPr>
          <w:rFonts w:ascii="Aptos" w:hAnsi="Aptos"/>
          <w:b/>
          <w:sz w:val="22"/>
        </w:rPr>
        <w:t>Relation: EXTERNAL PRECEDENCE FOR THE PARTS; PROPOSED IDENTIFICATION CURRENTLY UNRECOVERED.</w:t>
      </w:r>
      <w:r>
        <w:rPr>
          <w:rFonts w:ascii="Aptos" w:hAnsi="Aptos"/>
          <w:sz w:val="22"/>
        </w:rPr>
        <w:t xml:space="preserve"> Event horizons are global causal boundaries, not generic hard surfaces. Coordinate time divergence is chart-dependent and does not prevent local crossing. Therefore the proposed exclusion mechanism is not presently a valid recovery of Pauli statistics.</w:t>
      </w:r>
    </w:p>
    <w:p>
      <w:r>
        <w:rPr>
          <w:rFonts w:ascii="Aptos" w:hAnsi="Aptos"/>
          <w:b/>
          <w:sz w:val="22"/>
        </w:rPr>
        <w:t>Research use.</w:t>
      </w:r>
      <w:r>
        <w:rPr>
          <w:rFonts w:ascii="Aptos" w:hAnsi="Aptos"/>
          <w:sz w:val="22"/>
        </w:rPr>
        <w:t xml:space="preserve"> Keep this branch CANDIDATE or QUARANTINED until a coordinate-invariant causal boundary is defined and fermionic exchange amplitudes are recovered. Do not let its narrative vividness control the worldtube model.</w:t>
      </w:r>
    </w:p>
    <w:p>
      <w:pPr>
        <w:pStyle w:val="Heading2"/>
      </w:pPr>
      <w:r>
        <w:t>M. Photon/neutrino relations and vacuum information traces</w:t>
      </w:r>
    </w:p>
    <w:p>
      <w:r>
        <w:rPr>
          <w:rFonts w:ascii="Aptos" w:hAnsi="Aptos"/>
          <w:b/>
          <w:sz w:val="22"/>
        </w:rPr>
        <w:t>SAT/H(s)H path.</w:t>
      </w:r>
      <w:r>
        <w:rPr>
          <w:rFonts w:ascii="Aptos" w:hAnsi="Aptos"/>
          <w:sz w:val="22"/>
        </w:rPr>
        <w:t xml:space="preserve"> SAT explored photon–neutrino relations through angular or observability sectors. The current correction states that photons are ephemeral vibrations propagating along or transverse to worldtubes rather than worldtubes themselves; neutrino-like modes may play a recording or transport role in the evolving vacuum picture.</w:t>
      </w:r>
    </w:p>
    <w:p>
      <w:r>
        <w:rPr>
          <w:rFonts w:ascii="Aptos" w:hAnsi="Aptos"/>
          <w:b/>
          <w:sz w:val="22"/>
        </w:rPr>
        <w:t>External line.</w:t>
      </w:r>
      <w:r>
        <w:rPr>
          <w:rFonts w:ascii="Aptos" w:hAnsi="Aptos"/>
          <w:sz w:val="22"/>
        </w:rPr>
        <w:t xml:space="preserve"> Neutrino mixing, helicity, spinor representations, photon propagation in media, polaritons, and memory effects in fields are mature but separate domains. No reviewed source in this first pass establishes the specific SAT/H(s)H conversion or archive-like vacuum mechanism.</w:t>
      </w:r>
    </w:p>
    <w:p>
      <w:r>
        <w:rPr>
          <w:rFonts w:ascii="Aptos" w:hAnsi="Aptos"/>
          <w:b/>
          <w:sz w:val="22"/>
        </w:rPr>
        <w:t>Relation: UNRESOLVED; BROAD ANALOGIES ONLY.</w:t>
      </w:r>
      <w:r>
        <w:rPr>
          <w:rFonts w:ascii="Aptos" w:hAnsi="Aptos"/>
          <w:sz w:val="22"/>
        </w:rPr>
        <w:t xml:space="preserve"> The present resemblance is too coarse for precedence or convergence language.</w:t>
      </w:r>
    </w:p>
    <w:p>
      <w:r>
        <w:rPr>
          <w:rFonts w:ascii="Aptos" w:hAnsi="Aptos"/>
          <w:b/>
          <w:sz w:val="22"/>
        </w:rPr>
        <w:t>Research use.</w:t>
      </w:r>
      <w:r>
        <w:rPr>
          <w:rFonts w:ascii="Aptos" w:hAnsi="Aptos"/>
          <w:sz w:val="22"/>
        </w:rPr>
        <w:t xml:space="preserve"> Specify fields, conserved quantities, representation change, kinematic conditions, and a measurable readout. Until then, retain the idea as frontier model-building rather than a cross-field recovery.</w:t>
      </w:r>
    </w:p>
    <w:p>
      <w:pPr>
        <w:pStyle w:val="Heading1"/>
      </w:pPr>
      <w:r>
        <w:t>III. Cross-field synthesis</w:t>
      </w:r>
    </w:p>
    <w:p>
      <w:pPr>
        <w:pStyle w:val="Heading2"/>
      </w:pPr>
      <w:r>
        <w:t>The strongest convergence cluster</w:t>
      </w:r>
    </w:p>
    <w:p>
      <w:r>
        <w:rPr>
          <w:rFonts w:ascii="Aptos" w:hAnsi="Aptos"/>
          <w:sz w:val="22"/>
        </w:rPr>
        <w:t>Four established lines meet unusually close to the current H(s)H problem:</w:t>
      </w:r>
    </w:p>
    <w:p>
      <w:pPr>
        <w:pStyle w:val="ListNumber"/>
      </w:pPr>
      <w:r>
        <w:rPr>
          <w:rFonts w:ascii="Aptos" w:hAnsi="Aptos"/>
          <w:b/>
          <w:sz w:val="22"/>
        </w:rPr>
        <w:t>Cosserat/Kirchhoff mechanics</w:t>
      </w:r>
      <w:r>
        <w:rPr>
          <w:rFonts w:ascii="Aptos" w:hAnsi="Aptos"/>
          <w:sz w:val="22"/>
        </w:rPr>
        <w:t xml:space="preserve"> supplies finite-core framed-filament variables and constitutive energies.</w:t>
      </w:r>
    </w:p>
    <w:p>
      <w:pPr>
        <w:pStyle w:val="ListNumber"/>
      </w:pPr>
      <w:r>
        <w:rPr>
          <w:rFonts w:ascii="Aptos" w:hAnsi="Aptos"/>
          <w:b/>
          <w:sz w:val="22"/>
        </w:rPr>
        <w:t>Clifford/Dirac geometry</w:t>
      </w:r>
      <w:r>
        <w:rPr>
          <w:rFonts w:ascii="Aptos" w:hAnsi="Aptos"/>
          <w:sz w:val="22"/>
        </w:rPr>
        <w:t xml:space="preserve"> supplies the algebra of Lorentz transformations, spinors, bivector rotations, and chiral structure.</w:t>
      </w:r>
    </w:p>
    <w:p>
      <w:pPr>
        <w:pStyle w:val="ListNumber"/>
      </w:pPr>
      <w:r>
        <w:rPr>
          <w:rFonts w:ascii="Aptos" w:hAnsi="Aptos"/>
          <w:b/>
          <w:sz w:val="22"/>
        </w:rPr>
        <w:t>Disformal/emergent-signature models</w:t>
      </w:r>
      <w:r>
        <w:rPr>
          <w:rFonts w:ascii="Aptos" w:hAnsi="Aptos"/>
          <w:sz w:val="22"/>
        </w:rPr>
        <w:t xml:space="preserve"> supply disciplined tests for deriving Lorentzian propagation from positive-definite data plus a preferred direction.</w:t>
      </w:r>
    </w:p>
    <w:p>
      <w:pPr>
        <w:pStyle w:val="ListNumber"/>
      </w:pPr>
      <w:r>
        <w:rPr>
          <w:rFonts w:ascii="Aptos" w:hAnsi="Aptos"/>
          <w:b/>
          <w:sz w:val="22"/>
        </w:rPr>
        <w:t>Dixon extended-body theory</w:t>
      </w:r>
      <w:r>
        <w:rPr>
          <w:rFonts w:ascii="Aptos" w:hAnsi="Aptos"/>
          <w:sz w:val="22"/>
        </w:rPr>
        <w:t xml:space="preserve"> supplies conservation, momentum, spin, and multipole benchmarks for a worldtube.</w:t>
      </w:r>
    </w:p>
    <w:p>
      <w:r>
        <w:rPr>
          <w:rFonts w:ascii="Aptos" w:hAnsi="Aptos"/>
          <w:sz w:val="22"/>
        </w:rPr>
        <w:t>Together these fields do not yield H(s)H. They do define a stringent interface where its central object can be made mathematically legible without importing particle labels prematurely.</w:t>
      </w:r>
    </w:p>
    <w:p>
      <w:pPr>
        <w:pStyle w:val="Heading2"/>
      </w:pPr>
      <w:r>
        <w:t>What appears synthesis-level distinctive</w:t>
      </w:r>
    </w:p>
    <w:p>
      <w:r>
        <w:rPr>
          <w:rFonts w:ascii="Aptos" w:hAnsi="Aptos"/>
          <w:sz w:val="22"/>
        </w:rPr>
        <w:t>The best candidate is the full layered chain:</w:t>
      </w:r>
    </w:p>
    <w:p>
      <w:r>
        <w:rPr>
          <w:rFonts w:ascii="Consolas" w:hAnsi="Consolas"/>
          <w:color w:val="484848"/>
          <w:sz w:val="21"/>
        </w:rPr>
        <w:t>empirical Minkowski elements → higher-dimensional history → finite-core framed worldtube → recursive H(s)H parametrization → resolving map → local particle/event readout</w:t>
      </w:r>
      <w:r>
        <w:rPr>
          <w:rFonts w:ascii="Aptos" w:hAnsi="Aptos"/>
          <w:sz w:val="22"/>
        </w:rPr>
        <w:t>.</w:t>
      </w:r>
    </w:p>
    <w:p>
      <w:r>
        <w:rPr>
          <w:rFonts w:ascii="Aptos" w:hAnsi="Aptos"/>
          <w:sz w:val="22"/>
        </w:rPr>
        <w:t>Each arrow has predecessors. The potentially unusual move is requiring all arrows to be explicit and reversible enough for audit while treating GR-, QED-, QCD-, and QFT-like descriptions as limiting readouts of one geometry rather than separate branches.</w:t>
      </w:r>
    </w:p>
    <w:p>
      <w:r>
        <w:rPr>
          <w:rFonts w:ascii="Aptos" w:hAnsi="Aptos"/>
          <w:sz w:val="22"/>
        </w:rPr>
        <w:t xml:space="preserve">This distinctiveness should be described as </w:t>
      </w:r>
      <w:r>
        <w:rPr>
          <w:rFonts w:ascii="Aptos" w:hAnsi="Aptos"/>
          <w:b/>
          <w:sz w:val="22"/>
        </w:rPr>
        <w:t>architectural</w:t>
      </w:r>
      <w:r>
        <w:rPr>
          <w:rFonts w:ascii="Aptos" w:hAnsi="Aptos"/>
          <w:sz w:val="22"/>
        </w:rPr>
        <w:t>, not as demonstrated unification. Historically, however, it is not merely a late arrangement of found parts: the architecture is already recognizable in the Fundamental Intuitions, before the project adopted most of the specialized mathematical languages now used to express it. The open question is how far those later languages genuinely implement the early picture rather than simply redescribe one aspect of it.</w:t>
      </w:r>
    </w:p>
    <w:p>
      <w:pPr>
        <w:pStyle w:val="Heading2"/>
      </w:pPr>
      <w:r>
        <w:t>Where the archive most often overstates convergence</w:t>
      </w:r>
    </w:p>
    <w:p>
      <w:pPr>
        <w:pStyle w:val="ListBullet"/>
      </w:pPr>
      <w:r>
        <w:rPr>
          <w:rFonts w:ascii="Aptos" w:hAnsi="Aptos"/>
          <w:sz w:val="22"/>
        </w:rPr>
        <w:t>A familiar formula fragment is treated as recovery of an entire theory.</w:t>
      </w:r>
    </w:p>
    <w:p>
      <w:pPr>
        <w:pStyle w:val="ListBullet"/>
      </w:pPr>
      <w:r>
        <w:rPr>
          <w:rFonts w:ascii="Aptos" w:hAnsi="Aptos"/>
          <w:sz w:val="22"/>
        </w:rPr>
        <w:t>A visual helix is treated as a Dirac spinor.</w:t>
      </w:r>
    </w:p>
    <w:p>
      <w:pPr>
        <w:pStyle w:val="ListBullet"/>
      </w:pPr>
      <w:r>
        <w:rPr>
          <w:rFonts w:ascii="Aptos" w:hAnsi="Aptos"/>
          <w:sz w:val="22"/>
        </w:rPr>
        <w:t>A braid diagram is treated as fermionic statistics or QCD dynamics.</w:t>
      </w:r>
    </w:p>
    <w:p>
      <w:pPr>
        <w:pStyle w:val="ListBullet"/>
      </w:pPr>
      <w:r>
        <w:rPr>
          <w:rFonts w:ascii="Aptos" w:hAnsi="Aptos"/>
          <w:sz w:val="22"/>
        </w:rPr>
        <w:t>One negative eigenvalue is treated as full Lorentzian physics.</w:t>
      </w:r>
    </w:p>
    <w:p>
      <w:pPr>
        <w:pStyle w:val="ListBullet"/>
      </w:pPr>
      <w:r>
        <w:rPr>
          <w:rFonts w:ascii="Aptos" w:hAnsi="Aptos"/>
          <w:sz w:val="22"/>
        </w:rPr>
        <w:t>A threshold-shaped story is treated as a pulsar prediction.</w:t>
      </w:r>
    </w:p>
    <w:p>
      <w:pPr>
        <w:pStyle w:val="ListBullet"/>
      </w:pPr>
      <w:r>
        <w:rPr>
          <w:rFonts w:ascii="Aptos" w:hAnsi="Aptos"/>
          <w:sz w:val="22"/>
        </w:rPr>
        <w:t>BV vocabulary is treated as a projection map without a gauge complex.</w:t>
      </w:r>
    </w:p>
    <w:p>
      <w:pPr>
        <w:pStyle w:val="ListBullet"/>
      </w:pPr>
      <w:r>
        <w:rPr>
          <w:rFonts w:ascii="Aptos" w:hAnsi="Aptos"/>
          <w:sz w:val="22"/>
        </w:rPr>
        <w:t>Repeated generated prose is treated as independent support.</w:t>
      </w:r>
    </w:p>
    <w:p>
      <w:r>
        <w:rPr>
          <w:rFonts w:ascii="Aptos" w:hAnsi="Aptos"/>
          <w:sz w:val="22"/>
        </w:rPr>
        <w:t>The 2026 anti-shortcut rules directly recognize this failure mode. That methodological correction is one of the clearest signs of genuine framework evolution.</w:t>
      </w:r>
    </w:p>
    <w:p>
      <w:pPr>
        <w:pStyle w:val="Heading1"/>
      </w:pPr>
      <w:r>
        <w:t>IV. Provisional precedence matrix</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1843"/>
            <w:vAlign w:val="center"/>
            <w:tcMar>
              <w:top w:w="80" w:type="dxa"/>
              <w:start w:w="120" w:type="dxa"/>
              <w:bottom w:w="80" w:type="dxa"/>
              <w:end w:w="120" w:type="dxa"/>
            </w:tcMar>
            <w:shd w:fill="E8EEF5"/>
          </w:tcPr>
          <w:p>
            <w:pPr>
              <w:spacing w:after="0" w:line="252" w:lineRule="auto"/>
            </w:pPr>
            <w:r>
              <w:rPr>
                <w:rFonts w:ascii="Aptos" w:hAnsi="Aptos"/>
                <w:b/>
                <w:color w:val="19374E"/>
                <w:sz w:val="17"/>
              </w:rPr>
              <w:t>Concept</w:t>
            </w:r>
          </w:p>
        </w:tc>
        <w:tc>
          <w:tcPr>
            <w:tcW w:type="dxa" w:w="2232"/>
            <w:vAlign w:val="center"/>
            <w:tcMar>
              <w:top w:w="80" w:type="dxa"/>
              <w:start w:w="120" w:type="dxa"/>
              <w:bottom w:w="80" w:type="dxa"/>
              <w:end w:w="120" w:type="dxa"/>
            </w:tcMar>
            <w:shd w:fill="E8EEF5"/>
          </w:tcPr>
          <w:p>
            <w:pPr>
              <w:spacing w:after="0" w:line="252" w:lineRule="auto"/>
            </w:pPr>
            <w:r>
              <w:rPr>
                <w:rFonts w:ascii="Aptos" w:hAnsi="Aptos"/>
                <w:b/>
                <w:color w:val="19374E"/>
                <w:sz w:val="17"/>
              </w:rPr>
              <w:t>Earliest SAT/H(s)H evidence presently located</w:t>
            </w:r>
          </w:p>
        </w:tc>
        <w:tc>
          <w:tcPr>
            <w:tcW w:type="dxa" w:w="2376"/>
            <w:vAlign w:val="center"/>
            <w:tcMar>
              <w:top w:w="80" w:type="dxa"/>
              <w:start w:w="120" w:type="dxa"/>
              <w:bottom w:w="80" w:type="dxa"/>
              <w:end w:w="120" w:type="dxa"/>
            </w:tcMar>
            <w:shd w:fill="E8EEF5"/>
          </w:tcPr>
          <w:p>
            <w:pPr>
              <w:spacing w:after="0" w:line="252" w:lineRule="auto"/>
            </w:pPr>
            <w:r>
              <w:rPr>
                <w:rFonts w:ascii="Aptos" w:hAnsi="Aptos"/>
                <w:b/>
                <w:color w:val="19374E"/>
                <w:sz w:val="17"/>
              </w:rPr>
              <w:t>Earlier external line</w:t>
            </w:r>
          </w:p>
        </w:tc>
        <w:tc>
          <w:tcPr>
            <w:tcW w:type="dxa" w:w="2909"/>
            <w:vAlign w:val="center"/>
            <w:tcMar>
              <w:top w:w="80" w:type="dxa"/>
              <w:start w:w="120" w:type="dxa"/>
              <w:bottom w:w="80" w:type="dxa"/>
              <w:end w:w="120" w:type="dxa"/>
            </w:tcMar>
            <w:shd w:fill="E8EEF5"/>
          </w:tcPr>
          <w:p>
            <w:pPr>
              <w:spacing w:after="0" w:line="252" w:lineRule="auto"/>
            </w:pPr>
            <w:r>
              <w:rPr>
                <w:rFonts w:ascii="Aptos" w:hAnsi="Aptos"/>
                <w:b/>
                <w:color w:val="19374E"/>
                <w:sz w:val="17"/>
              </w:rPr>
              <w:t>Present judgment</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Time-extended particle history</w:t>
            </w:r>
          </w:p>
        </w:tc>
        <w:tc>
          <w:tcPr>
            <w:tcW w:type="dxa" w:w="2232"/>
            <w:vAlign w:val="center"/>
            <w:tcMar>
              <w:top w:w="80" w:type="dxa"/>
              <w:start w:w="120" w:type="dxa"/>
              <w:bottom w:w="80" w:type="dxa"/>
              <w:end w:w="120" w:type="dxa"/>
            </w:tcMar>
          </w:tcPr>
          <w:p>
            <w:pPr>
              <w:spacing w:after="0" w:line="252" w:lineRule="auto"/>
            </w:pPr>
            <w:r>
              <w:rPr>
                <w:rFonts w:ascii="Aptos" w:hAnsi="Aptos"/>
                <w:sz w:val="17"/>
              </w:rPr>
              <w:t>2003 recollection/sketch provenance; explicit by 2024–25</w:t>
            </w:r>
          </w:p>
        </w:tc>
        <w:tc>
          <w:tcPr>
            <w:tcW w:type="dxa" w:w="2376"/>
            <w:vAlign w:val="center"/>
            <w:tcMar>
              <w:top w:w="80" w:type="dxa"/>
              <w:start w:w="120" w:type="dxa"/>
              <w:bottom w:w="80" w:type="dxa"/>
              <w:end w:w="120" w:type="dxa"/>
            </w:tcMar>
          </w:tcPr>
          <w:p>
            <w:pPr>
              <w:spacing w:after="0" w:line="252" w:lineRule="auto"/>
            </w:pPr>
            <w:r>
              <w:rPr>
                <w:rFonts w:ascii="Aptos" w:hAnsi="Aptos"/>
                <w:sz w:val="17"/>
              </w:rPr>
              <w:t>Minkowski worldlines (1908)</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independent visual convergence plausible</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Finite-core worldtube</w:t>
            </w:r>
          </w:p>
        </w:tc>
        <w:tc>
          <w:tcPr>
            <w:tcW w:type="dxa" w:w="2232"/>
            <w:vAlign w:val="center"/>
            <w:tcMar>
              <w:top w:w="80" w:type="dxa"/>
              <w:start w:w="120" w:type="dxa"/>
              <w:bottom w:w="80" w:type="dxa"/>
              <w:end w:w="120" w:type="dxa"/>
            </w:tcMar>
          </w:tcPr>
          <w:p>
            <w:pPr>
              <w:spacing w:after="0" w:line="252" w:lineRule="auto"/>
            </w:pPr>
            <w:r>
              <w:rPr>
                <w:rFonts w:ascii="Aptos" w:hAnsi="Aptos"/>
                <w:sz w:val="17"/>
              </w:rPr>
              <w:t>Explicit H(s)H transition,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Extended-body worldtubes; Dixon (1970)</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different intended role</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Helical internal motion</w:t>
            </w:r>
          </w:p>
        </w:tc>
        <w:tc>
          <w:tcPr>
            <w:tcW w:type="dxa" w:w="2232"/>
            <w:vAlign w:val="center"/>
            <w:tcMar>
              <w:top w:w="80" w:type="dxa"/>
              <w:start w:w="120" w:type="dxa"/>
              <w:bottom w:w="80" w:type="dxa"/>
              <w:end w:w="120" w:type="dxa"/>
            </w:tcMar>
          </w:tcPr>
          <w:p>
            <w:pPr>
              <w:spacing w:after="0" w:line="252" w:lineRule="auto"/>
            </w:pPr>
            <w:r>
              <w:rPr>
                <w:rFonts w:ascii="Aptos" w:hAnsi="Aptos"/>
                <w:sz w:val="17"/>
              </w:rPr>
              <w:t>Early sketches/filament picture; formal by 2025</w:t>
            </w:r>
          </w:p>
        </w:tc>
        <w:tc>
          <w:tcPr>
            <w:tcW w:type="dxa" w:w="2376"/>
            <w:vAlign w:val="center"/>
            <w:tcMar>
              <w:top w:w="80" w:type="dxa"/>
              <w:start w:w="120" w:type="dxa"/>
              <w:bottom w:w="80" w:type="dxa"/>
              <w:end w:w="120" w:type="dxa"/>
            </w:tcMar>
          </w:tcPr>
          <w:p>
            <w:pPr>
              <w:spacing w:after="0" w:line="252" w:lineRule="auto"/>
            </w:pPr>
            <w:r>
              <w:rPr>
                <w:rFonts w:ascii="Aptos" w:hAnsi="Aptos"/>
                <w:sz w:val="17"/>
              </w:rPr>
              <w:t>Zitterbewegung (1930); Barut–Zanghi (1984); Hestenes</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internal independence unresolved</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Framed twist/bend mechanics</w:t>
            </w:r>
          </w:p>
        </w:tc>
        <w:tc>
          <w:tcPr>
            <w:tcW w:type="dxa" w:w="2232"/>
            <w:vAlign w:val="center"/>
            <w:tcMar>
              <w:top w:w="80" w:type="dxa"/>
              <w:start w:w="120" w:type="dxa"/>
              <w:bottom w:w="80" w:type="dxa"/>
              <w:end w:w="120" w:type="dxa"/>
            </w:tcMar>
          </w:tcPr>
          <w:p>
            <w:pPr>
              <w:spacing w:after="0" w:line="252" w:lineRule="auto"/>
            </w:pPr>
            <w:r>
              <w:rPr>
                <w:rFonts w:ascii="Aptos" w:hAnsi="Aptos"/>
                <w:sz w:val="17"/>
              </w:rPr>
              <w:t>SAT torsion 2024–25; finite-core framing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Kirchhoff/Cosserat rods; ribbon topology</w:t>
            </w:r>
          </w:p>
        </w:tc>
        <w:tc>
          <w:tcPr>
            <w:tcW w:type="dxa" w:w="2909"/>
            <w:vAlign w:val="center"/>
            <w:tcMar>
              <w:top w:w="80" w:type="dxa"/>
              <w:start w:w="120" w:type="dxa"/>
              <w:bottom w:w="80" w:type="dxa"/>
              <w:end w:w="120" w:type="dxa"/>
            </w:tcMar>
          </w:tcPr>
          <w:p>
            <w:pPr>
              <w:spacing w:after="0" w:line="252" w:lineRule="auto"/>
            </w:pPr>
            <w:r>
              <w:rPr>
                <w:rFonts w:ascii="Aptos" w:hAnsi="Aptos"/>
                <w:sz w:val="17"/>
              </w:rPr>
              <w:t>Strong external precedence and best mathematical convergence</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Emergent Lorentzian metric from positive-definite data</w:t>
            </w:r>
          </w:p>
        </w:tc>
        <w:tc>
          <w:tcPr>
            <w:tcW w:type="dxa" w:w="2232"/>
            <w:vAlign w:val="center"/>
            <w:tcMar>
              <w:top w:w="80" w:type="dxa"/>
              <w:start w:w="120" w:type="dxa"/>
              <w:bottom w:w="80" w:type="dxa"/>
              <w:end w:w="120" w:type="dxa"/>
            </w:tcMar>
          </w:tcPr>
          <w:p>
            <w:pPr>
              <w:spacing w:after="0" w:line="252" w:lineRule="auto"/>
            </w:pPr>
            <w:r>
              <w:rPr>
                <w:rFonts w:ascii="Aptos" w:hAnsi="Aptos"/>
                <w:sz w:val="17"/>
              </w:rPr>
              <w:t>Explicitly isolated in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Greensite (1992); Mukohyama–Uzan (2013)</w:t>
            </w:r>
          </w:p>
        </w:tc>
        <w:tc>
          <w:tcPr>
            <w:tcW w:type="dxa" w:w="2909"/>
            <w:vAlign w:val="center"/>
            <w:tcMar>
              <w:top w:w="80" w:type="dxa"/>
              <w:start w:w="120" w:type="dxa"/>
              <w:bottom w:w="80" w:type="dxa"/>
              <w:end w:w="120" w:type="dxa"/>
            </w:tcMar>
          </w:tcPr>
          <w:p>
            <w:pPr>
              <w:spacing w:after="0" w:line="252" w:lineRule="auto"/>
            </w:pPr>
            <w:r>
              <w:rPr>
                <w:rFonts w:ascii="Aptos" w:hAnsi="Aptos"/>
                <w:sz w:val="17"/>
              </w:rPr>
              <w:t>Clear external precedence; close parallel</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Preferred flow generates causal/readout structure</w:t>
            </w:r>
          </w:p>
        </w:tc>
        <w:tc>
          <w:tcPr>
            <w:tcW w:type="dxa" w:w="2232"/>
            <w:vAlign w:val="center"/>
            <w:tcMar>
              <w:top w:w="80" w:type="dxa"/>
              <w:start w:w="120" w:type="dxa"/>
              <w:bottom w:w="80" w:type="dxa"/>
              <w:end w:w="120" w:type="dxa"/>
            </w:tcMar>
          </w:tcPr>
          <w:p>
            <w:pPr>
              <w:spacing w:after="0" w:line="252" w:lineRule="auto"/>
            </w:pPr>
            <w:r>
              <w:rPr>
                <w:rFonts w:ascii="Consolas" w:hAnsi="Consolas"/>
                <w:color w:val="484848"/>
                <w:sz w:val="16"/>
              </w:rPr>
              <w:t>u</w:t>
            </w:r>
            <w:r>
              <w:rPr>
                <w:rFonts w:ascii="Aptos" w:hAnsi="Aptos"/>
                <w:sz w:val="17"/>
              </w:rPr>
              <w:t>-field by 2025; clarified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Gordon metric, æther/disformal/analogue models</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SAT role unresolved</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Topological particle/braid structure</w:t>
            </w:r>
          </w:p>
        </w:tc>
        <w:tc>
          <w:tcPr>
            <w:tcW w:type="dxa" w:w="2232"/>
            <w:vAlign w:val="center"/>
            <w:tcMar>
              <w:top w:w="80" w:type="dxa"/>
              <w:start w:w="120" w:type="dxa"/>
              <w:bottom w:w="80" w:type="dxa"/>
              <w:end w:w="120" w:type="dxa"/>
            </w:tcMar>
          </w:tcPr>
          <w:p>
            <w:pPr>
              <w:spacing w:after="0" w:line="252" w:lineRule="auto"/>
            </w:pPr>
            <w:r>
              <w:rPr>
                <w:rFonts w:ascii="Aptos" w:hAnsi="Aptos"/>
                <w:sz w:val="17"/>
              </w:rPr>
              <w:t>Recalled by mid-2000s; formal 2025</w:t>
            </w:r>
          </w:p>
        </w:tc>
        <w:tc>
          <w:tcPr>
            <w:tcW w:type="dxa" w:w="2376"/>
            <w:vAlign w:val="center"/>
            <w:tcMar>
              <w:top w:w="80" w:type="dxa"/>
              <w:start w:w="120" w:type="dxa"/>
              <w:bottom w:w="80" w:type="dxa"/>
              <w:end w:w="120" w:type="dxa"/>
            </w:tcMar>
          </w:tcPr>
          <w:p>
            <w:pPr>
              <w:spacing w:after="0" w:line="252" w:lineRule="auto"/>
            </w:pPr>
            <w:r>
              <w:rPr>
                <w:rFonts w:ascii="Aptos" w:hAnsi="Aptos"/>
                <w:sz w:val="17"/>
              </w:rPr>
              <w:t>Skyrme/Faddeev; helon braid model (2005)</w:t>
            </w:r>
          </w:p>
        </w:tc>
        <w:tc>
          <w:tcPr>
            <w:tcW w:type="dxa" w:w="2909"/>
            <w:vAlign w:val="center"/>
            <w:tcMar>
              <w:top w:w="80" w:type="dxa"/>
              <w:start w:w="120" w:type="dxa"/>
              <w:bottom w:w="80" w:type="dxa"/>
              <w:end w:w="120" w:type="dxa"/>
            </w:tcMar>
          </w:tcPr>
          <w:p>
            <w:pPr>
              <w:spacing w:after="0" w:line="252" w:lineRule="auto"/>
            </w:pPr>
            <w:r>
              <w:rPr>
                <w:rFonts w:ascii="Aptos" w:hAnsi="Aptos"/>
                <w:sz w:val="17"/>
              </w:rPr>
              <w:t>Mixed chronology; exact early content needs inspection</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Anyonic/braid statistics</w:t>
            </w:r>
          </w:p>
        </w:tc>
        <w:tc>
          <w:tcPr>
            <w:tcW w:type="dxa" w:w="2232"/>
            <w:vAlign w:val="center"/>
            <w:tcMar>
              <w:top w:w="80" w:type="dxa"/>
              <w:start w:w="120" w:type="dxa"/>
              <w:bottom w:w="80" w:type="dxa"/>
              <w:end w:w="120" w:type="dxa"/>
            </w:tcMar>
          </w:tcPr>
          <w:p>
            <w:pPr>
              <w:spacing w:after="0" w:line="252" w:lineRule="auto"/>
            </w:pPr>
            <w:r>
              <w:rPr>
                <w:rFonts w:ascii="Aptos" w:hAnsi="Aptos"/>
                <w:sz w:val="17"/>
              </w:rPr>
              <w:t>Toolbox addition,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Leinaas–Myrheim; Wilczek (1977–82)</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dimensional mismatch</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Explicit object/parametrization/readout stack</w:t>
            </w:r>
          </w:p>
        </w:tc>
        <w:tc>
          <w:tcPr>
            <w:tcW w:type="dxa" w:w="2232"/>
            <w:vAlign w:val="center"/>
            <w:tcMar>
              <w:top w:w="80" w:type="dxa"/>
              <w:start w:w="120" w:type="dxa"/>
              <w:bottom w:w="80" w:type="dxa"/>
              <w:end w:w="120" w:type="dxa"/>
            </w:tcMar>
          </w:tcPr>
          <w:p>
            <w:pPr>
              <w:spacing w:after="0" w:line="252" w:lineRule="auto"/>
            </w:pPr>
            <w:r>
              <w:rPr>
                <w:rFonts w:ascii="Aptos" w:hAnsi="Aptos"/>
                <w:sz w:val="17"/>
              </w:rPr>
              <w:t>Gradual; frozen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Many partial precedents across modeling and measurement theory</w:t>
            </w:r>
          </w:p>
        </w:tc>
        <w:tc>
          <w:tcPr>
            <w:tcW w:type="dxa" w:w="2909"/>
            <w:vAlign w:val="center"/>
            <w:tcMar>
              <w:top w:w="80" w:type="dxa"/>
              <w:start w:w="120" w:type="dxa"/>
              <w:bottom w:w="80" w:type="dxa"/>
              <w:end w:w="120" w:type="dxa"/>
            </w:tcMar>
          </w:tcPr>
          <w:p>
            <w:pPr>
              <w:spacing w:after="0" w:line="252" w:lineRule="auto"/>
            </w:pPr>
            <w:r>
              <w:rPr>
                <w:rFonts w:ascii="Aptos" w:hAnsi="Aptos"/>
                <w:sz w:val="17"/>
              </w:rPr>
              <w:t>Synthesis candidate; no uniqueness claim yet</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Two-force Interbraid/Electrogravity compression</w:t>
            </w:r>
          </w:p>
        </w:tc>
        <w:tc>
          <w:tcPr>
            <w:tcW w:type="dxa" w:w="2232"/>
            <w:vAlign w:val="center"/>
            <w:tcMar>
              <w:top w:w="80" w:type="dxa"/>
              <w:start w:w="120" w:type="dxa"/>
              <w:bottom w:w="80" w:type="dxa"/>
              <w:end w:w="120" w:type="dxa"/>
            </w:tcMar>
          </w:tcPr>
          <w:p>
            <w:pPr>
              <w:spacing w:after="0" w:line="252" w:lineRule="auto"/>
            </w:pPr>
            <w:r>
              <w:rPr>
                <w:rFonts w:ascii="Aptos" w:hAnsi="Aptos"/>
                <w:sz w:val="17"/>
              </w:rPr>
              <w:t>H(s)H,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Contact/topological vs medium/metric interactions have many analogues</w:t>
            </w:r>
          </w:p>
        </w:tc>
        <w:tc>
          <w:tcPr>
            <w:tcW w:type="dxa" w:w="2909"/>
            <w:vAlign w:val="center"/>
            <w:tcMar>
              <w:top w:w="80" w:type="dxa"/>
              <w:start w:w="120" w:type="dxa"/>
              <w:bottom w:w="80" w:type="dxa"/>
              <w:end w:w="120" w:type="dxa"/>
            </w:tcMar>
          </w:tcPr>
          <w:p>
            <w:pPr>
              <w:spacing w:after="0" w:line="252" w:lineRule="auto"/>
            </w:pPr>
            <w:r>
              <w:rPr>
                <w:rFonts w:ascii="Aptos" w:hAnsi="Aptos"/>
                <w:sz w:val="17"/>
              </w:rPr>
              <w:t>Taxonomic synthesis candidate, not derived reduction</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Bidirectional constraint along complete history</w:t>
            </w:r>
          </w:p>
        </w:tc>
        <w:tc>
          <w:tcPr>
            <w:tcW w:type="dxa" w:w="2232"/>
            <w:vAlign w:val="center"/>
            <w:tcMar>
              <w:top w:w="80" w:type="dxa"/>
              <w:start w:w="120" w:type="dxa"/>
              <w:bottom w:w="80" w:type="dxa"/>
              <w:end w:w="120" w:type="dxa"/>
            </w:tcMar>
          </w:tcPr>
          <w:p>
            <w:pPr>
              <w:spacing w:after="0" w:line="252" w:lineRule="auto"/>
            </w:pPr>
            <w:r>
              <w:rPr>
                <w:rFonts w:ascii="Aptos" w:hAnsi="Aptos"/>
                <w:sz w:val="17"/>
              </w:rPr>
              <w:t>Fundamental Intuition 7; explicit by Feb. 2025</w:t>
            </w:r>
          </w:p>
        </w:tc>
        <w:tc>
          <w:tcPr>
            <w:tcW w:type="dxa" w:w="2376"/>
            <w:vAlign w:val="center"/>
            <w:tcMar>
              <w:top w:w="80" w:type="dxa"/>
              <w:start w:w="120" w:type="dxa"/>
              <w:bottom w:w="80" w:type="dxa"/>
              <w:end w:w="120" w:type="dxa"/>
            </w:tcMar>
          </w:tcPr>
          <w:p>
            <w:pPr>
              <w:spacing w:after="0" w:line="252" w:lineRule="auto"/>
            </w:pPr>
            <w:r>
              <w:rPr>
                <w:rFonts w:ascii="Aptos" w:hAnsi="Aptos"/>
                <w:sz w:val="17"/>
              </w:rPr>
              <w:t>Wheeler–Feynman (1945), transactional and two-boundary approaches</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independent mechanical convergence plausible</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Glitch as vortex/topological reset</w:t>
            </w:r>
          </w:p>
        </w:tc>
        <w:tc>
          <w:tcPr>
            <w:tcW w:type="dxa" w:w="2232"/>
            <w:vAlign w:val="center"/>
            <w:tcMar>
              <w:top w:w="80" w:type="dxa"/>
              <w:start w:w="120" w:type="dxa"/>
              <w:bottom w:w="80" w:type="dxa"/>
              <w:end w:w="120" w:type="dxa"/>
            </w:tcMar>
          </w:tcPr>
          <w:p>
            <w:pPr>
              <w:spacing w:after="0" w:line="252" w:lineRule="auto"/>
            </w:pPr>
            <w:r>
              <w:rPr>
                <w:rFonts w:ascii="Aptos" w:hAnsi="Aptos"/>
                <w:sz w:val="17"/>
              </w:rPr>
              <w:t>SAT application 2025–26</w:t>
            </w:r>
          </w:p>
        </w:tc>
        <w:tc>
          <w:tcPr>
            <w:tcW w:type="dxa" w:w="2376"/>
            <w:vAlign w:val="center"/>
            <w:tcMar>
              <w:top w:w="80" w:type="dxa"/>
              <w:start w:w="120" w:type="dxa"/>
              <w:bottom w:w="80" w:type="dxa"/>
              <w:end w:w="120" w:type="dxa"/>
            </w:tcMar>
          </w:tcPr>
          <w:p>
            <w:pPr>
              <w:spacing w:after="0" w:line="252" w:lineRule="auto"/>
            </w:pPr>
            <w:r>
              <w:rPr>
                <w:rFonts w:ascii="Aptos" w:hAnsi="Aptos"/>
                <w:sz w:val="17"/>
              </w:rPr>
              <w:t>Starquake (1969), vortex unpinning (1975), avalanches</w:t>
            </w:r>
          </w:p>
        </w:tc>
        <w:tc>
          <w:tcPr>
            <w:tcW w:type="dxa" w:w="2909"/>
            <w:vAlign w:val="center"/>
            <w:tcMar>
              <w:top w:w="80" w:type="dxa"/>
              <w:start w:w="120" w:type="dxa"/>
              <w:bottom w:w="80" w:type="dxa"/>
              <w:end w:w="120" w:type="dxa"/>
            </w:tcMar>
          </w:tcPr>
          <w:p>
            <w:pPr>
              <w:spacing w:after="0" w:line="252" w:lineRule="auto"/>
            </w:pPr>
            <w:r>
              <w:rPr>
                <w:rFonts w:ascii="Aptos" w:hAnsi="Aptos"/>
                <w:sz w:val="17"/>
              </w:rPr>
              <w:t>External precedence; proposed invariant remains candidate</w:t>
            </w:r>
          </w:p>
        </w:tc>
      </w:tr>
      <w:tr>
        <w:tc>
          <w:tcPr>
            <w:tcW w:type="dxa" w:w="1843"/>
            <w:vAlign w:val="center"/>
            <w:tcMar>
              <w:top w:w="80" w:type="dxa"/>
              <w:start w:w="120" w:type="dxa"/>
              <w:bottom w:w="80" w:type="dxa"/>
              <w:end w:w="120" w:type="dxa"/>
            </w:tcMar>
          </w:tcPr>
          <w:p>
            <w:pPr>
              <w:spacing w:after="0" w:line="252" w:lineRule="auto"/>
            </w:pPr>
            <w:r>
              <w:rPr>
                <w:rFonts w:ascii="Aptos" w:hAnsi="Aptos"/>
                <w:sz w:val="17"/>
              </w:rPr>
              <w:t>Photon as vibration on/transverse to worldtubes</w:t>
            </w:r>
          </w:p>
        </w:tc>
        <w:tc>
          <w:tcPr>
            <w:tcW w:type="dxa" w:w="2232"/>
            <w:vAlign w:val="center"/>
            <w:tcMar>
              <w:top w:w="80" w:type="dxa"/>
              <w:start w:w="120" w:type="dxa"/>
              <w:bottom w:w="80" w:type="dxa"/>
              <w:end w:w="120" w:type="dxa"/>
            </w:tcMar>
          </w:tcPr>
          <w:p>
            <w:pPr>
              <w:spacing w:after="0" w:line="252" w:lineRule="auto"/>
            </w:pPr>
            <w:r>
              <w:rPr>
                <w:rFonts w:ascii="Aptos" w:hAnsi="Aptos"/>
                <w:sz w:val="17"/>
              </w:rPr>
              <w:t>Current correction, 2026</w:t>
            </w:r>
          </w:p>
        </w:tc>
        <w:tc>
          <w:tcPr>
            <w:tcW w:type="dxa" w:w="2376"/>
            <w:vAlign w:val="center"/>
            <w:tcMar>
              <w:top w:w="80" w:type="dxa"/>
              <w:start w:w="120" w:type="dxa"/>
              <w:bottom w:w="80" w:type="dxa"/>
              <w:end w:w="120" w:type="dxa"/>
            </w:tcMar>
          </w:tcPr>
          <w:p>
            <w:pPr>
              <w:spacing w:after="0" w:line="252" w:lineRule="auto"/>
            </w:pPr>
            <w:r>
              <w:rPr>
                <w:rFonts w:ascii="Aptos" w:hAnsi="Aptos"/>
                <w:sz w:val="17"/>
              </w:rPr>
              <w:t>String excitations and medium quasiparticles are broad analogues</w:t>
            </w:r>
          </w:p>
        </w:tc>
        <w:tc>
          <w:tcPr>
            <w:tcW w:type="dxa" w:w="2909"/>
            <w:vAlign w:val="center"/>
            <w:tcMar>
              <w:top w:w="80" w:type="dxa"/>
              <w:start w:w="120" w:type="dxa"/>
              <w:bottom w:w="80" w:type="dxa"/>
              <w:end w:w="120" w:type="dxa"/>
            </w:tcMar>
          </w:tcPr>
          <w:p>
            <w:pPr>
              <w:spacing w:after="0" w:line="252" w:lineRule="auto"/>
            </w:pPr>
            <w:r>
              <w:rPr>
                <w:rFonts w:ascii="Aptos" w:hAnsi="Aptos"/>
                <w:sz w:val="17"/>
              </w:rPr>
              <w:t>Too underspecified to classify</w:t>
            </w:r>
          </w:p>
        </w:tc>
      </w:tr>
    </w:tbl>
    <w:p>
      <w:pPr>
        <w:spacing w:after="40"/>
      </w:pPr>
    </w:p>
    <w:p>
      <w:pPr>
        <w:pStyle w:val="Heading1"/>
      </w:pPr>
      <w:r>
        <w:t>V. Research priorities</w:t>
      </w:r>
    </w:p>
    <w:p>
      <w:pPr>
        <w:pStyle w:val="Heading2"/>
      </w:pPr>
      <w:r>
        <w:t>Priority 1 — Build the worldtube benchmark object</w:t>
      </w:r>
    </w:p>
    <w:p>
      <w:r>
        <w:rPr>
          <w:rFonts w:ascii="Aptos" w:hAnsi="Aptos"/>
          <w:sz w:val="22"/>
        </w:rPr>
        <w:t>Define one finite-core history with centerline, material frame, cross-section, strain variables, stress-energy, and boundary conditions. Express the same object in Cosserat, Dixon, and H(s)H notation. This will reveal whether “worldtube” is doing mechanical work or only replacing “worldline” verbally.</w:t>
      </w:r>
    </w:p>
    <w:p>
      <w:pPr>
        <w:pStyle w:val="Heading2"/>
      </w:pPr>
      <w:r>
        <w:t>Priority 2 — Derive the metric map, not merely its signature</w:t>
      </w:r>
    </w:p>
    <w:p>
      <w:r>
        <w:rPr>
          <w:rFonts w:ascii="Aptos" w:hAnsi="Aptos"/>
          <w:sz w:val="22"/>
        </w:rPr>
        <w:t xml:space="preserve">Starting from </w:t>
      </w:r>
      <w:r>
        <w:rPr>
          <w:rFonts w:ascii="Consolas" w:hAnsi="Consolas"/>
          <w:color w:val="484848"/>
          <w:sz w:val="21"/>
        </w:rPr>
        <w:t>delta</w:t>
      </w:r>
      <w:r>
        <w:rPr>
          <w:rFonts w:ascii="Aptos" w:hAnsi="Aptos"/>
          <w:sz w:val="22"/>
        </w:rPr>
        <w:t xml:space="preserve"> and </w:t>
      </w:r>
      <w:r>
        <w:rPr>
          <w:rFonts w:ascii="Consolas" w:hAnsi="Consolas"/>
          <w:color w:val="484848"/>
          <w:sz w:val="21"/>
        </w:rPr>
        <w:t>u</w:t>
      </w:r>
      <w:r>
        <w:rPr>
          <w:rFonts w:ascii="Aptos" w:hAnsi="Aptos"/>
          <w:sz w:val="22"/>
        </w:rPr>
        <w:t xml:space="preserve">, derive </w:t>
      </w:r>
      <w:r>
        <w:rPr>
          <w:rFonts w:ascii="Consolas" w:hAnsi="Consolas"/>
          <w:color w:val="484848"/>
          <w:sz w:val="21"/>
        </w:rPr>
        <w:t>g</w:t>
      </w:r>
      <w:r>
        <w:rPr>
          <w:rFonts w:ascii="Aptos" w:hAnsi="Aptos"/>
          <w:sz w:val="22"/>
        </w:rPr>
        <w:t xml:space="preserve">, </w:t>
      </w:r>
      <w:r>
        <w:rPr>
          <w:rFonts w:ascii="Consolas" w:hAnsi="Consolas"/>
          <w:color w:val="484848"/>
          <w:sz w:val="21"/>
        </w:rPr>
        <w:t>g^{-1}</w:t>
      </w:r>
      <w:r>
        <w:rPr>
          <w:rFonts w:ascii="Aptos" w:hAnsi="Aptos"/>
          <w:sz w:val="22"/>
        </w:rPr>
        <w:t>, determinant, projectors, cones, connection, and the principal symbols for scalar and spinor propagation. Compare directly with Mukohyama–Uzan and disformal metrics. Identify the first point at which H(s)H makes a different choice.</w:t>
      </w:r>
    </w:p>
    <w:p>
      <w:pPr>
        <w:pStyle w:val="Heading2"/>
      </w:pPr>
      <w:r>
        <w:t>Priority 3 — Construct the Clifford/frame dictionary</w:t>
      </w:r>
    </w:p>
    <w:p>
      <w:r>
        <w:rPr>
          <w:rFonts w:ascii="Aptos" w:hAnsi="Aptos"/>
          <w:sz w:val="22"/>
        </w:rPr>
        <w:t>Map the moving frame of the finite-core tube to Clifford vectors, bivectors, rotors, and spinors. Determine whether a recursive helix yields Dirac kinematics or merely resembles zitterbewegung. Require a recovery target: dispersion, spin transformation, magnetic moment, or propagator.</w:t>
      </w:r>
    </w:p>
    <w:p>
      <w:pPr>
        <w:pStyle w:val="Heading2"/>
      </w:pPr>
      <w:r>
        <w:t>Priority 4 — Separate braid classification from dynamics</w:t>
      </w:r>
    </w:p>
    <w:p>
      <w:r>
        <w:rPr>
          <w:rFonts w:ascii="Aptos" w:hAnsi="Aptos"/>
          <w:sz w:val="22"/>
        </w:rPr>
        <w:t>For a two-, three-, and four-component configuration, record braid word, framing/twist, link invariants, assembly path, elastic energy, and admissible reconnections separately. This directly tests the 2026 correction that formation probability and post-formation stability are different questions.</w:t>
      </w:r>
    </w:p>
    <w:p>
      <w:pPr>
        <w:pStyle w:val="Heading2"/>
      </w:pPr>
      <w:r>
        <w:t>Priority 5 — Rebuild the pulsar claim prospectively</w:t>
      </w:r>
    </w:p>
    <w:p>
      <w:r>
        <w:rPr>
          <w:rFonts w:ascii="Aptos" w:hAnsi="Aptos"/>
          <w:sz w:val="22"/>
        </w:rPr>
        <w:t>Choose public glitch data and define the H(s)H estimator before fitting. Compare against superfluid-unpinning and avalanche baselines. A useful output would be a dimensionless cross-pulsar scaling relation with uncertainty, selection effects, and a preregistered failure criterion.</w:t>
      </w:r>
    </w:p>
    <w:p>
      <w:pPr>
        <w:pStyle w:val="Heading2"/>
      </w:pPr>
      <w:r>
        <w:t>Priority 6 — Produce a provenance ledger at concept resolution</w:t>
      </w:r>
    </w:p>
    <w:p>
      <w:r>
        <w:rPr>
          <w:rFonts w:ascii="Aptos" w:hAnsi="Aptos"/>
          <w:sz w:val="22"/>
        </w:rPr>
        <w:t>For every row in the precedence matrix, attach: earliest surviving internal artifact; contemporaneous wording or image; file date; public date; later reinterpretations; first discovered external analogue; and whether discovery changed the internal formulation. This is necessary to distinguish independent convergence from retrospective assimilation.</w:t>
      </w:r>
    </w:p>
    <w:p>
      <w:pPr>
        <w:pStyle w:val="Heading1"/>
      </w:pPr>
      <w:r>
        <w:t>Limitations of this first atlas</w:t>
      </w:r>
    </w:p>
    <w:p>
      <w:r>
        <w:rPr>
          <w:rFonts w:ascii="Aptos" w:hAnsi="Aptos"/>
          <w:sz w:val="22"/>
        </w:rPr>
        <w:t xml:space="preserve">This version treats the archive dates as approximately reliable and reads </w:t>
      </w:r>
      <w:r>
        <w:rPr>
          <w:rFonts w:ascii="Aptos" w:hAnsi="Aptos"/>
          <w:i/>
          <w:sz w:val="22"/>
        </w:rPr>
        <w:t>The Fundamental Intuitions</w:t>
      </w:r>
      <w:r>
        <w:rPr>
          <w:rFonts w:ascii="Aptos" w:hAnsi="Aptos"/>
          <w:sz w:val="22"/>
        </w:rPr>
        <w:t xml:space="preserve"> as the controlling statement of the early conceptual genome, while recognizing that its surviving 2026 PDF is an updated articulation of ideas rooted in the 2003–04 sketches. It does not yet reproduce and annotate every sketch or original conversation in sequence. The external comparison is selective rather than exhaustive; it emphasizes the requested fields and the closest mathematical neighbors found in a first primary-source pass. “Independent convergence plausible” means that the internal line appears to have developed without demonstrated dependence on the cited work; it is not a definitive claim about influence or priority.</w:t>
      </w:r>
    </w:p>
    <w:p>
      <w:pPr>
        <w:pStyle w:val="Heading1"/>
      </w:pPr>
      <w:r>
        <w:t>Internal sources consulted</w:t>
      </w:r>
    </w:p>
    <w:p>
      <w:pPr>
        <w:pStyle w:val="ListBullet"/>
      </w:pPr>
      <w:r>
        <w:rPr>
          <w:rFonts w:ascii="Consolas" w:hAnsi="Consolas"/>
          <w:color w:val="484848"/>
          <w:sz w:val="21"/>
        </w:rPr>
        <w:t>SAT TIMELINE [old].txt</w:t>
      </w:r>
      <w:r>
        <w:rPr>
          <w:rFonts w:ascii="Aptos" w:hAnsi="Aptos"/>
          <w:sz w:val="22"/>
        </w:rPr>
        <w:t xml:space="preserve"> — historical lead index; repeated generated summaries; used cautiously.</w:t>
      </w:r>
    </w:p>
    <w:p>
      <w:pPr>
        <w:pStyle w:val="ListBullet"/>
      </w:pPr>
      <w:r>
        <w:rPr>
          <w:rFonts w:ascii="Consolas" w:hAnsi="Consolas"/>
          <w:color w:val="484848"/>
          <w:sz w:val="21"/>
        </w:rPr>
        <w:t>THE FUNDAMENTAL INTUITIONS — EXTENDED 2.pdf</w:t>
      </w:r>
      <w:r>
        <w:rPr>
          <w:rFonts w:ascii="Aptos" w:hAnsi="Aptos"/>
          <w:sz w:val="22"/>
        </w:rPr>
        <w:t xml:space="preserve"> — controlling statement of the early conceptual picture, dated 2 February 2025 and updated 26 February 2026.</w:t>
      </w:r>
    </w:p>
    <w:p>
      <w:pPr>
        <w:pStyle w:val="ListBullet"/>
      </w:pPr>
      <w:r>
        <w:rPr>
          <w:rFonts w:ascii="Consolas" w:hAnsi="Consolas"/>
          <w:color w:val="484848"/>
          <w:sz w:val="21"/>
        </w:rPr>
        <w:t>SAT PRE-H(s)H TIGHTENING.txt</w:t>
      </w:r>
      <w:r>
        <w:rPr>
          <w:rFonts w:ascii="Aptos" w:hAnsi="Aptos"/>
          <w:sz w:val="22"/>
        </w:rPr>
        <w:t xml:space="preserve"> — pre-transition audit and status context.</w:t>
      </w:r>
    </w:p>
    <w:p>
      <w:pPr>
        <w:pStyle w:val="ListBullet"/>
      </w:pPr>
      <w:r>
        <w:rPr>
          <w:rFonts w:ascii="Consolas" w:hAnsi="Consolas"/>
          <w:color w:val="484848"/>
          <w:sz w:val="21"/>
        </w:rPr>
        <w:t>SAT to H(s)H TRANSITION(1).txt</w:t>
      </w:r>
      <w:r>
        <w:rPr>
          <w:rFonts w:ascii="Aptos" w:hAnsi="Aptos"/>
          <w:sz w:val="22"/>
        </w:rPr>
        <w:t xml:space="preserve"> — transition discussion, including user corrections that retire lattice/</w:t>
      </w:r>
      <w:r>
        <w:rPr>
          <w:rFonts w:ascii="Consolas" w:hAnsi="Consolas"/>
          <w:color w:val="484848"/>
          <w:sz w:val="21"/>
        </w:rPr>
        <w:t>Z3</w:t>
      </w:r>
      <w:r>
        <w:rPr>
          <w:rFonts w:ascii="Aptos" w:hAnsi="Aptos"/>
          <w:sz w:val="22"/>
        </w:rPr>
        <w:t xml:space="preserve"> assumptions and numerical repair factors.</w:t>
      </w:r>
    </w:p>
    <w:p>
      <w:pPr>
        <w:pStyle w:val="ListBullet"/>
      </w:pPr>
      <w:r>
        <w:rPr>
          <w:rFonts w:ascii="Consolas" w:hAnsi="Consolas"/>
          <w:color w:val="484848"/>
          <w:sz w:val="21"/>
        </w:rPr>
        <w:t>H(s)H 2026 STARTUP DOCS.txt</w:t>
      </w:r>
      <w:r>
        <w:rPr>
          <w:rFonts w:ascii="Aptos" w:hAnsi="Aptos"/>
          <w:sz w:val="22"/>
        </w:rPr>
        <w:t xml:space="preserve"> — provenance, validation, and workflow controls.</w:t>
      </w:r>
    </w:p>
    <w:p>
      <w:pPr>
        <w:pStyle w:val="ListBullet"/>
      </w:pPr>
      <w:r>
        <w:rPr>
          <w:rFonts w:ascii="Aptos" w:hAnsi="Aptos"/>
          <w:sz w:val="22"/>
        </w:rPr>
        <w:t>Current SAT/H(s)H core hierarchy, method/status rules, and translation guards.</w:t>
      </w:r>
    </w:p>
    <w:p>
      <w:pPr>
        <w:pStyle w:val="Heading1"/>
      </w:pPr>
      <w:r>
        <w:t>Selected external bibliography</w:t>
      </w:r>
    </w:p>
    <w:p>
      <w:pPr>
        <w:pStyle w:val="ListBullet"/>
      </w:pPr>
      <w:r>
        <w:rPr>
          <w:rFonts w:ascii="Aptos" w:hAnsi="Aptos"/>
          <w:sz w:val="22"/>
        </w:rPr>
        <w:t xml:space="preserve">Anderson, P. W., and N. Itoh (1975), “Pulsar glitches and restlessness as a hard superfluidity phenomenon.” </w:t>
      </w:r>
      <w:hyperlink r:id="rId22">
        <w:r>
          <w:rPr>
            <w:color w:val="2E74B5"/>
            <w:u w:val="single"/>
          </w:rPr>
          <w:t>https://doi.org/10.1038/256025a0</w:t>
        </w:r>
      </w:hyperlink>
    </w:p>
    <w:p>
      <w:pPr>
        <w:pStyle w:val="ListBullet"/>
      </w:pPr>
      <w:r>
        <w:rPr>
          <w:rFonts w:ascii="Aptos" w:hAnsi="Aptos"/>
          <w:sz w:val="22"/>
        </w:rPr>
        <w:t xml:space="preserve">Andersson, N., et al. (2012), “Pulsar Glitches: The Crust is not Enough.” </w:t>
      </w:r>
      <w:hyperlink r:id="rId23">
        <w:r>
          <w:rPr>
            <w:color w:val="2E74B5"/>
            <w:u w:val="single"/>
          </w:rPr>
          <w:t>https://doi.org/10.1103/PhysRevLett.109.241103</w:t>
        </w:r>
      </w:hyperlink>
    </w:p>
    <w:p>
      <w:pPr>
        <w:pStyle w:val="ListBullet"/>
      </w:pPr>
      <w:r>
        <w:rPr>
          <w:rFonts w:ascii="Aptos" w:hAnsi="Aptos"/>
          <w:sz w:val="22"/>
        </w:rPr>
        <w:t xml:space="preserve">Barut, A. O., and N. Zanghi (1984), “Classical Model of the Dirac Electron.” </w:t>
      </w:r>
      <w:hyperlink r:id="rId13">
        <w:r>
          <w:rPr>
            <w:color w:val="2E74B5"/>
            <w:u w:val="single"/>
          </w:rPr>
          <w:t>https://doi.org/10.1103/PhysRevLett.52.2009</w:t>
        </w:r>
      </w:hyperlink>
    </w:p>
    <w:p>
      <w:pPr>
        <w:pStyle w:val="ListBullet"/>
      </w:pPr>
      <w:r>
        <w:rPr>
          <w:rFonts w:ascii="Aptos" w:hAnsi="Aptos"/>
          <w:sz w:val="22"/>
        </w:rPr>
        <w:t xml:space="preserve">Bilson-Thompson, S. O. (2005), “A topological model of composite preons.” </w:t>
      </w:r>
      <w:hyperlink r:id="rId17">
        <w:r>
          <w:rPr>
            <w:color w:val="2E74B5"/>
            <w:u w:val="single"/>
          </w:rPr>
          <w:t>https://arxiv.org/abs/hep-ph/0503213</w:t>
        </w:r>
      </w:hyperlink>
    </w:p>
    <w:p>
      <w:pPr>
        <w:pStyle w:val="ListBullet"/>
      </w:pPr>
      <w:r>
        <w:rPr>
          <w:rFonts w:ascii="Aptos" w:hAnsi="Aptos"/>
          <w:sz w:val="22"/>
        </w:rPr>
        <w:t xml:space="preserve">Chester, D., X. D. Arsiwalla, and L. H. Kauffman (2025), “Preons, Braid Topology, and Representations of Fundamental Particles.” </w:t>
      </w:r>
      <w:hyperlink r:id="rId18">
        <w:r>
          <w:rPr>
            <w:color w:val="2E74B5"/>
            <w:u w:val="single"/>
          </w:rPr>
          <w:t>https://arxiv.org/abs/2501.03260</w:t>
        </w:r>
      </w:hyperlink>
    </w:p>
    <w:p>
      <w:pPr>
        <w:pStyle w:val="ListBullet"/>
      </w:pPr>
      <w:r>
        <w:rPr>
          <w:rFonts w:ascii="Aptos" w:hAnsi="Aptos"/>
          <w:sz w:val="22"/>
        </w:rPr>
        <w:t xml:space="preserve">Dennis, M. R., and J. H. Hannay (2005), “Geometry of Călugăreanu’s theorem.” </w:t>
      </w:r>
      <w:hyperlink r:id="rId11">
        <w:r>
          <w:rPr>
            <w:color w:val="2E74B5"/>
            <w:u w:val="single"/>
          </w:rPr>
          <w:t>https://arxiv.org/abs/math-ph/0503012</w:t>
        </w:r>
      </w:hyperlink>
    </w:p>
    <w:p>
      <w:pPr>
        <w:pStyle w:val="ListBullet"/>
      </w:pPr>
      <w:r>
        <w:rPr>
          <w:rFonts w:ascii="Aptos" w:hAnsi="Aptos"/>
          <w:sz w:val="22"/>
        </w:rPr>
        <w:t xml:space="preserve">Dixon, W. G. (1970), “Dynamics of Extended Bodies in General Relativity” series. </w:t>
      </w:r>
      <w:hyperlink r:id="rId9">
        <w:r>
          <w:rPr>
            <w:color w:val="2E74B5"/>
            <w:u w:val="single"/>
          </w:rPr>
          <w:t>https://www.osti.gov/biblio/4081383</w:t>
        </w:r>
      </w:hyperlink>
    </w:p>
    <w:p>
      <w:pPr>
        <w:pStyle w:val="ListBullet"/>
      </w:pPr>
      <w:r>
        <w:rPr>
          <w:rFonts w:ascii="Aptos" w:hAnsi="Aptos"/>
          <w:sz w:val="22"/>
        </w:rPr>
        <w:t xml:space="preserve">Gazzola, M., et al. (2018), “Forward and inverse problems in the mechanics of soft filaments.” </w:t>
      </w:r>
      <w:hyperlink r:id="rId12">
        <w:r>
          <w:rPr>
            <w:color w:val="2E74B5"/>
            <w:u w:val="single"/>
          </w:rPr>
          <w:t>https://www.cosseratrods.org/publications/pubs/2018_RSOS.pdf</w:t>
        </w:r>
      </w:hyperlink>
    </w:p>
    <w:p>
      <w:pPr>
        <w:pStyle w:val="ListBullet"/>
      </w:pPr>
      <w:r>
        <w:rPr>
          <w:rFonts w:ascii="Aptos" w:hAnsi="Aptos"/>
          <w:sz w:val="22"/>
        </w:rPr>
        <w:t xml:space="preserve">Greensite, J. (1992/93), “Dynamical Origin of the Lorentzian Signature of Spacetime.” </w:t>
      </w:r>
      <w:hyperlink r:id="rId15">
        <w:r>
          <w:rPr>
            <w:color w:val="2E74B5"/>
            <w:u w:val="single"/>
          </w:rPr>
          <w:t>https://arxiv.org/abs/gr-qc/9210008</w:t>
        </w:r>
      </w:hyperlink>
    </w:p>
    <w:p>
      <w:pPr>
        <w:pStyle w:val="ListBullet"/>
      </w:pPr>
      <w:r>
        <w:rPr>
          <w:rFonts w:ascii="Aptos" w:hAnsi="Aptos"/>
          <w:sz w:val="22"/>
        </w:rPr>
        <w:t xml:space="preserve">Hestenes, D. (2010), “Zitterbewegung in Quantum Mechanics.” </w:t>
      </w:r>
      <w:hyperlink r:id="rId14">
        <w:r>
          <w:rPr>
            <w:color w:val="2E74B5"/>
            <w:u w:val="single"/>
          </w:rPr>
          <w:t>https://doi.org/10.1007/s10701-009-9360-3</w:t>
        </w:r>
      </w:hyperlink>
    </w:p>
    <w:p>
      <w:pPr>
        <w:pStyle w:val="ListBullet"/>
      </w:pPr>
      <w:r>
        <w:rPr>
          <w:rFonts w:ascii="Aptos" w:hAnsi="Aptos"/>
          <w:sz w:val="22"/>
        </w:rPr>
        <w:t xml:space="preserve">Jadoo, N., J. D. Brown, and C. R. Evans (2023), “Extended body dynamics in general relativity: Hyperelastic models.” </w:t>
      </w:r>
      <w:hyperlink r:id="rId10">
        <w:r>
          <w:rPr>
            <w:color w:val="2E74B5"/>
            <w:u w:val="single"/>
          </w:rPr>
          <w:t>https://doi.org/10.1103/PhysRevD.108.084020</w:t>
        </w:r>
      </w:hyperlink>
    </w:p>
    <w:p>
      <w:pPr>
        <w:pStyle w:val="ListBullet"/>
      </w:pPr>
      <w:r>
        <w:rPr>
          <w:rFonts w:ascii="Aptos" w:hAnsi="Aptos"/>
          <w:sz w:val="22"/>
        </w:rPr>
        <w:t xml:space="preserve">Marmorini, G., et al. (2024), “Pulsar glitches from quantum vortex networks.” </w:t>
      </w:r>
      <w:hyperlink r:id="rId24">
        <w:r>
          <w:rPr>
            <w:color w:val="2E74B5"/>
            <w:u w:val="single"/>
          </w:rPr>
          <w:t>https://pmc.ncbi.nlm.nih.gov/articles/PMC11322539/</w:t>
        </w:r>
      </w:hyperlink>
    </w:p>
    <w:p>
      <w:pPr>
        <w:pStyle w:val="ListBullet"/>
      </w:pPr>
      <w:r>
        <w:rPr>
          <w:rFonts w:ascii="Aptos" w:hAnsi="Aptos"/>
          <w:sz w:val="22"/>
        </w:rPr>
        <w:t xml:space="preserve">Mukohyama, S., and J.-P. Uzan (2013), “From configuration to dynamics: Emergence of Lorentz signature in classical field theory.” </w:t>
      </w:r>
      <w:hyperlink r:id="rId16">
        <w:r>
          <w:rPr>
            <w:color w:val="2E74B5"/>
            <w:u w:val="single"/>
          </w:rPr>
          <w:t>https://arxiv.org/abs/1301.1361</w:t>
        </w:r>
      </w:hyperlink>
    </w:p>
    <w:p>
      <w:pPr>
        <w:pStyle w:val="ListBullet"/>
      </w:pPr>
      <w:r>
        <w:rPr>
          <w:rFonts w:ascii="Aptos" w:hAnsi="Aptos"/>
          <w:sz w:val="22"/>
        </w:rPr>
        <w:t xml:space="preserve">Wilczek, F. (1982), “Quantum Mechanics of Fractional-Spin Particles.” </w:t>
      </w:r>
      <w:hyperlink r:id="rId19">
        <w:r>
          <w:rPr>
            <w:color w:val="2E74B5"/>
            <w:u w:val="single"/>
          </w:rPr>
          <w:t>https://doi.org/10.1103/PhysRevLett.49.957</w:t>
        </w:r>
      </w:hyperlink>
    </w:p>
    <w:sectPr w:rsidR="00FC693F" w:rsidRPr="0006063C" w:rsidSect="00034616">
      <w:headerReference w:type="default" r:id="rId25"/>
      <w:footerReference w:type="default" r:id="rId26"/>
      <w:pgSz w:w="12240" w:h="15840"/>
      <w:pgMar w:top="1224" w:right="1296" w:bottom="1224"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66E"/>
        <w:sz w:val="17"/>
      </w:rPr>
      <w:t>SAT/H(s)H • CHRONOLOGICAL CONVERGENCE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9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sti.gov/biblio/4081383" TargetMode="External"/><Relationship Id="rId10" Type="http://schemas.openxmlformats.org/officeDocument/2006/relationships/hyperlink" Target="https://doi.org/10.1103/PhysRevD.108.084020" TargetMode="External"/><Relationship Id="rId11" Type="http://schemas.openxmlformats.org/officeDocument/2006/relationships/hyperlink" Target="https://arxiv.org/abs/math-ph/0503012" TargetMode="External"/><Relationship Id="rId12" Type="http://schemas.openxmlformats.org/officeDocument/2006/relationships/hyperlink" Target="https://www.cosseratrods.org/publications/pubs/2018_RSOS.pdf" TargetMode="External"/><Relationship Id="rId13" Type="http://schemas.openxmlformats.org/officeDocument/2006/relationships/hyperlink" Target="https://doi.org/10.1103/PhysRevLett.52.2009" TargetMode="External"/><Relationship Id="rId14" Type="http://schemas.openxmlformats.org/officeDocument/2006/relationships/hyperlink" Target="https://doi.org/10.1007/s10701-009-9360-3" TargetMode="External"/><Relationship Id="rId15" Type="http://schemas.openxmlformats.org/officeDocument/2006/relationships/hyperlink" Target="https://arxiv.org/abs/gr-qc/9210008" TargetMode="External"/><Relationship Id="rId16" Type="http://schemas.openxmlformats.org/officeDocument/2006/relationships/hyperlink" Target="https://arxiv.org/abs/1301.1361" TargetMode="External"/><Relationship Id="rId17" Type="http://schemas.openxmlformats.org/officeDocument/2006/relationships/hyperlink" Target="https://arxiv.org/abs/hep-ph/0503213" TargetMode="External"/><Relationship Id="rId18" Type="http://schemas.openxmlformats.org/officeDocument/2006/relationships/hyperlink" Target="https://arxiv.org/abs/2501.03260" TargetMode="External"/><Relationship Id="rId19" Type="http://schemas.openxmlformats.org/officeDocument/2006/relationships/hyperlink" Target="https://doi.org/10.1103/PhysRevLett.49.957" TargetMode="External"/><Relationship Id="rId20" Type="http://schemas.openxmlformats.org/officeDocument/2006/relationships/hyperlink" Target="https://doi.org/10.1103/RevModPhys.17.157" TargetMode="External"/><Relationship Id="rId21" Type="http://schemas.openxmlformats.org/officeDocument/2006/relationships/hyperlink" Target="https://doi.org/10.1103/RevModPhys.58.647" TargetMode="External"/><Relationship Id="rId22" Type="http://schemas.openxmlformats.org/officeDocument/2006/relationships/hyperlink" Target="https://doi.org/10.1038/256025a0" TargetMode="External"/><Relationship Id="rId23" Type="http://schemas.openxmlformats.org/officeDocument/2006/relationships/hyperlink" Target="https://doi.org/10.1103/PhysRevLett.109.241103" TargetMode="External"/><Relationship Id="rId24" Type="http://schemas.openxmlformats.org/officeDocument/2006/relationships/hyperlink" Target="https://pmc.ncbi.nlm.nih.gov/articles/PMC11322539/" TargetMode="External"/><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SAT/H(s)H Across Fields: A Chronological Convergence Atlas</dc:title>
  <dc:subject>Concept-level history and multifield comparison</dc:subject>
  <dc:creator>Nathan McKnight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