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73trips/day).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73/day target</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scenario target; capacity ceiling 40×12=480/day</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13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ceil(73÷6)</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73/day target</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scenario target</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13</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ceil(73÷6)</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Revenue is calculated with unit-consistent formulas. When fare is per passenger, annual revenue = Trips/day × Seats × Load factor × Fare/passenger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Executed trips/day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JPY per passenger</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¥800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¥900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28.5kWh × trips</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Fleet sizing</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ceil(trips ÷6)</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13</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24</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¥59.685M</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¥183.960M</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Seats×Load×Fare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¥2,240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¥3,600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4.0M×75%×1%×67×¥333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¥0.669B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4.0M×65%×20%×67×¥333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¥11.602B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HPC Compute Service</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600 GPU×8,760×35%×¥700</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¥1.288B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5,400 GPU×8,760×55%×¥600</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¥15.610B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Night revenue÷Total</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0.08</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0.33</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0.19</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0.08</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Night Passenger</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25×24×¥15,000×365×60%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¥1.971B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500×24×¥15,000×365×60%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¥39.420B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25×24×¥5,000×365×40%</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¥0.438B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500×24×¥5,000×365×40%</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¥8.760B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¥30.769B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¥146.761B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4.0M×75%×1%×67×¥150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▲¥0.302B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4.0M×65%×20%×67×¥150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▲¥5.226B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base + power + service</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▲¥0.731B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base + power + service</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▲¥6.680B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▲¥13.330B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▲¥71.593B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▲¥1.931B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▲¥5.507B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▲¥0.390B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▲¥7.587B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SW revenue×20%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▲¥1.514B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SW revenue×20%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▲¥5.099B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▲¥4.385B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▲¥22.593B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¥52.575B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HPC</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5.000B÷15y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▲¥0.333B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45.000B÷15y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▲¥3.000B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50.000B÷5y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▲¥10.000B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63.900B÷5y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▲¥12.780B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10.000B÷5y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▲¥2.000B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10.000B÷5y</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▲¥2.000B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40.000B÷5y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▲¥8.000B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59.400B÷5y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▲¥11.880B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▲¥23.663B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▲¥39.197B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▲¥10.609B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¥13.378B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¥52.575B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-34.5%</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9.1%</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-19.80%</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 xml:space="preserve">PCFC-only hydrogen demand is 48.0kg/day (=1,200÷33.3÷0.75). Net of the 400kWh air battery, plus 178kWh of regen lost to the mills and 287kWh to release H2 from the MH at 0.21V, the PCFC must deliver 1,265kWh: 50.6kg/day of H2. The six mills (rated 64.9kg/day) get only 0.03kg/day from braking energy, so Node refuelling supplies 50.6kg/day (3 stops of 20kg). The 10-15kg LH2 buffer needs ≈340L (350×850×1,200mm, 357L). Peak heat is ≈108kW: PCFC 80, mill 19, drive 9kW; the MH absorbs 12kW.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 xml:space="preserve">800+178+287</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 xml:space="preserve">1,265kWh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 xml:space="preserve">1,265÷(33.3×0.75)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 xml:space="preserve">3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 xml:space="preserve">50.6−0.03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 xml:space="preserve">PCFC/mill/drive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 xml:space="preserve">80+19+9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 xml:space="preserve">≈108kW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capacity to the reconciled base cash flow. The node plan is 4/8/12/20/28/36; existing HPC CAPEX of ¥5B/¥45B implies ¥8.33M per installed unit and 150 H100-equivalent accelerators/node. Paid external utilization rises from 35% to 55% and blended price declines from ¥700 to ¥600 per accelerator-hour. Internal mobility compute is excluded from revenue. Incremental HPC OPEX includes 1.2kW per accelerator, PUE 1.15, ¥15/kWh electricity and service cost equal to 15% of HPC revenue. The case remains pre-tax and </w:t>
      </w:r>
      <w:proofErr w:type="spellStart"/>
      <w:r>
        <w:rPr>
          <w:rFonts w:ascii="Arial" w:eastAsia="Arial" w:hAnsi="Arial" w:cs="Arial"/>
          <w:sz w:val="19"/>
          <w:szCs w:val="17"/>
        </w:rPr>
        <w:t>unlevered</w:t>
      </w:r>
      <w:proofErr w:type="spellEnd"/>
      <w:r>
        <w:rPr>
          <w:rFonts w:ascii="Arial" w:eastAsia="Arial" w:hAnsi="Arial" w:cs="Arial"/>
          <w:sz w:val="19"/>
          <w:szCs w:val="17"/>
        </w:rPr>
        <w:t>; working capital and cash taxes are zero.</w:t>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¥30.769B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¥13.054B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▲¥10.609B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42.4%</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-34.5%</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¥146.761B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¥52.575B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¥13.378B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35.8%</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9.1%</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¥30.769B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¥13.054B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▲¥28.000B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▲¥14.946B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▲¥10.172B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▲¥224.946B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▲¥192.493B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¥52.653B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¥19.892B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▲¥22.000B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▲¥2.108B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▲¥1.328B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▲¥227.054B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▲¥193.822B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¥74.761B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¥26.910B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▲¥20.000B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¥6.910B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¥4.032B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▲¥220.144B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▲¥189.790B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¥98.430B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¥35.200B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¥6.000B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¥3.242B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▲¥214.144B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▲¥186.548B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¥122.583B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¥43.881B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¥14.681B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¥7.344B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▲¥199.463B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▲¥179.204B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¥146.761B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¥52.575B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¥23.375B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¥10.827B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▲¥176.088B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▲¥168.377B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¥352.600B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-19.80%</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▲¥168.377B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▲¥162.342B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2043 (reference)</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2035 FCF held flat</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35.8%</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9.1%</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-18.96%</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▲¥162.464B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▲¥157.514B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-22.48%</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▲¥172.508B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▲¥165.200B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-19.80%</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▲¥168.377B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▲¥162.342B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-11.77%</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▲¥143.794B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▲¥144.280B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+¥49.552B/y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▲¥32.868B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2030 / ▲¥224.946B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2031 / ▲¥227.054B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2032 / ▲¥220.144B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2033 / ▲¥214.144B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2034 / ▲¥199.463B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2035 / ▲¥176.088B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2036 / ▲¥152.713B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2037 / ▲¥129.338B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2038 / ▲¥105.963B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2039 / ▲¥82.588B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FCF ¥23.375B/year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The displayed case adds a separately priced distributed-HPC service without counting internal mobility compute as revenue. 2035 HPC revenue is ¥15.610B and incremental HPC EBITDA is ¥12.730B. Annual project FCF is positive from 2032, but cumulative nominal FCF remains ▲¥176.088B at the end of 2035. Nominal and discounted payback are not achieved; project IRR is -19.80% and NPV at 8% is ▲¥168.377B.</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Production-case reconciliation required</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Production-case cohort split required</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Trips/day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42.4%</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35.8%</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-34.5%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9.1%</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¥23.375B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-19.80%</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▲¥168.377B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Distributed-HPC sales improve 2035 annual FCF to ¥23.375B,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