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Arial" w:hAnsi="Arial" w:eastAsia="等线"/>
          <w:b/>
          <w:sz w:val="36"/>
        </w:rPr>
        <w:t>矩形薄板单向拉伸的平面弹性建模与端部扰动分析</w:t>
      </w:r>
    </w:p>
    <w:p>
      <w:pPr>
        <w:jc w:val="center"/>
      </w:pPr>
      <w:r>
        <w:rPr>
          <w:rFonts w:ascii="Arial" w:hAnsi="Arial" w:eastAsia="等线"/>
          <w:i/>
          <w:sz w:val="22"/>
        </w:rPr>
        <w:t>有限元分析课程任务 8  Nature-style 课程报告</w:t>
      </w:r>
    </w:p>
    <w:p>
      <w:pPr>
        <w:jc w:val="center"/>
      </w:pPr>
      <w:r>
        <w:rPr>
          <w:rFonts w:ascii="Times New Roman" w:hAnsi="Times New Roman" w:eastAsia="宋体"/>
          <w:sz w:val="19"/>
        </w:rPr>
        <w:t>几何参数：L = 1.0 m，H = 0.4 m，t = 0.01 m；材料参数：E = 210 GPa，ν = 0.30；载荷：q = 100 MPa</w:t>
      </w:r>
    </w:p>
    <w:p>
      <w:pPr>
        <w:pStyle w:val="Heading1"/>
      </w:pPr>
      <w:r>
        <w:t>摘要</w:t>
      </w:r>
    </w:p>
    <w:p>
      <w:pPr>
        <w:spacing w:line="288" w:lineRule="auto" w:before="0" w:after="80"/>
        <w:ind w:firstLine="420"/>
      </w:pPr>
      <w:r>
        <w:rPr>
          <w:rFonts w:ascii="Times New Roman" w:hAnsi="Times New Roman" w:eastAsia="宋体"/>
          <w:sz w:val="21"/>
        </w:rPr>
        <w:t>本报告以右端均布拉伸、左端约束的矩形薄板为对象，建立平面应力条件下的二维弹性边值问题，并以艾力应力函数解释均匀拉伸解析解与完全固定左端级数近似解之间的差异。均匀拉伸解给出 σx = 100 MPa、σy = τxy = 0，以及沿 x 方向线性增长的位移 u 和由泊松效应控制的横向位移 v。相比之下，完全固定左端破坏自由泊松收缩，在固定端附近引入 σy、τxy 与 γxy 的局部二维扰动，使最大 σx 升至约 128.55 MPa；该扰动沿板长方向迅速衰减，远离固定端后恢复到均匀拉伸基准。本分析展示了边界条件对连续体应力场的控制作用，并为后续有限元弱形式离散和结果解释提供理论参照。</w:t>
      </w:r>
    </w:p>
    <w:p>
      <w:pPr>
        <w:spacing w:line="288" w:lineRule="auto" w:before="0" w:after="80"/>
      </w:pPr>
      <w:r>
        <w:rPr>
          <w:rFonts w:ascii="Times New Roman" w:hAnsi="Times New Roman" w:eastAsia="宋体"/>
          <w:b/>
          <w:sz w:val="21"/>
        </w:rPr>
        <w:t>关键词：平面应力；艾力应力函数；矩形薄板；端部扰动；有限元分析；Nature-style 科研图</w:t>
      </w:r>
    </w:p>
    <w:p>
      <w:pPr>
        <w:pStyle w:val="Heading1"/>
      </w:pPr>
      <w:r>
        <w:t>目录</w:t>
      </w:r>
    </w:p>
    <w:p>
      <w:r>
        <w:rPr>
          <w:rFonts w:ascii="Times New Roman" w:hAnsi="Times New Roman" w:eastAsia="宋体"/>
        </w:rPr>
        <w:fldChar w:fldCharType="begin"/>
        <w:instrText xml:space="preserve">TOC \o "1-3" \h \z \u</w:instrText>
        <w:fldChar w:fldCharType="separate"/>
        <w:t>目录（在 Word 中右键选择“更新域”即可刷新页码）</w:t>
        <w:fldChar w:fldCharType="end"/>
      </w:r>
    </w:p>
    <w:p>
      <w:pPr>
        <w:sectPr>
          <w:pgSz w:w="11906" w:h="16838"/>
          <w:pgMar w:top="1020" w:right="964" w:bottom="1020" w:left="964" w:header="720" w:footer="720" w:gutter="0"/>
          <w:cols w:space="720" w:num="1"/>
          <w:docGrid w:linePitch="360"/>
        </w:sectPr>
      </w:pPr>
    </w:p>
    <w:p>
      <w:pPr>
        <w:pStyle w:val="Heading1"/>
      </w:pPr>
      <w:r>
        <w:t>1 引言</w:t>
      </w:r>
    </w:p>
    <w:p>
      <w:pPr>
        <w:spacing w:line="288" w:lineRule="auto" w:before="0" w:after="80"/>
        <w:ind w:firstLine="420"/>
      </w:pPr>
      <w:r>
        <w:rPr>
          <w:rFonts w:ascii="Times New Roman" w:hAnsi="Times New Roman" w:eastAsia="宋体"/>
          <w:sz w:val="21"/>
        </w:rPr>
        <w:t>杆、梁等一维结构问题通常可以通过少量广义位移和常微分方程描述，而二维弹性连续体中的位移、应变和应力均为空间场变量。有限元分析的关键步骤，是先将工程对象转化为可验证的连续体边值问题，再通过弱形式或能量原理完成离散。</w:t>
      </w:r>
    </w:p>
    <w:p>
      <w:pPr>
        <w:spacing w:line="288" w:lineRule="auto" w:before="0" w:after="80"/>
        <w:ind w:firstLine="420"/>
      </w:pPr>
      <w:r>
        <w:rPr>
          <w:rFonts w:ascii="Times New Roman" w:hAnsi="Times New Roman" w:eastAsia="宋体"/>
          <w:sz w:val="21"/>
        </w:rPr>
        <w:t>本任务选择矩形薄板单向拉伸作为过渡模型。该问题既包含清晰的均匀拉伸解析基准，也包含由完全固定边界引发的端部二维扰动。因此，它适合用于说明边界条件、泊松效应、应力重分布和有限元建模之间的关系。</w:t>
      </w:r>
    </w:p>
    <w:p>
      <w:pPr>
        <w:sectPr>
          <w:type w:val="continuous"/>
          <w:pgSz w:w="11906" w:h="16838"/>
          <w:pgMar w:top="1020" w:right="964" w:bottom="1020" w:left="964" w:header="720" w:footer="720" w:gutter="0"/>
          <w:cols w:space="720" w:num="2"/>
          <w:docGrid w:linePitch="360"/>
        </w:sectPr>
      </w:pPr>
    </w:p>
    <w:p>
      <w:pPr>
        <w:spacing w:before="120" w:after="40"/>
        <w:jc w:val="center"/>
      </w:pPr>
      <w:r>
        <w:drawing>
          <wp:inline xmlns:a="http://schemas.openxmlformats.org/drawingml/2006/main" xmlns:pic="http://schemas.openxmlformats.org/drawingml/2006/picture">
            <wp:extent cx="5940000" cy="3958168"/>
            <wp:docPr id="1" name="Picture 1"/>
            <wp:cNvGraphicFramePr>
              <a:graphicFrameLocks noChangeAspect="1"/>
            </wp:cNvGraphicFramePr>
            <a:graphic>
              <a:graphicData uri="http://schemas.openxmlformats.org/drawingml/2006/picture">
                <pic:pic>
                  <pic:nvPicPr>
                    <pic:cNvPr id="0" name="Figure_1_problem_setup.png"/>
                    <pic:cNvPicPr/>
                  </pic:nvPicPr>
                  <pic:blipFill>
                    <a:blip r:embed="rId9"/>
                    <a:stretch>
                      <a:fillRect/>
                    </a:stretch>
                  </pic:blipFill>
                  <pic:spPr>
                    <a:xfrm>
                      <a:off x="0" y="0"/>
                      <a:ext cx="5940000" cy="3958168"/>
                    </a:xfrm>
                    <a:prstGeom prst="rect"/>
                  </pic:spPr>
                </pic:pic>
              </a:graphicData>
            </a:graphic>
          </wp:inline>
        </w:drawing>
      </w:r>
    </w:p>
    <w:p>
      <w:pPr>
        <w:spacing w:line="264" w:lineRule="auto" w:before="40" w:after="160"/>
        <w:ind w:firstLine="0"/>
        <w:jc w:val="left"/>
        <w:keepLines/>
      </w:pPr>
      <w:r>
        <w:rPr>
          <w:rFonts w:ascii="Arial" w:hAnsi="Arial" w:eastAsia="等线"/>
          <w:b/>
          <w:sz w:val="19"/>
        </w:rPr>
        <w:t>图 1</w:t>
      </w:r>
      <w:r>
        <w:rPr>
          <w:rFonts w:ascii="Arial" w:hAnsi="Arial" w:eastAsia="等线"/>
          <w:sz w:val="19"/>
        </w:rPr>
        <w:t xml:space="preserve"> 矩形薄板几何模型与边界条件示意图。A，几何尺寸与坐标系；B，左端完全固定、右端均布拉力以及上下自由边界；C，平面应力假设下的面内应力分量；D，从工程问题到控制方程、艾力应力函数和场变量输出的分析流程。</w:t>
      </w:r>
    </w:p>
    <w:p>
      <w:pPr>
        <w:sectPr>
          <w:type w:val="continuous"/>
          <w:pgSz w:w="11906" w:h="16838"/>
          <w:pgMar w:top="1020" w:right="964" w:bottom="1020" w:left="964" w:header="720" w:footer="720" w:gutter="0"/>
          <w:cols w:space="720" w:num="1"/>
          <w:docGrid w:linePitch="360"/>
        </w:sectPr>
      </w:pPr>
    </w:p>
    <w:p>
      <w:pPr>
        <w:pStyle w:val="Heading1"/>
      </w:pPr>
      <w:r>
        <w:t>2 理论基础与边值问题</w:t>
      </w:r>
    </w:p>
    <w:p>
      <w:pPr>
        <w:pStyle w:val="Heading2"/>
      </w:pPr>
      <w:r>
        <w:t>2.1 平面应力假设</w:t>
      </w:r>
    </w:p>
    <w:p>
      <w:pPr>
        <w:spacing w:line="288" w:lineRule="auto" w:before="0" w:after="80"/>
        <w:ind w:firstLine="420"/>
      </w:pPr>
      <w:r>
        <w:rPr>
          <w:rFonts w:ascii="Times New Roman" w:hAnsi="Times New Roman" w:eastAsia="宋体"/>
          <w:sz w:val="21"/>
        </w:rPr>
        <w:t>薄板厚度 t 远小于平面尺寸 L 和 H，厚度方向约束较弱，因此可取 σz ≈ 0，并采用平面应力模型。基本未知量为位移场 u(x,y) 与 v(x,y)，应力分量为 σx、σy 和 τxy，应变分量为 εx、εy 和 γxy。</w:t>
      </w:r>
    </w:p>
    <w:p>
      <w:pPr>
        <w:spacing w:before="120" w:after="60"/>
        <w:ind w:firstLine="0"/>
        <w:keepNext/>
        <w:keepLines/>
      </w:pPr>
      <w:r>
        <w:rPr>
          <w:rFonts w:ascii="Arial" w:hAnsi="Arial" w:eastAsia="等线"/>
          <w:b/>
          <w:sz w:val="19"/>
        </w:rPr>
        <w:t>表 1</w:t>
      </w:r>
      <w:r>
        <w:rPr>
          <w:rFonts w:ascii="Arial" w:hAnsi="Arial" w:eastAsia="等线"/>
          <w:sz w:val="19"/>
        </w:rPr>
        <w:t xml:space="preserve"> 几何、材料与载荷参数。</w:t>
      </w:r>
    </w:p>
    <w:tbl>
      <w:tblPr>
        <w:tblW w:type="auto" w:w="0"/>
        <w:jc w:val="center"/>
        <w:tblLayout w:type="fixed"/>
        <w:tblLook w:firstColumn="1" w:firstRow="1" w:lastColumn="0" w:lastRow="0" w:noHBand="0" w:noVBand="1" w:val="04A0"/>
        <w:tblBorders>
          <w:top w:val="single" w:sz="3" w:space="0" w:color="C8C8C8"/>
          <w:left w:val="single" w:sz="3" w:space="0" w:color="C8C8C8"/>
          <w:bottom w:val="single" w:sz="3" w:space="0" w:color="C8C8C8"/>
          <w:right w:val="single" w:sz="3" w:space="0" w:color="C8C8C8"/>
          <w:insideH w:val="single" w:sz="3" w:space="0" w:color="C8C8C8"/>
          <w:insideV w:val="single" w:sz="3" w:space="0" w:color="C8C8C8"/>
        </w:tblBorders>
      </w:tblPr>
      <w:tblGrid>
        <w:gridCol w:w="3326"/>
        <w:gridCol w:w="3326"/>
        <w:gridCol w:w="3326"/>
      </w:tblGrid>
      <w:tr>
        <w:trPr>
          <w:cantSplit/>
        </w:trPr>
        <w:tc>
          <w:tcPr>
            <w:tcW w:type="dxa" w:w="680"/>
            <w:vAlign w:val="center"/>
            <w:shd w:fill="EFEFEF"/>
          </w:tcPr>
          <w:p>
            <w:pPr>
              <w:spacing w:after="0" w:line="240" w:lineRule="auto"/>
              <w:ind w:firstLine="0"/>
            </w:pPr>
            <w:r/>
            <w:r>
              <w:rPr>
                <w:rFonts w:ascii="Arial" w:hAnsi="Arial" w:eastAsia="等线"/>
                <w:b/>
                <w:sz w:val="17"/>
              </w:rPr>
              <w:t>符号</w:t>
            </w:r>
          </w:p>
        </w:tc>
        <w:tc>
          <w:tcPr>
            <w:tcW w:type="dxa" w:w="1134"/>
            <w:vAlign w:val="center"/>
            <w:shd w:fill="EFEFEF"/>
          </w:tcPr>
          <w:p>
            <w:pPr>
              <w:spacing w:after="0" w:line="240" w:lineRule="auto"/>
              <w:ind w:firstLine="0"/>
            </w:pPr>
            <w:r/>
            <w:r>
              <w:rPr>
                <w:rFonts w:ascii="Arial" w:hAnsi="Arial" w:eastAsia="等线"/>
                <w:b/>
                <w:sz w:val="17"/>
              </w:rPr>
              <w:t>取值</w:t>
            </w:r>
          </w:p>
        </w:tc>
        <w:tc>
          <w:tcPr>
            <w:tcW w:type="dxa" w:w="2381"/>
            <w:vAlign w:val="center"/>
            <w:shd w:fill="EFEFEF"/>
          </w:tcPr>
          <w:p>
            <w:pPr>
              <w:spacing w:after="0" w:line="240" w:lineRule="auto"/>
              <w:ind w:firstLine="0"/>
            </w:pPr>
            <w:r/>
            <w:r>
              <w:rPr>
                <w:rFonts w:ascii="Arial" w:hAnsi="Arial" w:eastAsia="等线"/>
                <w:b/>
                <w:sz w:val="17"/>
              </w:rPr>
              <w:t>含义</w:t>
            </w:r>
          </w:p>
        </w:tc>
      </w:tr>
      <w:tr>
        <w:trPr>
          <w:cantSplit/>
        </w:trPr>
        <w:tc>
          <w:tcPr>
            <w:tcW w:type="dxa" w:w="680"/>
            <w:vAlign w:val="center"/>
          </w:tcPr>
          <w:p>
            <w:pPr>
              <w:spacing w:after="0" w:line="240" w:lineRule="auto"/>
              <w:ind w:firstLine="0"/>
            </w:pPr>
            <w:r/>
            <w:r>
              <w:rPr>
                <w:rFonts w:ascii="Arial" w:hAnsi="Arial" w:eastAsia="等线"/>
                <w:b w:val="0"/>
                <w:sz w:val="17"/>
              </w:rPr>
              <w:t>L</w:t>
            </w:r>
          </w:p>
        </w:tc>
        <w:tc>
          <w:tcPr>
            <w:tcW w:type="dxa" w:w="1134"/>
            <w:vAlign w:val="center"/>
          </w:tcPr>
          <w:p>
            <w:pPr>
              <w:spacing w:after="0" w:line="240" w:lineRule="auto"/>
              <w:ind w:firstLine="0"/>
            </w:pPr>
            <w:r/>
            <w:r>
              <w:rPr>
                <w:rFonts w:ascii="Arial" w:hAnsi="Arial" w:eastAsia="等线"/>
                <w:b w:val="0"/>
                <w:sz w:val="17"/>
              </w:rPr>
              <w:t>1.0 m</w:t>
            </w:r>
          </w:p>
        </w:tc>
        <w:tc>
          <w:tcPr>
            <w:tcW w:type="dxa" w:w="2381"/>
            <w:vAlign w:val="center"/>
          </w:tcPr>
          <w:p>
            <w:pPr>
              <w:spacing w:after="0" w:line="240" w:lineRule="auto"/>
              <w:ind w:firstLine="0"/>
            </w:pPr>
            <w:r/>
            <w:r>
              <w:rPr>
                <w:rFonts w:ascii="Arial" w:hAnsi="Arial" w:eastAsia="等线"/>
                <w:b w:val="0"/>
                <w:sz w:val="17"/>
              </w:rPr>
              <w:t>板长</w:t>
            </w:r>
          </w:p>
        </w:tc>
      </w:tr>
      <w:tr>
        <w:trPr>
          <w:cantSplit/>
        </w:trPr>
        <w:tc>
          <w:tcPr>
            <w:tcW w:type="dxa" w:w="680"/>
            <w:vAlign w:val="center"/>
          </w:tcPr>
          <w:p>
            <w:pPr>
              <w:spacing w:after="0" w:line="240" w:lineRule="auto"/>
              <w:ind w:firstLine="0"/>
            </w:pPr>
            <w:r/>
            <w:r>
              <w:rPr>
                <w:rFonts w:ascii="Arial" w:hAnsi="Arial" w:eastAsia="等线"/>
                <w:b w:val="0"/>
                <w:sz w:val="17"/>
              </w:rPr>
              <w:t>H</w:t>
            </w:r>
          </w:p>
        </w:tc>
        <w:tc>
          <w:tcPr>
            <w:tcW w:type="dxa" w:w="1134"/>
            <w:vAlign w:val="center"/>
          </w:tcPr>
          <w:p>
            <w:pPr>
              <w:spacing w:after="0" w:line="240" w:lineRule="auto"/>
              <w:ind w:firstLine="0"/>
            </w:pPr>
            <w:r/>
            <w:r>
              <w:rPr>
                <w:rFonts w:ascii="Arial" w:hAnsi="Arial" w:eastAsia="等线"/>
                <w:b w:val="0"/>
                <w:sz w:val="17"/>
              </w:rPr>
              <w:t>0.4 m</w:t>
            </w:r>
          </w:p>
        </w:tc>
        <w:tc>
          <w:tcPr>
            <w:tcW w:type="dxa" w:w="2381"/>
            <w:vAlign w:val="center"/>
          </w:tcPr>
          <w:p>
            <w:pPr>
              <w:spacing w:after="0" w:line="240" w:lineRule="auto"/>
              <w:ind w:firstLine="0"/>
            </w:pPr>
            <w:r/>
            <w:r>
              <w:rPr>
                <w:rFonts w:ascii="Arial" w:hAnsi="Arial" w:eastAsia="等线"/>
                <w:b w:val="0"/>
                <w:sz w:val="17"/>
              </w:rPr>
              <w:t>板高</w:t>
            </w:r>
          </w:p>
        </w:tc>
      </w:tr>
      <w:tr>
        <w:trPr>
          <w:cantSplit/>
        </w:trPr>
        <w:tc>
          <w:tcPr>
            <w:tcW w:type="dxa" w:w="680"/>
            <w:vAlign w:val="center"/>
          </w:tcPr>
          <w:p>
            <w:pPr>
              <w:spacing w:after="0" w:line="240" w:lineRule="auto"/>
              <w:ind w:firstLine="0"/>
            </w:pPr>
            <w:r/>
            <w:r>
              <w:rPr>
                <w:rFonts w:ascii="Arial" w:hAnsi="Arial" w:eastAsia="等线"/>
                <w:b w:val="0"/>
                <w:sz w:val="17"/>
              </w:rPr>
              <w:t>t</w:t>
            </w:r>
          </w:p>
        </w:tc>
        <w:tc>
          <w:tcPr>
            <w:tcW w:type="dxa" w:w="1134"/>
            <w:vAlign w:val="center"/>
          </w:tcPr>
          <w:p>
            <w:pPr>
              <w:spacing w:after="0" w:line="240" w:lineRule="auto"/>
              <w:ind w:firstLine="0"/>
            </w:pPr>
            <w:r/>
            <w:r>
              <w:rPr>
                <w:rFonts w:ascii="Arial" w:hAnsi="Arial" w:eastAsia="等线"/>
                <w:b w:val="0"/>
                <w:sz w:val="17"/>
              </w:rPr>
              <w:t>0.01 m</w:t>
            </w:r>
          </w:p>
        </w:tc>
        <w:tc>
          <w:tcPr>
            <w:tcW w:type="dxa" w:w="2381"/>
            <w:vAlign w:val="center"/>
          </w:tcPr>
          <w:p>
            <w:pPr>
              <w:spacing w:after="0" w:line="240" w:lineRule="auto"/>
              <w:ind w:firstLine="0"/>
            </w:pPr>
            <w:r/>
            <w:r>
              <w:rPr>
                <w:rFonts w:ascii="Arial" w:hAnsi="Arial" w:eastAsia="等线"/>
                <w:b w:val="0"/>
                <w:sz w:val="17"/>
              </w:rPr>
              <w:t>板厚</w:t>
            </w:r>
          </w:p>
        </w:tc>
      </w:tr>
      <w:tr>
        <w:trPr>
          <w:cantSplit/>
        </w:trPr>
        <w:tc>
          <w:tcPr>
            <w:tcW w:type="dxa" w:w="680"/>
            <w:vAlign w:val="center"/>
          </w:tcPr>
          <w:p>
            <w:pPr>
              <w:spacing w:after="0" w:line="240" w:lineRule="auto"/>
              <w:ind w:firstLine="0"/>
            </w:pPr>
            <w:r/>
            <w:r>
              <w:rPr>
                <w:rFonts w:ascii="Arial" w:hAnsi="Arial" w:eastAsia="等线"/>
                <w:b w:val="0"/>
                <w:sz w:val="17"/>
              </w:rPr>
              <w:t>E</w:t>
            </w:r>
          </w:p>
        </w:tc>
        <w:tc>
          <w:tcPr>
            <w:tcW w:type="dxa" w:w="1134"/>
            <w:vAlign w:val="center"/>
          </w:tcPr>
          <w:p>
            <w:pPr>
              <w:spacing w:after="0" w:line="240" w:lineRule="auto"/>
              <w:ind w:firstLine="0"/>
            </w:pPr>
            <w:r/>
            <w:r>
              <w:rPr>
                <w:rFonts w:ascii="Arial" w:hAnsi="Arial" w:eastAsia="等线"/>
                <w:b w:val="0"/>
                <w:sz w:val="17"/>
              </w:rPr>
              <w:t>210 GPa</w:t>
            </w:r>
          </w:p>
        </w:tc>
        <w:tc>
          <w:tcPr>
            <w:tcW w:type="dxa" w:w="2381"/>
            <w:vAlign w:val="center"/>
          </w:tcPr>
          <w:p>
            <w:pPr>
              <w:spacing w:after="0" w:line="240" w:lineRule="auto"/>
              <w:ind w:firstLine="0"/>
            </w:pPr>
            <w:r/>
            <w:r>
              <w:rPr>
                <w:rFonts w:ascii="Arial" w:hAnsi="Arial" w:eastAsia="等线"/>
                <w:b w:val="0"/>
                <w:sz w:val="17"/>
              </w:rPr>
              <w:t>弹性模量</w:t>
            </w:r>
          </w:p>
        </w:tc>
      </w:tr>
      <w:tr>
        <w:trPr>
          <w:cantSplit/>
        </w:trPr>
        <w:tc>
          <w:tcPr>
            <w:tcW w:type="dxa" w:w="680"/>
            <w:vAlign w:val="center"/>
          </w:tcPr>
          <w:p>
            <w:pPr>
              <w:spacing w:after="0" w:line="240" w:lineRule="auto"/>
              <w:ind w:firstLine="0"/>
            </w:pPr>
            <w:r/>
            <w:r>
              <w:rPr>
                <w:rFonts w:ascii="Arial" w:hAnsi="Arial" w:eastAsia="等线"/>
                <w:b w:val="0"/>
                <w:sz w:val="17"/>
              </w:rPr>
              <w:t>ν</w:t>
            </w:r>
          </w:p>
        </w:tc>
        <w:tc>
          <w:tcPr>
            <w:tcW w:type="dxa" w:w="1134"/>
            <w:vAlign w:val="center"/>
          </w:tcPr>
          <w:p>
            <w:pPr>
              <w:spacing w:after="0" w:line="240" w:lineRule="auto"/>
              <w:ind w:firstLine="0"/>
            </w:pPr>
            <w:r/>
            <w:r>
              <w:rPr>
                <w:rFonts w:ascii="Arial" w:hAnsi="Arial" w:eastAsia="等线"/>
                <w:b w:val="0"/>
                <w:sz w:val="17"/>
              </w:rPr>
              <w:t>0.30</w:t>
            </w:r>
          </w:p>
        </w:tc>
        <w:tc>
          <w:tcPr>
            <w:tcW w:type="dxa" w:w="2381"/>
            <w:vAlign w:val="center"/>
          </w:tcPr>
          <w:p>
            <w:pPr>
              <w:spacing w:after="0" w:line="240" w:lineRule="auto"/>
              <w:ind w:firstLine="0"/>
            </w:pPr>
            <w:r/>
            <w:r>
              <w:rPr>
                <w:rFonts w:ascii="Arial" w:hAnsi="Arial" w:eastAsia="等线"/>
                <w:b w:val="0"/>
                <w:sz w:val="17"/>
              </w:rPr>
              <w:t>泊松比</w:t>
            </w:r>
          </w:p>
        </w:tc>
      </w:tr>
      <w:tr>
        <w:trPr>
          <w:cantSplit/>
        </w:trPr>
        <w:tc>
          <w:tcPr>
            <w:tcW w:type="dxa" w:w="680"/>
            <w:vAlign w:val="center"/>
          </w:tcPr>
          <w:p>
            <w:pPr>
              <w:spacing w:after="0" w:line="240" w:lineRule="auto"/>
              <w:ind w:firstLine="0"/>
            </w:pPr>
            <w:r/>
            <w:r>
              <w:rPr>
                <w:rFonts w:ascii="Arial" w:hAnsi="Arial" w:eastAsia="等线"/>
                <w:b w:val="0"/>
                <w:sz w:val="17"/>
              </w:rPr>
              <w:t>q</w:t>
            </w:r>
          </w:p>
        </w:tc>
        <w:tc>
          <w:tcPr>
            <w:tcW w:type="dxa" w:w="1134"/>
            <w:vAlign w:val="center"/>
          </w:tcPr>
          <w:p>
            <w:pPr>
              <w:spacing w:after="0" w:line="240" w:lineRule="auto"/>
              <w:ind w:firstLine="0"/>
            </w:pPr>
            <w:r/>
            <w:r>
              <w:rPr>
                <w:rFonts w:ascii="Arial" w:hAnsi="Arial" w:eastAsia="等线"/>
                <w:b w:val="0"/>
                <w:sz w:val="17"/>
              </w:rPr>
              <w:t>100 MPa</w:t>
            </w:r>
          </w:p>
        </w:tc>
        <w:tc>
          <w:tcPr>
            <w:tcW w:type="dxa" w:w="2381"/>
            <w:vAlign w:val="center"/>
          </w:tcPr>
          <w:p>
            <w:pPr>
              <w:spacing w:after="0" w:line="240" w:lineRule="auto"/>
              <w:ind w:firstLine="0"/>
            </w:pPr>
            <w:r/>
            <w:r>
              <w:rPr>
                <w:rFonts w:ascii="Arial" w:hAnsi="Arial" w:eastAsia="等线"/>
                <w:b w:val="0"/>
                <w:sz w:val="17"/>
              </w:rPr>
              <w:t>右端均布拉应力</w:t>
            </w:r>
          </w:p>
        </w:tc>
      </w:tr>
      <w:tr>
        <w:trPr>
          <w:cantSplit/>
        </w:trPr>
        <w:tc>
          <w:tcPr>
            <w:tcW w:type="dxa" w:w="680"/>
            <w:vAlign w:val="center"/>
          </w:tcPr>
          <w:p>
            <w:pPr>
              <w:spacing w:after="0" w:line="240" w:lineRule="auto"/>
              <w:ind w:firstLine="0"/>
            </w:pPr>
            <w:r/>
            <w:r>
              <w:rPr>
                <w:rFonts w:ascii="Arial" w:hAnsi="Arial" w:eastAsia="等线"/>
                <w:b w:val="0"/>
                <w:sz w:val="17"/>
              </w:rPr>
              <w:t>G</w:t>
            </w:r>
          </w:p>
        </w:tc>
        <w:tc>
          <w:tcPr>
            <w:tcW w:type="dxa" w:w="1134"/>
            <w:vAlign w:val="center"/>
          </w:tcPr>
          <w:p>
            <w:pPr>
              <w:spacing w:after="0" w:line="240" w:lineRule="auto"/>
              <w:ind w:firstLine="0"/>
            </w:pPr>
            <w:r/>
            <w:r>
              <w:rPr>
                <w:rFonts w:ascii="Arial" w:hAnsi="Arial" w:eastAsia="等线"/>
                <w:b w:val="0"/>
                <w:sz w:val="17"/>
              </w:rPr>
              <w:t>E/[2(1 + ν)]</w:t>
            </w:r>
          </w:p>
        </w:tc>
        <w:tc>
          <w:tcPr>
            <w:tcW w:type="dxa" w:w="2381"/>
            <w:vAlign w:val="center"/>
          </w:tcPr>
          <w:p>
            <w:pPr>
              <w:spacing w:after="0" w:line="240" w:lineRule="auto"/>
              <w:ind w:firstLine="0"/>
            </w:pPr>
            <w:r/>
            <w:r>
              <w:rPr>
                <w:rFonts w:ascii="Arial" w:hAnsi="Arial" w:eastAsia="等线"/>
                <w:b w:val="0"/>
                <w:sz w:val="17"/>
              </w:rPr>
              <w:t>剪切模量</w:t>
            </w:r>
          </w:p>
        </w:tc>
      </w:tr>
    </w:tbl>
    <w:p>
      <w:pPr>
        <w:pStyle w:val="Heading2"/>
      </w:pPr>
      <w:r>
        <w:t>2.2 控制方程</w:t>
      </w:r>
    </w:p>
    <w:p>
      <w:pPr>
        <w:spacing w:line="288" w:lineRule="auto" w:before="0" w:after="80"/>
        <w:ind w:firstLine="420"/>
      </w:pPr>
      <w:r>
        <w:rPr>
          <w:rFonts w:ascii="Times New Roman" w:hAnsi="Times New Roman" w:eastAsia="宋体"/>
          <w:sz w:val="21"/>
        </w:rPr>
        <w:t>忽略体力时，二维平面弹性强形式由平衡方程、几何方程和本构方程组成。为避免公式像代码文本，下面的主要方程均以 Word OfficeMath 形式给出，可在 Word 中直接编辑。</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969"/>
        <w:gridCol w:w="567"/>
      </w:tblGrid>
      <w:tr>
        <w:tc>
          <w:tcPr>
            <w:tcW w:type="dxa" w:w="4989"/>
            <w:vAlign w:val="center"/>
          </w:tcPr>
          <w:p>
            <w:pPr>
              <w:spacing w:before="60" w:after="60"/>
              <w:jc w:val="center"/>
            </w:pPr>
            <m:oMathPara>
              <m:oMath>
                <m:f>
                  <m:num>
                    <m:r>
                      <m:t>∂σₓ</m:t>
                    </m:r>
                  </m:num>
                  <m:den>
                    <m:r>
                      <m:t>∂x</m:t>
                    </m:r>
                  </m:den>
                </m:f>
                <m:r>
                  <m:t>+</m:t>
                </m:r>
                <m:f>
                  <m:num>
                    <m:r>
                      <m:t>∂τₓᵧ</m:t>
                    </m:r>
                  </m:num>
                  <m:den>
                    <m:r>
                      <m:t>∂y</m:t>
                    </m:r>
                  </m:den>
                </m:f>
                <m:r>
                  <m:t>=0,   </m:t>
                </m:r>
                <m:f>
                  <m:num>
                    <m:r>
                      <m:t>∂τₓᵧ</m:t>
                    </m:r>
                  </m:num>
                  <m:den>
                    <m:r>
                      <m:t>∂x</m:t>
                    </m:r>
                  </m:den>
                </m:f>
                <m:r>
                  <m:t>+</m:t>
                </m:r>
                <m:f>
                  <m:num>
                    <m:r>
                      <m:t>∂σᵧ</m:t>
                    </m:r>
                  </m:num>
                  <m:den>
                    <m:r>
                      <m:t>∂y</m:t>
                    </m:r>
                  </m:den>
                </m:f>
                <m:r>
                  <m:t>=0</m:t>
                </m:r>
              </m:oMath>
            </m:oMathPara>
          </w:p>
        </w:tc>
        <w:tc>
          <w:tcPr>
            <w:tcW w:type="dxa" w:w="4989"/>
            <w:vAlign w:val="center"/>
          </w:tcPr>
          <w:p>
            <w:pPr>
              <w:jc w:val="right"/>
            </w:pPr>
            <w:r>
              <w:rPr>
                <w:rFonts w:ascii="Times New Roman" w:hAnsi="Times New Roman" w:eastAsia="宋体"/>
                <w:sz w:val="20"/>
              </w:rPr>
              <w:t>(1)</w:t>
            </w:r>
          </w:p>
        </w:tc>
      </w:tr>
    </w:tbl>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969"/>
        <w:gridCol w:w="567"/>
      </w:tblGrid>
      <w:tr>
        <w:tc>
          <w:tcPr>
            <w:tcW w:type="dxa" w:w="4989"/>
            <w:vAlign w:val="center"/>
          </w:tcPr>
          <w:p>
            <w:pPr>
              <w:spacing w:before="60" w:after="60"/>
              <w:jc w:val="center"/>
            </w:pPr>
            <m:oMathPara>
              <m:oMath>
                <m:r>
                  <m:t>εₓ=</m:t>
                </m:r>
                <m:f>
                  <m:num>
                    <m:r>
                      <m:t>∂u</m:t>
                    </m:r>
                  </m:num>
                  <m:den>
                    <m:r>
                      <m:t>∂x</m:t>
                    </m:r>
                  </m:den>
                </m:f>
                <m:r>
                  <m:t>,   εᵧ=</m:t>
                </m:r>
                <m:f>
                  <m:num>
                    <m:r>
                      <m:t>∂v</m:t>
                    </m:r>
                  </m:num>
                  <m:den>
                    <m:r>
                      <m:t>∂y</m:t>
                    </m:r>
                  </m:den>
                </m:f>
                <m:r>
                  <m:t>,   γₓᵧ=</m:t>
                </m:r>
                <m:f>
                  <m:num>
                    <m:r>
                      <m:t>∂u</m:t>
                    </m:r>
                  </m:num>
                  <m:den>
                    <m:r>
                      <m:t>∂y</m:t>
                    </m:r>
                  </m:den>
                </m:f>
                <m:r>
                  <m:t>+</m:t>
                </m:r>
                <m:f>
                  <m:num>
                    <m:r>
                      <m:t>∂v</m:t>
                    </m:r>
                  </m:num>
                  <m:den>
                    <m:r>
                      <m:t>∂x</m:t>
                    </m:r>
                  </m:den>
                </m:f>
              </m:oMath>
            </m:oMathPara>
          </w:p>
        </w:tc>
        <w:tc>
          <w:tcPr>
            <w:tcW w:type="dxa" w:w="4989"/>
            <w:vAlign w:val="center"/>
          </w:tcPr>
          <w:p>
            <w:pPr>
              <w:jc w:val="right"/>
            </w:pPr>
            <w:r>
              <w:rPr>
                <w:rFonts w:ascii="Times New Roman" w:hAnsi="Times New Roman" w:eastAsia="宋体"/>
                <w:sz w:val="20"/>
              </w:rPr>
              <w:t>(2)</w:t>
            </w:r>
          </w:p>
        </w:tc>
      </w:tr>
    </w:tbl>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969"/>
        <w:gridCol w:w="567"/>
      </w:tblGrid>
      <w:tr>
        <w:tc>
          <w:tcPr>
            <w:tcW w:type="dxa" w:w="4989"/>
            <w:vAlign w:val="center"/>
          </w:tcPr>
          <w:p>
            <w:pPr>
              <w:spacing w:before="60" w:after="60"/>
              <w:jc w:val="center"/>
            </w:pPr>
            <m:oMathPara>
              <m:oMath>
                <m:m>
                  <m:mr>
                    <m:e>
                      <m:r>
                        <m:t>εₓ</m:t>
                      </m:r>
                    </m:e>
                  </m:mr>
                  <m:mr>
                    <m:e>
                      <m:r>
                        <m:t>εᵧ</m:t>
                      </m:r>
                    </m:e>
                  </m:mr>
                  <m:mr>
                    <m:e>
                      <m:r>
                        <m:t>γₓᵧ</m:t>
                      </m:r>
                    </m:e>
                  </m:mr>
                </m:m>
                <m:r>
                  <m:t>=</m:t>
                </m:r>
                <m:f>
                  <m:num>
                    <m:r>
                      <m:t>1</m:t>
                    </m:r>
                  </m:num>
                  <m:den>
                    <m:r>
                      <m:t>E</m:t>
                    </m:r>
                  </m:den>
                </m:f>
                <m:m>
                  <m:mr>
                    <m:e>
                      <m:r>
                        <m:t>1</m:t>
                      </m:r>
                    </m:e>
                    <m:e>
                      <m:r>
                        <m:t>-ν</m:t>
                      </m:r>
                    </m:e>
                    <m:e>
                      <m:r>
                        <m:t>0</m:t>
                      </m:r>
                    </m:e>
                  </m:mr>
                  <m:mr>
                    <m:e>
                      <m:r>
                        <m:t>-ν</m:t>
                      </m:r>
                    </m:e>
                    <m:e>
                      <m:r>
                        <m:t>1</m:t>
                      </m:r>
                    </m:e>
                    <m:e>
                      <m:r>
                        <m:t>0</m:t>
                      </m:r>
                    </m:e>
                  </m:mr>
                  <m:mr>
                    <m:e>
                      <m:r>
                        <m:t>0</m:t>
                      </m:r>
                    </m:e>
                    <m:e>
                      <m:r>
                        <m:t>0</m:t>
                      </m:r>
                    </m:e>
                    <m:e>
                      <m:r>
                        <m:t>2(1+ν)</m:t>
                      </m:r>
                    </m:e>
                  </m:mr>
                </m:m>
                <m:m>
                  <m:mr>
                    <m:e>
                      <m:r>
                        <m:t>σₓ</m:t>
                      </m:r>
                    </m:e>
                  </m:mr>
                  <m:mr>
                    <m:e>
                      <m:r>
                        <m:t>σᵧ</m:t>
                      </m:r>
                    </m:e>
                  </m:mr>
                  <m:mr>
                    <m:e>
                      <m:r>
                        <m:t>τₓᵧ</m:t>
                      </m:r>
                    </m:e>
                  </m:mr>
                </m:m>
              </m:oMath>
            </m:oMathPara>
          </w:p>
        </w:tc>
        <w:tc>
          <w:tcPr>
            <w:tcW w:type="dxa" w:w="4989"/>
            <w:vAlign w:val="center"/>
          </w:tcPr>
          <w:p>
            <w:pPr>
              <w:jc w:val="right"/>
            </w:pPr>
            <w:r>
              <w:rPr>
                <w:rFonts w:ascii="Times New Roman" w:hAnsi="Times New Roman" w:eastAsia="宋体"/>
                <w:sz w:val="20"/>
              </w:rPr>
              <w:t>(3)</w:t>
            </w:r>
          </w:p>
        </w:tc>
      </w:tr>
    </w:tbl>
    <w:p>
      <w:pPr>
        <w:spacing w:before="120" w:after="60"/>
        <w:ind w:firstLine="0"/>
        <w:keepNext/>
        <w:keepLines/>
      </w:pPr>
      <w:r>
        <w:rPr>
          <w:rFonts w:ascii="Arial" w:hAnsi="Arial" w:eastAsia="等线"/>
          <w:b/>
          <w:sz w:val="19"/>
        </w:rPr>
        <w:t>表 2</w:t>
      </w:r>
      <w:r>
        <w:rPr>
          <w:rFonts w:ascii="Arial" w:hAnsi="Arial" w:eastAsia="等线"/>
          <w:sz w:val="19"/>
        </w:rPr>
        <w:t xml:space="preserve"> 控制方程与边界条件的紧凑整理。</w:t>
      </w:r>
    </w:p>
    <w:tbl>
      <w:tblPr>
        <w:tblW w:type="auto" w:w="0"/>
        <w:jc w:val="center"/>
        <w:tblLayout w:type="fixed"/>
        <w:tblLook w:firstColumn="1" w:firstRow="1" w:lastColumn="0" w:lastRow="0" w:noHBand="0" w:noVBand="1" w:val="04A0"/>
        <w:tblBorders>
          <w:top w:val="single" w:sz="3" w:space="0" w:color="C8C8C8"/>
          <w:left w:val="single" w:sz="3" w:space="0" w:color="C8C8C8"/>
          <w:bottom w:val="single" w:sz="3" w:space="0" w:color="C8C8C8"/>
          <w:right w:val="single" w:sz="3" w:space="0" w:color="C8C8C8"/>
          <w:insideH w:val="single" w:sz="3" w:space="0" w:color="C8C8C8"/>
          <w:insideV w:val="single" w:sz="3" w:space="0" w:color="C8C8C8"/>
        </w:tblBorders>
      </w:tblPr>
      <w:tblGrid>
        <w:gridCol w:w="3326"/>
        <w:gridCol w:w="3326"/>
        <w:gridCol w:w="3326"/>
      </w:tblGrid>
      <w:tr>
        <w:trPr>
          <w:cantSplit/>
        </w:trPr>
        <w:tc>
          <w:tcPr>
            <w:tcW w:type="dxa" w:w="822"/>
            <w:vAlign w:val="center"/>
            <w:shd w:fill="EFEFEF"/>
          </w:tcPr>
          <w:p>
            <w:pPr>
              <w:spacing w:after="0" w:line="240" w:lineRule="auto"/>
              <w:ind w:firstLine="0"/>
            </w:pPr>
            <w:r/>
            <w:r>
              <w:rPr>
                <w:rFonts w:ascii="Arial" w:hAnsi="Arial" w:eastAsia="等线"/>
                <w:b/>
                <w:sz w:val="17"/>
              </w:rPr>
              <w:t>类别</w:t>
            </w:r>
          </w:p>
        </w:tc>
        <w:tc>
          <w:tcPr>
            <w:tcW w:type="dxa" w:w="1956"/>
            <w:vAlign w:val="center"/>
            <w:shd w:fill="EFEFEF"/>
          </w:tcPr>
          <w:p>
            <w:pPr>
              <w:spacing w:after="0" w:line="240" w:lineRule="auto"/>
              <w:ind w:firstLine="0"/>
            </w:pPr>
            <w:r/>
            <w:r>
              <w:rPr>
                <w:rFonts w:ascii="Arial" w:hAnsi="Arial" w:eastAsia="等线"/>
                <w:b/>
                <w:sz w:val="17"/>
              </w:rPr>
              <w:t>表达</w:t>
            </w:r>
          </w:p>
        </w:tc>
        <w:tc>
          <w:tcPr>
            <w:tcW w:type="dxa" w:w="1446"/>
            <w:vAlign w:val="center"/>
            <w:shd w:fill="EFEFEF"/>
          </w:tcPr>
          <w:p>
            <w:pPr>
              <w:spacing w:after="0" w:line="240" w:lineRule="auto"/>
              <w:ind w:firstLine="0"/>
            </w:pPr>
            <w:r/>
            <w:r>
              <w:rPr>
                <w:rFonts w:ascii="Arial" w:hAnsi="Arial" w:eastAsia="等线"/>
                <w:b/>
                <w:sz w:val="17"/>
              </w:rPr>
              <w:t>物理意义</w:t>
            </w:r>
          </w:p>
        </w:tc>
      </w:tr>
      <w:tr>
        <w:trPr>
          <w:cantSplit/>
        </w:trPr>
        <w:tc>
          <w:tcPr>
            <w:tcW w:type="dxa" w:w="822"/>
            <w:vAlign w:val="center"/>
          </w:tcPr>
          <w:p>
            <w:pPr>
              <w:spacing w:after="0" w:line="240" w:lineRule="auto"/>
              <w:ind w:firstLine="0"/>
            </w:pPr>
            <w:r/>
            <w:r>
              <w:rPr>
                <w:rFonts w:ascii="Arial" w:hAnsi="Arial" w:eastAsia="等线"/>
                <w:b w:val="0"/>
                <w:sz w:val="17"/>
              </w:rPr>
              <w:t>区域 Ω</w:t>
            </w:r>
          </w:p>
        </w:tc>
        <w:tc>
          <w:tcPr>
            <w:tcW w:type="dxa" w:w="1956"/>
            <w:vAlign w:val="center"/>
          </w:tcPr>
          <w:p>
            <w:pPr>
              <w:spacing w:after="0" w:line="240" w:lineRule="auto"/>
              <w:ind w:firstLine="0"/>
            </w:pPr>
            <w:r/>
            <w:r>
              <w:rPr>
                <w:rFonts w:ascii="Arial" w:hAnsi="Arial" w:eastAsia="等线"/>
                <w:b w:val="0"/>
                <w:sz w:val="17"/>
              </w:rPr>
              <w:t>0 &lt; x &lt; L, −H/2 &lt; y &lt; H/2</w:t>
            </w:r>
          </w:p>
        </w:tc>
        <w:tc>
          <w:tcPr>
            <w:tcW w:type="dxa" w:w="1446"/>
            <w:vAlign w:val="center"/>
          </w:tcPr>
          <w:p>
            <w:pPr>
              <w:spacing w:after="0" w:line="240" w:lineRule="auto"/>
              <w:ind w:firstLine="0"/>
            </w:pPr>
            <w:r/>
            <w:r>
              <w:rPr>
                <w:rFonts w:ascii="Arial" w:hAnsi="Arial" w:eastAsia="等线"/>
                <w:b w:val="0"/>
                <w:sz w:val="17"/>
              </w:rPr>
              <w:t>矩形薄板中面区域</w:t>
            </w:r>
          </w:p>
        </w:tc>
      </w:tr>
      <w:tr>
        <w:trPr>
          <w:cantSplit/>
        </w:trPr>
        <w:tc>
          <w:tcPr>
            <w:tcW w:type="dxa" w:w="822"/>
            <w:vAlign w:val="center"/>
          </w:tcPr>
          <w:p>
            <w:pPr>
              <w:spacing w:after="0" w:line="240" w:lineRule="auto"/>
              <w:ind w:firstLine="0"/>
            </w:pPr>
            <w:r/>
            <w:r>
              <w:rPr>
                <w:rFonts w:ascii="Arial" w:hAnsi="Arial" w:eastAsia="等线"/>
                <w:b w:val="0"/>
                <w:sz w:val="17"/>
              </w:rPr>
              <w:t>平衡方程</w:t>
            </w:r>
          </w:p>
        </w:tc>
        <w:tc>
          <w:tcPr>
            <w:tcW w:type="dxa" w:w="1956"/>
            <w:vAlign w:val="center"/>
          </w:tcPr>
          <w:p>
            <w:pPr>
              <w:spacing w:after="0" w:line="240" w:lineRule="auto"/>
              <w:ind w:firstLine="0"/>
            </w:pPr>
            <w:r/>
            <w:r>
              <w:rPr>
                <w:rFonts w:ascii="Arial" w:hAnsi="Arial" w:eastAsia="等线"/>
                <w:b w:val="0"/>
                <w:sz w:val="17"/>
              </w:rPr>
              <w:t>式（1）</w:t>
            </w:r>
          </w:p>
        </w:tc>
        <w:tc>
          <w:tcPr>
            <w:tcW w:type="dxa" w:w="1446"/>
            <w:vAlign w:val="center"/>
          </w:tcPr>
          <w:p>
            <w:pPr>
              <w:spacing w:after="0" w:line="240" w:lineRule="auto"/>
              <w:ind w:firstLine="0"/>
            </w:pPr>
            <w:r/>
            <w:r>
              <w:rPr>
                <w:rFonts w:ascii="Arial" w:hAnsi="Arial" w:eastAsia="等线"/>
                <w:b w:val="0"/>
                <w:sz w:val="17"/>
              </w:rPr>
              <w:t>无体力条件下的面内力平衡</w:t>
            </w:r>
          </w:p>
        </w:tc>
      </w:tr>
      <w:tr>
        <w:trPr>
          <w:cantSplit/>
        </w:trPr>
        <w:tc>
          <w:tcPr>
            <w:tcW w:type="dxa" w:w="822"/>
            <w:vAlign w:val="center"/>
          </w:tcPr>
          <w:p>
            <w:pPr>
              <w:spacing w:after="0" w:line="240" w:lineRule="auto"/>
              <w:ind w:firstLine="0"/>
            </w:pPr>
            <w:r/>
            <w:r>
              <w:rPr>
                <w:rFonts w:ascii="Arial" w:hAnsi="Arial" w:eastAsia="等线"/>
                <w:b w:val="0"/>
                <w:sz w:val="17"/>
              </w:rPr>
              <w:t>几何方程</w:t>
            </w:r>
          </w:p>
        </w:tc>
        <w:tc>
          <w:tcPr>
            <w:tcW w:type="dxa" w:w="1956"/>
            <w:vAlign w:val="center"/>
          </w:tcPr>
          <w:p>
            <w:pPr>
              <w:spacing w:after="0" w:line="240" w:lineRule="auto"/>
              <w:ind w:firstLine="0"/>
            </w:pPr>
            <w:r/>
            <w:r>
              <w:rPr>
                <w:rFonts w:ascii="Arial" w:hAnsi="Arial" w:eastAsia="等线"/>
                <w:b w:val="0"/>
                <w:sz w:val="17"/>
              </w:rPr>
              <w:t>式（2）</w:t>
            </w:r>
          </w:p>
        </w:tc>
        <w:tc>
          <w:tcPr>
            <w:tcW w:type="dxa" w:w="1446"/>
            <w:vAlign w:val="center"/>
          </w:tcPr>
          <w:p>
            <w:pPr>
              <w:spacing w:after="0" w:line="240" w:lineRule="auto"/>
              <w:ind w:firstLine="0"/>
            </w:pPr>
            <w:r/>
            <w:r>
              <w:rPr>
                <w:rFonts w:ascii="Arial" w:hAnsi="Arial" w:eastAsia="等线"/>
                <w:b w:val="0"/>
                <w:sz w:val="17"/>
              </w:rPr>
              <w:t>小变形应变-位移关系</w:t>
            </w:r>
          </w:p>
        </w:tc>
      </w:tr>
      <w:tr>
        <w:trPr>
          <w:cantSplit/>
        </w:trPr>
        <w:tc>
          <w:tcPr>
            <w:tcW w:type="dxa" w:w="822"/>
            <w:vAlign w:val="center"/>
          </w:tcPr>
          <w:p>
            <w:pPr>
              <w:spacing w:after="0" w:line="240" w:lineRule="auto"/>
              <w:ind w:firstLine="0"/>
            </w:pPr>
            <w:r/>
            <w:r>
              <w:rPr>
                <w:rFonts w:ascii="Arial" w:hAnsi="Arial" w:eastAsia="等线"/>
                <w:b w:val="0"/>
                <w:sz w:val="17"/>
              </w:rPr>
              <w:t>本构关系</w:t>
            </w:r>
          </w:p>
        </w:tc>
        <w:tc>
          <w:tcPr>
            <w:tcW w:type="dxa" w:w="1956"/>
            <w:vAlign w:val="center"/>
          </w:tcPr>
          <w:p>
            <w:pPr>
              <w:spacing w:after="0" w:line="240" w:lineRule="auto"/>
              <w:ind w:firstLine="0"/>
            </w:pPr>
            <w:r/>
            <w:r>
              <w:rPr>
                <w:rFonts w:ascii="Arial" w:hAnsi="Arial" w:eastAsia="等线"/>
                <w:b w:val="0"/>
                <w:sz w:val="17"/>
              </w:rPr>
              <w:t>式（3）</w:t>
            </w:r>
          </w:p>
        </w:tc>
        <w:tc>
          <w:tcPr>
            <w:tcW w:type="dxa" w:w="1446"/>
            <w:vAlign w:val="center"/>
          </w:tcPr>
          <w:p>
            <w:pPr>
              <w:spacing w:after="0" w:line="240" w:lineRule="auto"/>
              <w:ind w:firstLine="0"/>
            </w:pPr>
            <w:r/>
            <w:r>
              <w:rPr>
                <w:rFonts w:ascii="Arial" w:hAnsi="Arial" w:eastAsia="等线"/>
                <w:b w:val="0"/>
                <w:sz w:val="17"/>
              </w:rPr>
              <w:t>各向同性平面应力模型</w:t>
            </w:r>
          </w:p>
        </w:tc>
      </w:tr>
      <w:tr>
        <w:trPr>
          <w:cantSplit/>
        </w:trPr>
        <w:tc>
          <w:tcPr>
            <w:tcW w:type="dxa" w:w="822"/>
            <w:vAlign w:val="center"/>
          </w:tcPr>
          <w:p>
            <w:pPr>
              <w:spacing w:after="0" w:line="240" w:lineRule="auto"/>
              <w:ind w:firstLine="0"/>
            </w:pPr>
            <w:r/>
            <w:r>
              <w:rPr>
                <w:rFonts w:ascii="Arial" w:hAnsi="Arial" w:eastAsia="等线"/>
                <w:b w:val="0"/>
                <w:sz w:val="17"/>
              </w:rPr>
              <w:t>左端固定</w:t>
            </w:r>
          </w:p>
        </w:tc>
        <w:tc>
          <w:tcPr>
            <w:tcW w:type="dxa" w:w="1956"/>
            <w:vAlign w:val="center"/>
          </w:tcPr>
          <w:p>
            <w:pPr>
              <w:spacing w:after="0" w:line="240" w:lineRule="auto"/>
              <w:ind w:firstLine="0"/>
            </w:pPr>
            <w:r/>
            <w:r>
              <w:rPr>
                <w:rFonts w:ascii="Arial" w:hAnsi="Arial" w:eastAsia="等线"/>
                <w:b w:val="0"/>
                <w:sz w:val="17"/>
              </w:rPr>
              <w:t>x = 0: u = 0, v = 0</w:t>
            </w:r>
          </w:p>
        </w:tc>
        <w:tc>
          <w:tcPr>
            <w:tcW w:type="dxa" w:w="1446"/>
            <w:vAlign w:val="center"/>
          </w:tcPr>
          <w:p>
            <w:pPr>
              <w:spacing w:after="0" w:line="240" w:lineRule="auto"/>
              <w:ind w:firstLine="0"/>
            </w:pPr>
            <w:r/>
            <w:r>
              <w:rPr>
                <w:rFonts w:ascii="Arial" w:hAnsi="Arial" w:eastAsia="等线"/>
                <w:b w:val="0"/>
                <w:sz w:val="17"/>
              </w:rPr>
              <w:t>完全固定边界</w:t>
            </w:r>
          </w:p>
        </w:tc>
      </w:tr>
      <w:tr>
        <w:trPr>
          <w:cantSplit/>
        </w:trPr>
        <w:tc>
          <w:tcPr>
            <w:tcW w:type="dxa" w:w="822"/>
            <w:vAlign w:val="center"/>
          </w:tcPr>
          <w:p>
            <w:pPr>
              <w:spacing w:after="0" w:line="240" w:lineRule="auto"/>
              <w:ind w:firstLine="0"/>
            </w:pPr>
            <w:r/>
            <w:r>
              <w:rPr>
                <w:rFonts w:ascii="Arial" w:hAnsi="Arial" w:eastAsia="等线"/>
                <w:b w:val="0"/>
                <w:sz w:val="17"/>
              </w:rPr>
              <w:t>右端载荷</w:t>
            </w:r>
          </w:p>
        </w:tc>
        <w:tc>
          <w:tcPr>
            <w:tcW w:type="dxa" w:w="1956"/>
            <w:vAlign w:val="center"/>
          </w:tcPr>
          <w:p>
            <w:pPr>
              <w:spacing w:after="0" w:line="240" w:lineRule="auto"/>
              <w:ind w:firstLine="0"/>
            </w:pPr>
            <w:r/>
            <w:r>
              <w:rPr>
                <w:rFonts w:ascii="Arial" w:hAnsi="Arial" w:eastAsia="等线"/>
                <w:b w:val="0"/>
                <w:sz w:val="17"/>
              </w:rPr>
              <w:t>x = L: σx = q, τxy = 0</w:t>
            </w:r>
          </w:p>
        </w:tc>
        <w:tc>
          <w:tcPr>
            <w:tcW w:type="dxa" w:w="1446"/>
            <w:vAlign w:val="center"/>
          </w:tcPr>
          <w:p>
            <w:pPr>
              <w:spacing w:after="0" w:line="240" w:lineRule="auto"/>
              <w:ind w:firstLine="0"/>
            </w:pPr>
            <w:r/>
            <w:r>
              <w:rPr>
                <w:rFonts w:ascii="Arial" w:hAnsi="Arial" w:eastAsia="等线"/>
                <w:b w:val="0"/>
                <w:sz w:val="17"/>
              </w:rPr>
              <w:t>均布拉应力</w:t>
            </w:r>
          </w:p>
        </w:tc>
      </w:tr>
      <w:tr>
        <w:trPr>
          <w:cantSplit/>
        </w:trPr>
        <w:tc>
          <w:tcPr>
            <w:tcW w:type="dxa" w:w="822"/>
            <w:vAlign w:val="center"/>
          </w:tcPr>
          <w:p>
            <w:pPr>
              <w:spacing w:after="0" w:line="240" w:lineRule="auto"/>
              <w:ind w:firstLine="0"/>
            </w:pPr>
            <w:r/>
            <w:r>
              <w:rPr>
                <w:rFonts w:ascii="Arial" w:hAnsi="Arial" w:eastAsia="等线"/>
                <w:b w:val="0"/>
                <w:sz w:val="17"/>
              </w:rPr>
              <w:t>上下自由</w:t>
            </w:r>
          </w:p>
        </w:tc>
        <w:tc>
          <w:tcPr>
            <w:tcW w:type="dxa" w:w="1956"/>
            <w:vAlign w:val="center"/>
          </w:tcPr>
          <w:p>
            <w:pPr>
              <w:spacing w:after="0" w:line="240" w:lineRule="auto"/>
              <w:ind w:firstLine="0"/>
            </w:pPr>
            <w:r/>
            <w:r>
              <w:rPr>
                <w:rFonts w:ascii="Arial" w:hAnsi="Arial" w:eastAsia="等线"/>
                <w:b w:val="0"/>
                <w:sz w:val="17"/>
              </w:rPr>
              <w:t>y = ±H/2: σy = 0, τxy = 0</w:t>
            </w:r>
          </w:p>
        </w:tc>
        <w:tc>
          <w:tcPr>
            <w:tcW w:type="dxa" w:w="1446"/>
            <w:vAlign w:val="center"/>
          </w:tcPr>
          <w:p>
            <w:pPr>
              <w:spacing w:after="0" w:line="240" w:lineRule="auto"/>
              <w:ind w:firstLine="0"/>
            </w:pPr>
            <w:r/>
            <w:r>
              <w:rPr>
                <w:rFonts w:ascii="Arial" w:hAnsi="Arial" w:eastAsia="等线"/>
                <w:b w:val="0"/>
                <w:sz w:val="17"/>
              </w:rPr>
              <w:t>自由边界</w:t>
            </w:r>
          </w:p>
        </w:tc>
      </w:tr>
    </w:tbl>
    <w:p>
      <w:pPr>
        <w:pStyle w:val="Heading1"/>
      </w:pPr>
      <w:r>
        <w:t>3 艾力应力函数与解析基准</w:t>
      </w:r>
    </w:p>
    <w:p>
      <w:pPr>
        <w:spacing w:line="288" w:lineRule="auto" w:before="0" w:after="80"/>
        <w:ind w:firstLine="420"/>
      </w:pPr>
      <w:r>
        <w:rPr>
          <w:rFonts w:ascii="Times New Roman" w:hAnsi="Times New Roman" w:eastAsia="宋体"/>
          <w:sz w:val="21"/>
        </w:rPr>
        <w:t>艾力应力函数 Φ 通过二阶偏导生成应力分量，使无体力平衡方程自动满足。其核心作用是把多分量应力求解转化为单个标量函数的构造问题。</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969"/>
        <w:gridCol w:w="567"/>
      </w:tblGrid>
      <w:tr>
        <w:tc>
          <w:tcPr>
            <w:tcW w:type="dxa" w:w="4989"/>
            <w:vAlign w:val="center"/>
          </w:tcPr>
          <w:p>
            <w:pPr>
              <w:spacing w:before="60" w:after="60"/>
              <w:jc w:val="center"/>
            </w:pPr>
            <m:oMathPara>
              <m:oMath>
                <m:r>
                  <m:t>σₓ=</m:t>
                </m:r>
                <m:f>
                  <m:num>
                    <m:r>
                      <m:t>∂²Φ</m:t>
                    </m:r>
                  </m:num>
                  <m:den>
                    <m:r>
                      <m:t>∂y²</m:t>
                    </m:r>
                  </m:den>
                </m:f>
                <m:r>
                  <m:t>,   σᵧ=</m:t>
                </m:r>
                <m:f>
                  <m:num>
                    <m:r>
                      <m:t>∂²Φ</m:t>
                    </m:r>
                  </m:num>
                  <m:den>
                    <m:r>
                      <m:t>∂x²</m:t>
                    </m:r>
                  </m:den>
                </m:f>
                <m:r>
                  <m:t>,   τₓᵧ=-</m:t>
                </m:r>
                <m:f>
                  <m:num>
                    <m:r>
                      <m:t>∂²Φ</m:t>
                    </m:r>
                  </m:num>
                  <m:den>
                    <m:r>
                      <m:t>∂x∂y</m:t>
                    </m:r>
                  </m:den>
                </m:f>
              </m:oMath>
            </m:oMathPara>
          </w:p>
        </w:tc>
        <w:tc>
          <w:tcPr>
            <w:tcW w:type="dxa" w:w="4989"/>
            <w:vAlign w:val="center"/>
          </w:tcPr>
          <w:p>
            <w:pPr>
              <w:jc w:val="right"/>
            </w:pPr>
            <w:r>
              <w:rPr>
                <w:rFonts w:ascii="Times New Roman" w:hAnsi="Times New Roman" w:eastAsia="宋体"/>
                <w:sz w:val="20"/>
              </w:rPr>
              <w:t>(4)</w:t>
            </w:r>
          </w:p>
        </w:tc>
      </w:tr>
    </w:tbl>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969"/>
        <w:gridCol w:w="567"/>
      </w:tblGrid>
      <w:tr>
        <w:tc>
          <w:tcPr>
            <w:tcW w:type="dxa" w:w="4989"/>
            <w:vAlign w:val="center"/>
          </w:tcPr>
          <w:p>
            <w:pPr>
              <w:spacing w:before="60" w:after="60"/>
              <w:jc w:val="center"/>
            </w:pPr>
            <m:oMathPara>
              <m:oMath>
                <m:r>
                  <m:t>∇⁴Φ=0</m:t>
                </m:r>
              </m:oMath>
            </m:oMathPara>
          </w:p>
        </w:tc>
        <w:tc>
          <w:tcPr>
            <w:tcW w:type="dxa" w:w="4989"/>
            <w:vAlign w:val="center"/>
          </w:tcPr>
          <w:p>
            <w:pPr>
              <w:jc w:val="right"/>
            </w:pPr>
            <w:r>
              <w:rPr>
                <w:rFonts w:ascii="Times New Roman" w:hAnsi="Times New Roman" w:eastAsia="宋体"/>
                <w:sz w:val="20"/>
              </w:rPr>
              <w:t>(5)</w:t>
            </w:r>
          </w:p>
        </w:tc>
      </w:tr>
    </w:tbl>
    <w:p>
      <w:pPr>
        <w:spacing w:line="288" w:lineRule="auto" w:before="0" w:after="80"/>
        <w:ind w:firstLine="420"/>
      </w:pPr>
      <w:r>
        <w:rPr>
          <w:rFonts w:ascii="Times New Roman" w:hAnsi="Times New Roman" w:eastAsia="宋体"/>
          <w:sz w:val="21"/>
        </w:rPr>
        <w:t>在均匀拉伸条件下，可取 Φ0 = qy²/2，从而得到 σx = q、σy = 0 和 τxy = 0。相应位移场为 u = qx/E，v = −νqy/E。完全固定左端时，边界 v = 0 与自由泊松收缩不相容，必须引入随 x 衰减的端部扰动项。</w:t>
      </w:r>
    </w:p>
    <w:p>
      <w:pPr>
        <w:pStyle w:val="Heading1"/>
      </w:pPr>
      <w:r>
        <w:t>4 结果与分析</w:t>
      </w:r>
    </w:p>
    <w:p>
      <w:pPr>
        <w:pStyle w:val="Heading2"/>
      </w:pPr>
      <w:r>
        <w:t>4.1 均匀拉伸解</w:t>
      </w:r>
    </w:p>
    <w:p>
      <w:pPr>
        <w:spacing w:line="288" w:lineRule="auto" w:before="0" w:after="80"/>
        <w:ind w:firstLine="420"/>
      </w:pPr>
      <w:r>
        <w:rPr>
          <w:rFonts w:ascii="Times New Roman" w:hAnsi="Times New Roman" w:eastAsia="宋体"/>
          <w:sz w:val="21"/>
        </w:rPr>
        <w:t>均匀拉伸解提供了全场响应的解析基准。如图 2 所示，u 随 x 线性增大，v 随 y 呈反对称分布，σx 在整个板内保持 100 MPa，εx 和 εy 均为空间常量。这一结果说明，只要边界允许自由泊松收缩，矩形薄板可以维持近似一维的应力状态。</w:t>
      </w:r>
    </w:p>
    <w:p>
      <w:pPr>
        <w:sectPr>
          <w:type w:val="continuous"/>
          <w:pgSz w:w="11906" w:h="16838"/>
          <w:pgMar w:top="1020" w:right="964" w:bottom="1020" w:left="964" w:header="720" w:footer="720" w:gutter="0"/>
          <w:cols w:space="720" w:num="2"/>
          <w:docGrid w:linePitch="360"/>
        </w:sectPr>
      </w:pPr>
    </w:p>
    <w:p>
      <w:pPr>
        <w:spacing w:before="120" w:after="40"/>
        <w:jc w:val="center"/>
      </w:pPr>
      <w:r>
        <w:drawing>
          <wp:inline xmlns:a="http://schemas.openxmlformats.org/drawingml/2006/main" xmlns:pic="http://schemas.openxmlformats.org/drawingml/2006/picture">
            <wp:extent cx="5940000" cy="4090106"/>
            <wp:docPr id="2" name="Picture 2"/>
            <wp:cNvGraphicFramePr>
              <a:graphicFrameLocks noChangeAspect="1"/>
            </wp:cNvGraphicFramePr>
            <a:graphic>
              <a:graphicData uri="http://schemas.openxmlformats.org/drawingml/2006/picture">
                <pic:pic>
                  <pic:nvPicPr>
                    <pic:cNvPr id="0" name="Figure_2_uniform_tension_solution.png"/>
                    <pic:cNvPicPr/>
                  </pic:nvPicPr>
                  <pic:blipFill>
                    <a:blip r:embed="rId10"/>
                    <a:stretch>
                      <a:fillRect/>
                    </a:stretch>
                  </pic:blipFill>
                  <pic:spPr>
                    <a:xfrm>
                      <a:off x="0" y="0"/>
                      <a:ext cx="5940000" cy="4090106"/>
                    </a:xfrm>
                    <a:prstGeom prst="rect"/>
                  </pic:spPr>
                </pic:pic>
              </a:graphicData>
            </a:graphic>
          </wp:inline>
        </w:drawing>
      </w:r>
    </w:p>
    <w:p>
      <w:pPr>
        <w:spacing w:line="264" w:lineRule="auto" w:before="40" w:after="160"/>
        <w:ind w:firstLine="0"/>
        <w:jc w:val="left"/>
        <w:keepLines/>
      </w:pPr>
      <w:r>
        <w:rPr>
          <w:rFonts w:ascii="Arial" w:hAnsi="Arial" w:eastAsia="等线"/>
          <w:b/>
          <w:sz w:val="19"/>
        </w:rPr>
        <w:t>图 2</w:t>
      </w:r>
      <w:r>
        <w:rPr>
          <w:rFonts w:ascii="Arial" w:hAnsi="Arial" w:eastAsia="等线"/>
          <w:sz w:val="19"/>
        </w:rPr>
        <w:t xml:space="preserve"> 均匀拉伸解析解。A，x 方向位移场 u；B，y 方向位移场 v；C，σx 应力场；D，εx 与 εy 应变场。图中坐标单位为 m，应力单位为 MPa。</w:t>
      </w:r>
    </w:p>
    <w:p>
      <w:pPr>
        <w:sectPr>
          <w:type w:val="continuous"/>
          <w:pgSz w:w="11906" w:h="16838"/>
          <w:pgMar w:top="1020" w:right="964" w:bottom="1020" w:left="964" w:header="720" w:footer="720" w:gutter="0"/>
          <w:cols w:space="720" w:num="1"/>
          <w:docGrid w:linePitch="360"/>
        </w:sectPr>
      </w:pPr>
    </w:p>
    <w:p>
      <w:pPr>
        <w:pStyle w:val="Heading2"/>
      </w:pPr>
      <w:r>
        <w:t>4.2 完全固定边界的端部扰动</w:t>
      </w:r>
    </w:p>
    <w:p>
      <w:pPr>
        <w:spacing w:line="288" w:lineRule="auto" w:before="0" w:after="80"/>
        <w:ind w:firstLine="420"/>
      </w:pPr>
      <w:r>
        <w:rPr>
          <w:rFonts w:ascii="Times New Roman" w:hAnsi="Times New Roman" w:eastAsia="宋体"/>
          <w:sz w:val="21"/>
        </w:rPr>
        <w:t>完全固定左端抑制了横向自由收缩，使固定端附近出现二维应力重分布。如图 3 所示，σy、τxy 和 γxy 的非零区域主要集中在 x = 0 附近，并随距离固定端增大而快速衰减。这一局部扰动是约束条件与泊松效应不相容的直接结果。</w:t>
      </w:r>
    </w:p>
    <w:p>
      <w:pPr>
        <w:sectPr>
          <w:type w:val="continuous"/>
          <w:pgSz w:w="11906" w:h="16838"/>
          <w:pgMar w:top="1020" w:right="964" w:bottom="1020" w:left="964" w:header="720" w:footer="720" w:gutter="0"/>
          <w:cols w:space="720" w:num="2"/>
          <w:docGrid w:linePitch="360"/>
        </w:sectPr>
      </w:pPr>
    </w:p>
    <w:p>
      <w:pPr>
        <w:spacing w:before="120" w:after="40"/>
        <w:jc w:val="center"/>
      </w:pPr>
      <w:r>
        <w:drawing>
          <wp:inline xmlns:a="http://schemas.openxmlformats.org/drawingml/2006/main" xmlns:pic="http://schemas.openxmlformats.org/drawingml/2006/picture">
            <wp:extent cx="5940000" cy="4090106"/>
            <wp:docPr id="3" name="Picture 3"/>
            <wp:cNvGraphicFramePr>
              <a:graphicFrameLocks noChangeAspect="1"/>
            </wp:cNvGraphicFramePr>
            <a:graphic>
              <a:graphicData uri="http://schemas.openxmlformats.org/drawingml/2006/picture">
                <pic:pic>
                  <pic:nvPicPr>
                    <pic:cNvPr id="0" name="Figure_3_fixed_boundary_solution.png"/>
                    <pic:cNvPicPr/>
                  </pic:nvPicPr>
                  <pic:blipFill>
                    <a:blip r:embed="rId11"/>
                    <a:stretch>
                      <a:fillRect/>
                    </a:stretch>
                  </pic:blipFill>
                  <pic:spPr>
                    <a:xfrm>
                      <a:off x="0" y="0"/>
                      <a:ext cx="5940000" cy="4090106"/>
                    </a:xfrm>
                    <a:prstGeom prst="rect"/>
                  </pic:spPr>
                </pic:pic>
              </a:graphicData>
            </a:graphic>
          </wp:inline>
        </w:drawing>
      </w:r>
    </w:p>
    <w:p>
      <w:pPr>
        <w:spacing w:line="264" w:lineRule="auto" w:before="40" w:after="160"/>
        <w:ind w:firstLine="0"/>
        <w:jc w:val="left"/>
        <w:keepLines/>
      </w:pPr>
      <w:r>
        <w:rPr>
          <w:rFonts w:ascii="Arial" w:hAnsi="Arial" w:eastAsia="等线"/>
          <w:b/>
          <w:sz w:val="19"/>
        </w:rPr>
        <w:t>图 3</w:t>
      </w:r>
      <w:r>
        <w:rPr>
          <w:rFonts w:ascii="Arial" w:hAnsi="Arial" w:eastAsia="等线"/>
          <w:sz w:val="19"/>
        </w:rPr>
        <w:t xml:space="preserve"> 左端完全固定条件下的位移、应力与剪应变场。A 和 B，位移分量 u 与 v；C，σx；D，σy；E，τxy；F，γxy。σy、τxy 和 γxy 使用以零为中心的发散色标，灰色阴影表示固定端扰动区。</w:t>
      </w:r>
    </w:p>
    <w:p>
      <w:pPr>
        <w:sectPr>
          <w:type w:val="continuous"/>
          <w:pgSz w:w="11906" w:h="16838"/>
          <w:pgMar w:top="1020" w:right="964" w:bottom="1020" w:left="964" w:header="720" w:footer="720" w:gutter="0"/>
          <w:cols w:space="720" w:num="1"/>
          <w:docGrid w:linePitch="360"/>
        </w:sectPr>
      </w:pPr>
    </w:p>
    <w:p>
      <w:pPr>
        <w:pStyle w:val="Heading2"/>
      </w:pPr>
      <w:r>
        <w:t>4.3 边界条件对峰值应力的影响</w:t>
      </w:r>
    </w:p>
    <w:p>
      <w:pPr>
        <w:spacing w:line="288" w:lineRule="auto" w:before="0" w:after="80"/>
        <w:ind w:firstLine="420"/>
      </w:pPr>
      <w:r>
        <w:rPr>
          <w:rFonts w:ascii="Times New Roman" w:hAnsi="Times New Roman" w:eastAsia="宋体"/>
          <w:sz w:val="21"/>
        </w:rPr>
        <w:t>沿中线 y = 0 的应力曲线进一步量化了端部扰动的衰减过程。如图 4A 所示，完全固定解在固定端附近高于 100 MPa 基准线，而远端逐渐回到均匀拉伸解；图 4B 表明 σy 与 τxy 也在短距离内衰减到接近零。</w:t>
      </w:r>
    </w:p>
    <w:p>
      <w:pPr>
        <w:sectPr>
          <w:type w:val="continuous"/>
          <w:pgSz w:w="11906" w:h="16838"/>
          <w:pgMar w:top="1020" w:right="964" w:bottom="1020" w:left="964" w:header="720" w:footer="720" w:gutter="0"/>
          <w:cols w:space="720" w:num="2"/>
          <w:docGrid w:linePitch="360"/>
        </w:sectPr>
      </w:pPr>
    </w:p>
    <w:p>
      <w:pPr>
        <w:spacing w:before="120" w:after="40"/>
        <w:jc w:val="center"/>
      </w:pPr>
      <w:r>
        <w:drawing>
          <wp:inline xmlns:a="http://schemas.openxmlformats.org/drawingml/2006/main" xmlns:pic="http://schemas.openxmlformats.org/drawingml/2006/picture">
            <wp:extent cx="5940000" cy="4090106"/>
            <wp:docPr id="4" name="Picture 4"/>
            <wp:cNvGraphicFramePr>
              <a:graphicFrameLocks noChangeAspect="1"/>
            </wp:cNvGraphicFramePr>
            <a:graphic>
              <a:graphicData uri="http://schemas.openxmlformats.org/drawingml/2006/picture">
                <pic:pic>
                  <pic:nvPicPr>
                    <pic:cNvPr id="0" name="Figure_4_comparison_disturbance_decay.png"/>
                    <pic:cNvPicPr/>
                  </pic:nvPicPr>
                  <pic:blipFill>
                    <a:blip r:embed="rId12"/>
                    <a:stretch>
                      <a:fillRect/>
                    </a:stretch>
                  </pic:blipFill>
                  <pic:spPr>
                    <a:xfrm>
                      <a:off x="0" y="0"/>
                      <a:ext cx="5940000" cy="4090106"/>
                    </a:xfrm>
                    <a:prstGeom prst="rect"/>
                  </pic:spPr>
                </pic:pic>
              </a:graphicData>
            </a:graphic>
          </wp:inline>
        </w:drawing>
      </w:r>
    </w:p>
    <w:p>
      <w:pPr>
        <w:spacing w:line="264" w:lineRule="auto" w:before="40" w:after="160"/>
        <w:ind w:firstLine="0"/>
        <w:jc w:val="left"/>
        <w:keepLines/>
      </w:pPr>
      <w:r>
        <w:rPr>
          <w:rFonts w:ascii="Arial" w:hAnsi="Arial" w:eastAsia="等线"/>
          <w:b/>
          <w:sz w:val="19"/>
        </w:rPr>
        <w:t>图 4</w:t>
      </w:r>
      <w:r>
        <w:rPr>
          <w:rFonts w:ascii="Arial" w:hAnsi="Arial" w:eastAsia="等线"/>
          <w:sz w:val="19"/>
        </w:rPr>
        <w:t xml:space="preserve"> 边界条件对中线应力、扰动衰减、变形轮廓和峰值指标的影响。A，y = 0 上的 σx 曲线；B，σy 与 τxy 衰减曲线；C，变形前后轮廓对比，变形放大 420 倍；D，两种边界条件下最大 σx、最大 |σy| 和最大 |τxy| 对比。</w:t>
      </w:r>
    </w:p>
    <w:p>
      <w:pPr>
        <w:sectPr>
          <w:type w:val="continuous"/>
          <w:pgSz w:w="11906" w:h="16838"/>
          <w:pgMar w:top="1020" w:right="964" w:bottom="1020" w:left="964" w:header="720" w:footer="720" w:gutter="0"/>
          <w:cols w:space="720" w:num="1"/>
          <w:docGrid w:linePitch="360"/>
        </w:sectPr>
      </w:pPr>
    </w:p>
    <w:p>
      <w:pPr>
        <w:spacing w:before="120" w:after="60"/>
        <w:ind w:firstLine="0"/>
        <w:keepNext/>
        <w:keepLines/>
      </w:pPr>
      <w:r>
        <w:rPr>
          <w:rFonts w:ascii="Arial" w:hAnsi="Arial" w:eastAsia="等线"/>
          <w:b/>
          <w:sz w:val="19"/>
        </w:rPr>
        <w:t>表 3</w:t>
      </w:r>
      <w:r>
        <w:rPr>
          <w:rFonts w:ascii="Arial" w:hAnsi="Arial" w:eastAsia="等线"/>
          <w:sz w:val="19"/>
        </w:rPr>
        <w:t xml:space="preserve"> 两种边界条件下的应力指标对比。</w:t>
      </w:r>
    </w:p>
    <w:tbl>
      <w:tblPr>
        <w:tblW w:type="auto" w:w="0"/>
        <w:jc w:val="center"/>
        <w:tblLayout w:type="fixed"/>
        <w:tblLook w:firstColumn="1" w:firstRow="1" w:lastColumn="0" w:lastRow="0" w:noHBand="0" w:noVBand="1" w:val="04A0"/>
        <w:tblBorders>
          <w:top w:val="single" w:sz="3" w:space="0" w:color="C8C8C8"/>
          <w:left w:val="single" w:sz="3" w:space="0" w:color="C8C8C8"/>
          <w:bottom w:val="single" w:sz="3" w:space="0" w:color="C8C8C8"/>
          <w:right w:val="single" w:sz="3" w:space="0" w:color="C8C8C8"/>
          <w:insideH w:val="single" w:sz="3" w:space="0" w:color="C8C8C8"/>
          <w:insideV w:val="single" w:sz="3" w:space="0" w:color="C8C8C8"/>
        </w:tblBorders>
      </w:tblPr>
      <w:tblGrid>
        <w:gridCol w:w="3326"/>
        <w:gridCol w:w="3326"/>
        <w:gridCol w:w="3326"/>
      </w:tblGrid>
      <w:tr>
        <w:trPr>
          <w:cantSplit/>
        </w:trPr>
        <w:tc>
          <w:tcPr>
            <w:tcW w:type="dxa" w:w="1644"/>
            <w:vAlign w:val="center"/>
            <w:shd w:fill="EFEFEF"/>
          </w:tcPr>
          <w:p>
            <w:pPr>
              <w:spacing w:after="0" w:line="240" w:lineRule="auto"/>
              <w:ind w:firstLine="0"/>
            </w:pPr>
            <w:r/>
            <w:r>
              <w:rPr>
                <w:rFonts w:ascii="Arial" w:hAnsi="Arial" w:eastAsia="等线"/>
                <w:b/>
                <w:sz w:val="17"/>
              </w:rPr>
              <w:t>指标</w:t>
            </w:r>
          </w:p>
        </w:tc>
        <w:tc>
          <w:tcPr>
            <w:tcW w:type="dxa" w:w="1219"/>
            <w:vAlign w:val="center"/>
            <w:shd w:fill="EFEFEF"/>
          </w:tcPr>
          <w:p>
            <w:pPr>
              <w:spacing w:after="0" w:line="240" w:lineRule="auto"/>
              <w:ind w:firstLine="0"/>
            </w:pPr>
            <w:r/>
            <w:r>
              <w:rPr>
                <w:rFonts w:ascii="Arial" w:hAnsi="Arial" w:eastAsia="等线"/>
                <w:b/>
                <w:sz w:val="17"/>
              </w:rPr>
              <w:t>均匀拉伸</w:t>
            </w:r>
          </w:p>
        </w:tc>
        <w:tc>
          <w:tcPr>
            <w:tcW w:type="dxa" w:w="1219"/>
            <w:vAlign w:val="center"/>
            <w:shd w:fill="EFEFEF"/>
          </w:tcPr>
          <w:p>
            <w:pPr>
              <w:spacing w:after="0" w:line="240" w:lineRule="auto"/>
              <w:ind w:firstLine="0"/>
            </w:pPr>
            <w:r/>
            <w:r>
              <w:rPr>
                <w:rFonts w:ascii="Arial" w:hAnsi="Arial" w:eastAsia="等线"/>
                <w:b/>
                <w:sz w:val="17"/>
              </w:rPr>
              <w:t>左端完全固定</w:t>
            </w:r>
          </w:p>
        </w:tc>
      </w:tr>
      <w:tr>
        <w:trPr>
          <w:cantSplit/>
        </w:trPr>
        <w:tc>
          <w:tcPr>
            <w:tcW w:type="dxa" w:w="1644"/>
            <w:vAlign w:val="center"/>
          </w:tcPr>
          <w:p>
            <w:pPr>
              <w:spacing w:after="0" w:line="240" w:lineRule="auto"/>
              <w:ind w:firstLine="0"/>
            </w:pPr>
            <w:r/>
            <w:r>
              <w:rPr>
                <w:rFonts w:ascii="Arial" w:hAnsi="Arial" w:eastAsia="等线"/>
                <w:b w:val="0"/>
                <w:sz w:val="17"/>
              </w:rPr>
              <w:t>最大 σx / MPa</w:t>
            </w:r>
          </w:p>
        </w:tc>
        <w:tc>
          <w:tcPr>
            <w:tcW w:type="dxa" w:w="1219"/>
            <w:vAlign w:val="center"/>
          </w:tcPr>
          <w:p>
            <w:pPr>
              <w:spacing w:after="0" w:line="240" w:lineRule="auto"/>
              <w:ind w:firstLine="0"/>
            </w:pPr>
            <w:r/>
            <w:r>
              <w:rPr>
                <w:rFonts w:ascii="Arial" w:hAnsi="Arial" w:eastAsia="等线"/>
                <w:b w:val="0"/>
                <w:sz w:val="17"/>
              </w:rPr>
              <w:t>100.00</w:t>
            </w:r>
          </w:p>
        </w:tc>
        <w:tc>
          <w:tcPr>
            <w:tcW w:type="dxa" w:w="1219"/>
            <w:vAlign w:val="center"/>
          </w:tcPr>
          <w:p>
            <w:pPr>
              <w:spacing w:after="0" w:line="240" w:lineRule="auto"/>
              <w:ind w:firstLine="0"/>
            </w:pPr>
            <w:r/>
            <w:r>
              <w:rPr>
                <w:rFonts w:ascii="Arial" w:hAnsi="Arial" w:eastAsia="等线"/>
                <w:b w:val="0"/>
                <w:sz w:val="17"/>
              </w:rPr>
              <w:t>128.55</w:t>
            </w:r>
          </w:p>
        </w:tc>
      </w:tr>
      <w:tr>
        <w:trPr>
          <w:cantSplit/>
        </w:trPr>
        <w:tc>
          <w:tcPr>
            <w:tcW w:type="dxa" w:w="1644"/>
            <w:vAlign w:val="center"/>
          </w:tcPr>
          <w:p>
            <w:pPr>
              <w:spacing w:after="0" w:line="240" w:lineRule="auto"/>
              <w:ind w:firstLine="0"/>
            </w:pPr>
            <w:r/>
            <w:r>
              <w:rPr>
                <w:rFonts w:ascii="Arial" w:hAnsi="Arial" w:eastAsia="等线"/>
                <w:b w:val="0"/>
                <w:sz w:val="17"/>
              </w:rPr>
              <w:t>最大 |σy| / MPa</w:t>
            </w:r>
          </w:p>
        </w:tc>
        <w:tc>
          <w:tcPr>
            <w:tcW w:type="dxa" w:w="1219"/>
            <w:vAlign w:val="center"/>
          </w:tcPr>
          <w:p>
            <w:pPr>
              <w:spacing w:after="0" w:line="240" w:lineRule="auto"/>
              <w:ind w:firstLine="0"/>
            </w:pPr>
            <w:r/>
            <w:r>
              <w:rPr>
                <w:rFonts w:ascii="Arial" w:hAnsi="Arial" w:eastAsia="等线"/>
                <w:b w:val="0"/>
                <w:sz w:val="17"/>
              </w:rPr>
              <w:t>0.00</w:t>
            </w:r>
          </w:p>
        </w:tc>
        <w:tc>
          <w:tcPr>
            <w:tcW w:type="dxa" w:w="1219"/>
            <w:vAlign w:val="center"/>
          </w:tcPr>
          <w:p>
            <w:pPr>
              <w:spacing w:after="0" w:line="240" w:lineRule="auto"/>
              <w:ind w:firstLine="0"/>
            </w:pPr>
            <w:r/>
            <w:r>
              <w:rPr>
                <w:rFonts w:ascii="Arial" w:hAnsi="Arial" w:eastAsia="等线"/>
                <w:b w:val="0"/>
                <w:sz w:val="17"/>
              </w:rPr>
              <w:t>24.06</w:t>
            </w:r>
          </w:p>
        </w:tc>
      </w:tr>
      <w:tr>
        <w:trPr>
          <w:cantSplit/>
        </w:trPr>
        <w:tc>
          <w:tcPr>
            <w:tcW w:type="dxa" w:w="1644"/>
            <w:vAlign w:val="center"/>
          </w:tcPr>
          <w:p>
            <w:pPr>
              <w:spacing w:after="0" w:line="240" w:lineRule="auto"/>
              <w:ind w:firstLine="0"/>
            </w:pPr>
            <w:r/>
            <w:r>
              <w:rPr>
                <w:rFonts w:ascii="Arial" w:hAnsi="Arial" w:eastAsia="等线"/>
                <w:b w:val="0"/>
                <w:sz w:val="17"/>
              </w:rPr>
              <w:t>最大 |τxy| / MPa</w:t>
            </w:r>
          </w:p>
        </w:tc>
        <w:tc>
          <w:tcPr>
            <w:tcW w:type="dxa" w:w="1219"/>
            <w:vAlign w:val="center"/>
          </w:tcPr>
          <w:p>
            <w:pPr>
              <w:spacing w:after="0" w:line="240" w:lineRule="auto"/>
              <w:ind w:firstLine="0"/>
            </w:pPr>
            <w:r/>
            <w:r>
              <w:rPr>
                <w:rFonts w:ascii="Arial" w:hAnsi="Arial" w:eastAsia="等线"/>
                <w:b w:val="0"/>
                <w:sz w:val="17"/>
              </w:rPr>
              <w:t>0.00</w:t>
            </w:r>
          </w:p>
        </w:tc>
        <w:tc>
          <w:tcPr>
            <w:tcW w:type="dxa" w:w="1219"/>
            <w:vAlign w:val="center"/>
          </w:tcPr>
          <w:p>
            <w:pPr>
              <w:spacing w:after="0" w:line="240" w:lineRule="auto"/>
              <w:ind w:firstLine="0"/>
            </w:pPr>
            <w:r/>
            <w:r>
              <w:rPr>
                <w:rFonts w:ascii="Arial" w:hAnsi="Arial" w:eastAsia="等线"/>
                <w:b w:val="0"/>
                <w:sz w:val="17"/>
              </w:rPr>
              <w:t>8.98</w:t>
            </w:r>
          </w:p>
        </w:tc>
      </w:tr>
    </w:tbl>
    <w:p>
      <w:pPr>
        <w:pStyle w:val="Heading1"/>
      </w:pPr>
      <w:r>
        <w:t>5 讨论</w:t>
      </w:r>
    </w:p>
    <w:p>
      <w:pPr>
        <w:spacing w:line="288" w:lineRule="auto" w:before="0" w:after="80"/>
        <w:ind w:firstLine="420"/>
      </w:pPr>
      <w:r>
        <w:rPr>
          <w:rFonts w:ascii="Times New Roman" w:hAnsi="Times New Roman" w:eastAsia="宋体"/>
          <w:sz w:val="21"/>
        </w:rPr>
        <w:t>本问题的核心不是材料非线性或复杂几何，而是边界条件改变了相容性要求。均匀拉伸解默认横向收缩不受约束；完全固定左端则同时限制 u 和 v，迫使局部区域通过 σy、τxy 和 γxy 调整应力状态。该现象提示，在有限元模型中，约束设置本身就是力学假设，不能仅作为数值求解的附属步骤。</w:t>
      </w:r>
    </w:p>
    <w:p>
      <w:pPr>
        <w:spacing w:line="288" w:lineRule="auto" w:before="0" w:after="80"/>
        <w:ind w:firstLine="420"/>
      </w:pPr>
      <w:r>
        <w:rPr>
          <w:rFonts w:ascii="Times New Roman" w:hAnsi="Times New Roman" w:eastAsia="宋体"/>
          <w:sz w:val="21"/>
        </w:rPr>
        <w:t>从求解方法看，强形式解析解要求同时满足偏微分方程、协调条件和边界条件。对于完全固定边界引起的局部扰动，闭式解通常不便获得。弱形式和能量原理可以在积分意义下表达平衡，使复杂边界、网格离散和近似插值进入统一框架，这正是有限元方法相对于直接强形式求解的优势。</w:t>
      </w:r>
    </w:p>
    <w:p>
      <w:pPr>
        <w:pStyle w:val="Heading1"/>
      </w:pPr>
      <w:r>
        <w:t>6 结论</w:t>
      </w:r>
    </w:p>
    <w:p>
      <w:pPr>
        <w:spacing w:line="288" w:lineRule="auto" w:before="0" w:after="80"/>
        <w:ind w:firstLine="420"/>
      </w:pPr>
      <w:r>
        <w:rPr>
          <w:rFonts w:ascii="Times New Roman" w:hAnsi="Times New Roman" w:eastAsia="宋体"/>
          <w:sz w:val="21"/>
        </w:rPr>
        <w:t>矩形薄板单向拉伸问题可作为从一维结构分析过渡到二维连续体有限元分析的基础案例。均匀拉伸条件下，板内维持 σx = 100 MPa 的一维应力状态；完全固定左端则因泊松收缩受限产生局部二维扰动，并将最大 σx 提高到约 128.55 MPa。扰动主要局限在固定端附近，沿板长方向快速衰减。该结果说明，有限元分析必须在清晰的连续体模型、边界条件和理论基准之上展开。</w:t>
      </w:r>
    </w:p>
    <w:p>
      <w:pPr>
        <w:pStyle w:val="Heading1"/>
      </w:pPr>
      <w:r>
        <w:t>参考文献</w:t>
      </w:r>
    </w:p>
    <w:p>
      <w:pPr>
        <w:pStyle w:val="ListNumber"/>
        <w:spacing w:line="264" w:lineRule="auto" w:after="40"/>
        <w:ind w:firstLine="0"/>
      </w:pPr>
      <w:r>
        <w:rPr>
          <w:rFonts w:ascii="Times New Roman" w:hAnsi="Times New Roman" w:eastAsia="宋体"/>
          <w:sz w:val="19"/>
        </w:rPr>
        <w:t>Timoshenko, S. P. and Goodier, J. N. Theory of Elasticity. McGraw-Hill.</w:t>
      </w:r>
    </w:p>
    <w:p>
      <w:pPr>
        <w:pStyle w:val="ListNumber"/>
        <w:spacing w:line="264" w:lineRule="auto" w:after="40"/>
        <w:ind w:firstLine="0"/>
      </w:pPr>
      <w:r>
        <w:rPr>
          <w:rFonts w:ascii="Times New Roman" w:hAnsi="Times New Roman" w:eastAsia="宋体"/>
          <w:sz w:val="19"/>
        </w:rPr>
        <w:t>Zienkiewicz, O. C., Taylor, R. L. and Zhu, J. Z. The Finite Element Method: Its Basis and Fundamentals. Elsevier.</w:t>
      </w:r>
    </w:p>
    <w:p>
      <w:pPr>
        <w:pStyle w:val="ListNumber"/>
        <w:spacing w:line="264" w:lineRule="auto" w:after="40"/>
        <w:ind w:firstLine="0"/>
      </w:pPr>
      <w:r>
        <w:rPr>
          <w:rFonts w:ascii="Times New Roman" w:hAnsi="Times New Roman" w:eastAsia="宋体"/>
          <w:sz w:val="19"/>
        </w:rPr>
        <w:t>Cook, R. D., Malkus, D. S., Plesha, M. E. and Witt, R. J. Concepts and Applications of Finite Element Analysis. Wiley.</w:t>
      </w:r>
    </w:p>
    <w:p>
      <w:pPr>
        <w:pStyle w:val="ListNumber"/>
        <w:spacing w:line="264" w:lineRule="auto" w:after="40"/>
        <w:ind w:firstLine="0"/>
      </w:pPr>
      <w:r>
        <w:rPr>
          <w:rFonts w:ascii="Times New Roman" w:hAnsi="Times New Roman" w:eastAsia="宋体"/>
          <w:sz w:val="19"/>
        </w:rPr>
        <w:t>MATLAB Documentation. Numeric computation, visualization and matrix-based programming reference materials.</w:t>
      </w:r>
    </w:p>
    <w:p>
      <w:pPr>
        <w:sectPr>
          <w:type w:val="continuous"/>
          <w:pgSz w:w="11906" w:h="16838"/>
          <w:pgMar w:top="1020" w:right="964" w:bottom="1020" w:left="964" w:header="720" w:footer="720" w:gutter="0"/>
          <w:cols w:space="720" w:num="2"/>
          <w:docGrid w:linePitch="360"/>
        </w:sectPr>
      </w:pPr>
    </w:p>
    <w:p>
      <w:pPr>
        <w:pStyle w:val="Heading1"/>
      </w:pPr>
      <w:r>
        <w:t>附录 A  MATLAB 核心代码</w:t>
      </w:r>
    </w:p>
    <w:p>
      <w:pPr>
        <w:spacing w:after="80"/>
        <w:ind w:firstLine="0"/>
      </w:pPr>
      <w:r>
        <w:rPr>
          <w:rFonts w:ascii="Times New Roman" w:hAnsi="Times New Roman" w:eastAsia="宋体"/>
          <w:sz w:val="20"/>
        </w:rPr>
        <w:t>以下代码保留原 MATLAB 语法，其中 nu^2、n^2 等写法属于代码表达，不按正文公式格式改写。</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9978"/>
      </w:tblGrid>
      <w:tr>
        <w:tc>
          <w:tcPr>
            <w:tcW w:type="dxa" w:w="9978"/>
            <w:shd w:fill="F5F5F5"/>
          </w:tcPr>
          <w:p>
            <w:pPr>
              <w:spacing w:after="0"/>
              <w:ind w:firstLine="0"/>
            </w:pPr>
            <w:r/>
            <w:r>
              <w:rPr>
                <w:rFonts w:ascii="Consolas" w:hAnsi="Consolas" w:eastAsia="Consolas"/>
                <w:sz w:val="17"/>
              </w:rPr>
              <w:t>%% 基本参数</w:t>
            </w:r>
            <w:r>
              <w:br/>
            </w:r>
            <w:r>
              <w:rPr>
                <w:rFonts w:ascii="Consolas" w:hAnsi="Consolas" w:eastAsia="Consolas"/>
                <w:sz w:val="17"/>
              </w:rPr>
              <w:t>L  = 1.0;          % 板长，单位 m</w:t>
            </w:r>
            <w:r>
              <w:br/>
            </w:r>
            <w:r>
              <w:rPr>
                <w:rFonts w:ascii="Consolas" w:hAnsi="Consolas" w:eastAsia="Consolas"/>
                <w:sz w:val="17"/>
              </w:rPr>
              <w:t>H  = 0.4;          % 板高，单位 m</w:t>
            </w:r>
            <w:r>
              <w:br/>
            </w:r>
            <w:r>
              <w:rPr>
                <w:rFonts w:ascii="Consolas" w:hAnsi="Consolas" w:eastAsia="Consolas"/>
                <w:sz w:val="17"/>
              </w:rPr>
              <w:t>E  = 210e9;        % 弹性模量，单位 Pa</w:t>
            </w:r>
            <w:r>
              <w:br/>
            </w:r>
            <w:r>
              <w:rPr>
                <w:rFonts w:ascii="Consolas" w:hAnsi="Consolas" w:eastAsia="Consolas"/>
                <w:sz w:val="17"/>
              </w:rPr>
              <w:t>nu = 0.30;         % 泊松比</w:t>
            </w:r>
            <w:r>
              <w:br/>
            </w:r>
            <w:r>
              <w:rPr>
                <w:rFonts w:ascii="Consolas" w:hAnsi="Consolas" w:eastAsia="Consolas"/>
                <w:sz w:val="17"/>
              </w:rPr>
              <w:t>q  = 100e6;        % 右端均布拉应力，单位 Pa</w:t>
            </w:r>
            <w:r>
              <w:br/>
            </w:r>
            <w:r>
              <w:rPr>
                <w:rFonts w:ascii="Consolas" w:hAnsi="Consolas" w:eastAsia="Consolas"/>
                <w:sz w:val="17"/>
              </w:rPr>
            </w:r>
            <w:r>
              <w:br/>
            </w:r>
            <w:r>
              <w:rPr>
                <w:rFonts w:ascii="Consolas" w:hAnsi="Consolas" w:eastAsia="Consolas"/>
                <w:sz w:val="17"/>
              </w:rPr>
              <w:t>sigma0 = q;        % 记右端均布拉应力为 sigma0</w:t>
            </w:r>
            <w:r>
              <w:br/>
            </w:r>
            <w:r>
              <w:rPr>
                <w:rFonts w:ascii="Consolas" w:hAnsi="Consolas" w:eastAsia="Consolas"/>
                <w:sz w:val="17"/>
              </w:rPr>
            </w:r>
            <w:r>
              <w:br/>
            </w:r>
            <w:r>
              <w:rPr>
                <w:rFonts w:ascii="Consolas" w:hAnsi="Consolas" w:eastAsia="Consolas"/>
                <w:sz w:val="17"/>
              </w:rPr>
              <w:t>nx = 160;          % x方向网格数</w:t>
            </w:r>
            <w:r>
              <w:br/>
            </w:r>
            <w:r>
              <w:rPr>
                <w:rFonts w:ascii="Consolas" w:hAnsi="Consolas" w:eastAsia="Consolas"/>
                <w:sz w:val="17"/>
              </w:rPr>
              <w:t>ny = 80;           % y方向网格数</w:t>
            </w:r>
            <w:r>
              <w:br/>
            </w:r>
            <w:r>
              <w:rPr>
                <w:rFonts w:ascii="Consolas" w:hAnsi="Consolas" w:eastAsia="Consolas"/>
                <w:sz w:val="17"/>
              </w:rPr>
            </w:r>
            <w:r>
              <w:br/>
            </w:r>
            <w:r>
              <w:rPr>
                <w:rFonts w:ascii="Consolas" w:hAnsi="Consolas" w:eastAsia="Consolas"/>
                <w:sz w:val="17"/>
              </w:rPr>
              <w:t>x = linspace(0,L,nx);</w:t>
            </w:r>
            <w:r>
              <w:br/>
            </w:r>
            <w:r>
              <w:rPr>
                <w:rFonts w:ascii="Consolas" w:hAnsi="Consolas" w:eastAsia="Consolas"/>
                <w:sz w:val="17"/>
              </w:rPr>
              <w:t>y = linspace(-H/2,H/2,ny);</w:t>
            </w:r>
            <w:r>
              <w:br/>
            </w:r>
            <w:r>
              <w:rPr>
                <w:rFonts w:ascii="Consolas" w:hAnsi="Consolas" w:eastAsia="Consolas"/>
                <w:sz w:val="17"/>
              </w:rPr>
              <w:t>[X,Y] = meshgrid(x,y);</w:t>
            </w:r>
            <w:r>
              <w:br/>
            </w:r>
            <w:r>
              <w:rPr>
                <w:rFonts w:ascii="Consolas" w:hAnsi="Consolas" w:eastAsia="Consolas"/>
                <w:sz w:val="17"/>
              </w:rPr>
            </w:r>
            <w:r>
              <w:br/>
            </w:r>
            <w:r>
              <w:rPr>
                <w:rFonts w:ascii="Consolas" w:hAnsi="Consolas" w:eastAsia="Consolas"/>
                <w:sz w:val="17"/>
              </w:rPr>
              <w:t>G = E/(2*(1+nu));  % 剪切模量</w:t>
            </w:r>
            <w:r>
              <w:br/>
            </w:r>
            <w:r>
              <w:rPr>
                <w:rFonts w:ascii="Consolas" w:hAnsi="Consolas" w:eastAsia="Consolas"/>
                <w:sz w:val="17"/>
              </w:rPr>
            </w:r>
            <w:r>
              <w:br/>
            </w:r>
            <w:r>
              <w:rPr>
                <w:rFonts w:ascii="Consolas" w:hAnsi="Consolas" w:eastAsia="Consolas"/>
                <w:sz w:val="17"/>
              </w:rPr>
              <w:t>%% ============================================================</w:t>
            </w:r>
            <w:r>
              <w:br/>
            </w:r>
            <w:r>
              <w:rPr>
                <w:rFonts w:ascii="Consolas" w:hAnsi="Consolas" w:eastAsia="Consolas"/>
                <w:sz w:val="17"/>
              </w:rPr>
              <w:t>%  第一种边界条件：均匀拉伸解析解</w:t>
            </w:r>
            <w:r>
              <w:br/>
            </w:r>
            <w:r>
              <w:rPr>
                <w:rFonts w:ascii="Consolas" w:hAnsi="Consolas" w:eastAsia="Consolas"/>
                <w:sz w:val="17"/>
              </w:rPr>
              <w:t>% ============================================================</w:t>
            </w:r>
            <w:r>
              <w:br/>
            </w:r>
            <w:r>
              <w:rPr>
                <w:rFonts w:ascii="Consolas" w:hAnsi="Consolas" w:eastAsia="Consolas"/>
                <w:sz w:val="17"/>
              </w:rPr>
            </w:r>
            <w:r>
              <w:br/>
            </w:r>
            <w:r>
              <w:rPr>
                <w:rFonts w:ascii="Consolas" w:hAnsi="Consolas" w:eastAsia="Consolas"/>
                <w:sz w:val="17"/>
              </w:rPr>
              <w:t>% 应力场</w:t>
            </w:r>
            <w:r>
              <w:br/>
            </w:r>
            <w:r>
              <w:rPr>
                <w:rFonts w:ascii="Consolas" w:hAnsi="Consolas" w:eastAsia="Consolas"/>
                <w:sz w:val="17"/>
              </w:rPr>
              <w:t>sigma_x_1 = sigma0 * ones(size(X));</w:t>
            </w:r>
            <w:r>
              <w:br/>
            </w:r>
            <w:r>
              <w:rPr>
                <w:rFonts w:ascii="Consolas" w:hAnsi="Consolas" w:eastAsia="Consolas"/>
                <w:sz w:val="17"/>
              </w:rPr>
              <w:t>sigma_y_1 = zeros(size(X));</w:t>
            </w:r>
            <w:r>
              <w:br/>
            </w:r>
            <w:r>
              <w:rPr>
                <w:rFonts w:ascii="Consolas" w:hAnsi="Consolas" w:eastAsia="Consolas"/>
                <w:sz w:val="17"/>
              </w:rPr>
              <w:t>tau_xy_1  = zeros(size(X));</w:t>
            </w:r>
            <w:r>
              <w:br/>
            </w:r>
            <w:r>
              <w:rPr>
                <w:rFonts w:ascii="Consolas" w:hAnsi="Consolas" w:eastAsia="Consolas"/>
                <w:sz w:val="17"/>
              </w:rPr>
            </w:r>
            <w:r>
              <w:br/>
            </w:r>
            <w:r>
              <w:rPr>
                <w:rFonts w:ascii="Consolas" w:hAnsi="Consolas" w:eastAsia="Consolas"/>
                <w:sz w:val="17"/>
              </w:rPr>
              <w:t>% 应变场，平面应力状态</w:t>
            </w:r>
            <w:r>
              <w:br/>
            </w:r>
            <w:r>
              <w:rPr>
                <w:rFonts w:ascii="Consolas" w:hAnsi="Consolas" w:eastAsia="Consolas"/>
                <w:sz w:val="17"/>
              </w:rPr>
              <w:t>eps_x_1 = (sigma_x_1 - nu*sigma_y_1) / E;</w:t>
            </w:r>
            <w:r>
              <w:br/>
            </w:r>
            <w:r>
              <w:rPr>
                <w:rFonts w:ascii="Consolas" w:hAnsi="Consolas" w:eastAsia="Consolas"/>
                <w:sz w:val="17"/>
              </w:rPr>
              <w:t>eps_y_1 = (sigma_y_1 - nu*sigma_x_1) / E;</w:t>
            </w:r>
            <w:r>
              <w:br/>
            </w:r>
            <w:r>
              <w:rPr>
                <w:rFonts w:ascii="Consolas" w:hAnsi="Consolas" w:eastAsia="Consolas"/>
                <w:sz w:val="17"/>
              </w:rPr>
              <w:t>gamma_xy_1 = tau_xy_1 / G;</w:t>
            </w:r>
            <w:r>
              <w:br/>
            </w:r>
            <w:r>
              <w:rPr>
                <w:rFonts w:ascii="Consolas" w:hAnsi="Consolas" w:eastAsia="Consolas"/>
                <w:sz w:val="17"/>
              </w:rPr>
            </w:r>
            <w:r>
              <w:br/>
            </w:r>
            <w:r>
              <w:rPr>
                <w:rFonts w:ascii="Consolas" w:hAnsi="Consolas" w:eastAsia="Consolas"/>
                <w:sz w:val="17"/>
              </w:rPr>
              <w:t>% 位移场</w:t>
            </w:r>
            <w:r>
              <w:br/>
            </w:r>
            <w:r>
              <w:rPr>
                <w:rFonts w:ascii="Consolas" w:hAnsi="Consolas" w:eastAsia="Consolas"/>
                <w:sz w:val="17"/>
              </w:rPr>
              <w:t>u1 = sigma0 / E * X;</w:t>
            </w:r>
            <w:r>
              <w:br/>
            </w:r>
            <w:r>
              <w:rPr>
                <w:rFonts w:ascii="Consolas" w:hAnsi="Consolas" w:eastAsia="Consolas"/>
                <w:sz w:val="17"/>
              </w:rPr>
              <w:t>v1 = -nu * sigma0 / E * Y;</w:t>
            </w:r>
            <w:r>
              <w:br/>
            </w:r>
            <w:r>
              <w:rPr>
                <w:rFonts w:ascii="Consolas" w:hAnsi="Consolas" w:eastAsia="Consolas"/>
                <w:sz w:val="17"/>
              </w:rPr>
            </w:r>
            <w:r>
              <w:br/>
            </w:r>
            <w:r>
              <w:rPr>
                <w:rFonts w:ascii="Consolas" w:hAnsi="Consolas" w:eastAsia="Consolas"/>
                <w:sz w:val="17"/>
              </w:rPr>
              <w:t>%% ============================================================</w:t>
            </w:r>
            <w:r>
              <w:br/>
            </w:r>
            <w:r>
              <w:rPr>
                <w:rFonts w:ascii="Consolas" w:hAnsi="Consolas" w:eastAsia="Consolas"/>
                <w:sz w:val="17"/>
              </w:rPr>
              <w:t>%  第二种边界条件：左端整条边完全固定</w:t>
            </w:r>
            <w:r>
              <w:br/>
            </w:r>
            <w:r>
              <w:rPr>
                <w:rFonts w:ascii="Consolas" w:hAnsi="Consolas" w:eastAsia="Consolas"/>
                <w:sz w:val="17"/>
              </w:rPr>
              <w:t>%  采用"均匀拉伸项 + 端部扰动项"的级数近似形式</w:t>
            </w:r>
            <w:r>
              <w:br/>
            </w:r>
            <w:r>
              <w:rPr>
                <w:rFonts w:ascii="Consolas" w:hAnsi="Consolas" w:eastAsia="Consolas"/>
                <w:sz w:val="17"/>
              </w:rPr>
              <w:t>% ============================================================</w:t>
            </w:r>
            <w:r>
              <w:br/>
            </w:r>
            <w:r>
              <w:rPr>
                <w:rFonts w:ascii="Consolas" w:hAnsi="Consolas" w:eastAsia="Consolas"/>
                <w:sz w:val="17"/>
              </w:rPr>
            </w:r>
            <w:r>
              <w:br/>
            </w:r>
            <w:r>
              <w:rPr>
                <w:rFonts w:ascii="Consolas" w:hAnsi="Consolas" w:eastAsia="Consolas"/>
                <w:sz w:val="17"/>
              </w:rPr>
              <w:t>% 初始化为均匀拉伸状态</w:t>
            </w:r>
            <w:r>
              <w:br/>
            </w:r>
            <w:r>
              <w:rPr>
                <w:rFonts w:ascii="Consolas" w:hAnsi="Consolas" w:eastAsia="Consolas"/>
                <w:sz w:val="17"/>
              </w:rPr>
              <w:t>sigma_x_2 = sigma0 * ones(size(X));</w:t>
            </w:r>
            <w:r>
              <w:br/>
            </w:r>
            <w:r>
              <w:rPr>
                <w:rFonts w:ascii="Consolas" w:hAnsi="Consolas" w:eastAsia="Consolas"/>
                <w:sz w:val="17"/>
              </w:rPr>
              <w:t>sigma_y_2 = zeros(size(X));</w:t>
            </w:r>
            <w:r>
              <w:br/>
            </w:r>
            <w:r>
              <w:rPr>
                <w:rFonts w:ascii="Consolas" w:hAnsi="Consolas" w:eastAsia="Consolas"/>
                <w:sz w:val="17"/>
              </w:rPr>
              <w:t>tau_xy_2  = zeros(size(X));</w:t>
            </w:r>
            <w:r>
              <w:br/>
            </w:r>
            <w:r>
              <w:rPr>
                <w:rFonts w:ascii="Consolas" w:hAnsi="Consolas" w:eastAsia="Consolas"/>
                <w:sz w:val="17"/>
              </w:rPr>
            </w:r>
            <w:r>
              <w:br/>
            </w:r>
            <w:r>
              <w:rPr>
                <w:rFonts w:ascii="Consolas" w:hAnsi="Consolas" w:eastAsia="Consolas"/>
                <w:sz w:val="17"/>
              </w:rPr>
              <w:t>% 级数项数</w:t>
            </w:r>
            <w:r>
              <w:br/>
            </w:r>
            <w:r>
              <w:rPr>
                <w:rFonts w:ascii="Consolas" w:hAnsi="Consolas" w:eastAsia="Consolas"/>
                <w:sz w:val="17"/>
              </w:rPr>
              <w:t>N = 8;</w:t>
            </w:r>
            <w:r>
              <w:br/>
            </w:r>
            <w:r>
              <w:rPr>
                <w:rFonts w:ascii="Consolas" w:hAnsi="Consolas" w:eastAsia="Consolas"/>
                <w:sz w:val="17"/>
              </w:rPr>
            </w:r>
            <w:r>
              <w:br/>
            </w:r>
            <w:r>
              <w:rPr>
                <w:rFonts w:ascii="Consolas" w:hAnsi="Consolas" w:eastAsia="Consolas"/>
                <w:sz w:val="17"/>
              </w:rPr>
              <w:t>for n = 1:N</w:t>
            </w:r>
            <w:r>
              <w:br/>
            </w:r>
            <w:r>
              <w:rPr>
                <w:rFonts w:ascii="Consolas" w:hAnsi="Consolas" w:eastAsia="Consolas"/>
                <w:sz w:val="17"/>
              </w:rPr>
              <w:t xml:space="preserve">    k = n*pi/H;</w:t>
            </w:r>
            <w:r>
              <w:br/>
            </w:r>
            <w:r>
              <w:rPr>
                <w:rFonts w:ascii="Consolas" w:hAnsi="Consolas" w:eastAsia="Consolas"/>
                <w:sz w:val="17"/>
              </w:rPr>
              <w:t xml:space="preserve">    </w:t>
            </w:r>
            <w:r>
              <w:br/>
            </w:r>
            <w:r>
              <w:rPr>
                <w:rFonts w:ascii="Consolas" w:hAnsi="Consolas" w:eastAsia="Consolas"/>
                <w:sz w:val="17"/>
              </w:rPr>
              <w:t xml:space="preserve">    % 扰动系数</w:t>
            </w:r>
            <w:r>
              <w:br/>
            </w:r>
            <w:r>
              <w:rPr>
                <w:rFonts w:ascii="Consolas" w:hAnsi="Consolas" w:eastAsia="Consolas"/>
                <w:sz w:val="17"/>
              </w:rPr>
              <w:t xml:space="preserve">    % 这里采用随 n 增大而衰减的系数，用于模拟端部扰动</w:t>
            </w:r>
            <w:r>
              <w:br/>
            </w:r>
            <w:r>
              <w:rPr>
                <w:rFonts w:ascii="Consolas" w:hAnsi="Consolas" w:eastAsia="Consolas"/>
                <w:sz w:val="17"/>
              </w:rPr>
              <w:t xml:space="preserve">    A = 0.35 * sigma0 / n^2;</w:t>
            </w:r>
            <w:r>
              <w:br/>
            </w:r>
            <w:r>
              <w:rPr>
                <w:rFonts w:ascii="Consolas" w:hAnsi="Consolas" w:eastAsia="Consolas"/>
                <w:sz w:val="17"/>
              </w:rPr>
              <w:t xml:space="preserve">    </w:t>
            </w:r>
            <w:r>
              <w:br/>
            </w:r>
            <w:r>
              <w:rPr>
                <w:rFonts w:ascii="Consolas" w:hAnsi="Consolas" w:eastAsia="Consolas"/>
                <w:sz w:val="17"/>
              </w:rPr>
              <w:t xml:space="preserve">    % 指数衰减项</w:t>
            </w:r>
            <w:r>
              <w:br/>
            </w:r>
            <w:r>
              <w:rPr>
                <w:rFonts w:ascii="Consolas" w:hAnsi="Consolas" w:eastAsia="Consolas"/>
                <w:sz w:val="17"/>
              </w:rPr>
              <w:t xml:space="preserve">    decay = exp(-k*X);</w:t>
            </w:r>
            <w:r>
              <w:br/>
            </w:r>
            <w:r>
              <w:rPr>
                <w:rFonts w:ascii="Consolas" w:hAnsi="Consolas" w:eastAsia="Consolas"/>
                <w:sz w:val="17"/>
              </w:rPr>
              <w:t xml:space="preserve">    </w:t>
            </w:r>
            <w:r>
              <w:br/>
            </w:r>
            <w:r>
              <w:rPr>
                <w:rFonts w:ascii="Consolas" w:hAnsi="Consolas" w:eastAsia="Consolas"/>
                <w:sz w:val="17"/>
              </w:rPr>
              <w:t xml:space="preserve">    % y方向三角函数项</w:t>
            </w:r>
            <w:r>
              <w:br/>
            </w:r>
            <w:r>
              <w:rPr>
                <w:rFonts w:ascii="Consolas" w:hAnsi="Consolas" w:eastAsia="Consolas"/>
                <w:sz w:val="17"/>
              </w:rPr>
              <w:t xml:space="preserve">    cy = cos(n*pi*(Y + H/2)/H);</w:t>
            </w:r>
            <w:r>
              <w:br/>
            </w:r>
            <w:r>
              <w:rPr>
                <w:rFonts w:ascii="Consolas" w:hAnsi="Consolas" w:eastAsia="Consolas"/>
                <w:sz w:val="17"/>
              </w:rPr>
              <w:t xml:space="preserve">    sy = sin(n*pi*(Y + H/2)/H);</w:t>
            </w:r>
            <w:r>
              <w:br/>
            </w:r>
            <w:r>
              <w:rPr>
                <w:rFonts w:ascii="Consolas" w:hAnsi="Consolas" w:eastAsia="Consolas"/>
                <w:sz w:val="17"/>
              </w:rPr>
              <w:t xml:space="preserve">    </w:t>
            </w:r>
            <w:r>
              <w:br/>
            </w:r>
            <w:r>
              <w:rPr>
                <w:rFonts w:ascii="Consolas" w:hAnsi="Consolas" w:eastAsia="Consolas"/>
                <w:sz w:val="17"/>
              </w:rPr>
              <w:t xml:space="preserve">    % 端部扰动应力</w:t>
            </w:r>
            <w:r>
              <w:br/>
            </w:r>
            <w:r>
              <w:rPr>
                <w:rFonts w:ascii="Consolas" w:hAnsi="Consolas" w:eastAsia="Consolas"/>
                <w:sz w:val="17"/>
              </w:rPr>
              <w:t xml:space="preserve">    % 靠近 x=0 处扰动明显，远离左端后迅速衰减</w:t>
            </w:r>
            <w:r>
              <w:br/>
            </w:r>
            <w:r>
              <w:rPr>
                <w:rFonts w:ascii="Consolas" w:hAnsi="Consolas" w:eastAsia="Consolas"/>
                <w:sz w:val="17"/>
              </w:rPr>
              <w:t xml:space="preserve">    sigma_x_2 = sigma_x_2 - A * decay .* cy;</w:t>
            </w:r>
            <w:r>
              <w:br/>
            </w:r>
            <w:r>
              <w:rPr>
                <w:rFonts w:ascii="Consolas" w:hAnsi="Consolas" w:eastAsia="Consolas"/>
                <w:sz w:val="17"/>
              </w:rPr>
              <w:t xml:space="preserve">    sigma_y_2 = sigma_y_2 + 0.45 * A * decay .* cy;</w:t>
            </w:r>
            <w:r>
              <w:br/>
            </w:r>
            <w:r>
              <w:rPr>
                <w:rFonts w:ascii="Consolas" w:hAnsi="Consolas" w:eastAsia="Consolas"/>
                <w:sz w:val="17"/>
              </w:rPr>
              <w:t xml:space="preserve">    tau_xy_2  = tau_xy_2  + 0.25 * A * decay .* sy;</w:t>
            </w:r>
            <w:r>
              <w:br/>
            </w:r>
            <w:r>
              <w:rPr>
                <w:rFonts w:ascii="Consolas" w:hAnsi="Consolas" w:eastAsia="Consolas"/>
                <w:sz w:val="17"/>
              </w:rPr>
              <w:t>end</w:t>
            </w:r>
            <w:r>
              <w:br/>
            </w:r>
            <w:r>
              <w:rPr>
                <w:rFonts w:ascii="Consolas" w:hAnsi="Consolas" w:eastAsia="Consolas"/>
                <w:sz w:val="17"/>
              </w:rPr>
            </w:r>
            <w:r>
              <w:br/>
            </w:r>
            <w:r>
              <w:rPr>
                <w:rFonts w:ascii="Consolas" w:hAnsi="Consolas" w:eastAsia="Consolas"/>
                <w:sz w:val="17"/>
              </w:rPr>
              <w:t>% 平面应力本构关系求应变</w:t>
            </w:r>
            <w:r>
              <w:br/>
            </w:r>
            <w:r>
              <w:rPr>
                <w:rFonts w:ascii="Consolas" w:hAnsi="Consolas" w:eastAsia="Consolas"/>
                <w:sz w:val="17"/>
              </w:rPr>
              <w:t>eps_x_2 = (sigma_x_2 - nu*sigma_y_2) / E;</w:t>
            </w:r>
            <w:r>
              <w:br/>
            </w:r>
            <w:r>
              <w:rPr>
                <w:rFonts w:ascii="Consolas" w:hAnsi="Consolas" w:eastAsia="Consolas"/>
                <w:sz w:val="17"/>
              </w:rPr>
              <w:t>eps_y_2 = (sigma_y_2 - nu*sigma_x_2) / E;</w:t>
            </w:r>
            <w:r>
              <w:br/>
            </w:r>
            <w:r>
              <w:rPr>
                <w:rFonts w:ascii="Consolas" w:hAnsi="Consolas" w:eastAsia="Consolas"/>
                <w:sz w:val="17"/>
              </w:rPr>
              <w:t>gamma_xy_2 = tau_xy_2 / G;</w:t>
            </w:r>
            <w:r>
              <w:br/>
            </w:r>
            <w:r>
              <w:rPr>
                <w:rFonts w:ascii="Consolas" w:hAnsi="Consolas" w:eastAsia="Consolas"/>
                <w:sz w:val="17"/>
              </w:rPr>
            </w:r>
            <w:r>
              <w:br/>
            </w:r>
            <w:r>
              <w:rPr>
                <w:rFonts w:ascii="Consolas" w:hAnsi="Consolas" w:eastAsia="Consolas"/>
                <w:sz w:val="17"/>
              </w:rPr>
              <w:t>% 根据应变积分近似得到位移场</w:t>
            </w:r>
            <w:r>
              <w:br/>
            </w:r>
            <w:r>
              <w:rPr>
                <w:rFonts w:ascii="Consolas" w:hAnsi="Consolas" w:eastAsia="Consolas"/>
                <w:sz w:val="17"/>
              </w:rPr>
              <w:t>u2 = cumtrapz(x, eps_x_2, 2);</w:t>
            </w:r>
            <w:r>
              <w:br/>
            </w:r>
            <w:r>
              <w:rPr>
                <w:rFonts w:ascii="Consolas" w:hAnsi="Consolas" w:eastAsia="Consolas"/>
                <w:sz w:val="17"/>
              </w:rPr>
              <w:t>v2 = cumtrapz(y, eps_y_2, 1);</w:t>
            </w:r>
            <w:r>
              <w:br/>
            </w:r>
            <w:r>
              <w:rPr>
                <w:rFonts w:ascii="Consolas" w:hAnsi="Consolas" w:eastAsia="Consolas"/>
                <w:sz w:val="17"/>
              </w:rPr>
            </w:r>
            <w:r>
              <w:br/>
            </w:r>
            <w:r>
              <w:rPr>
                <w:rFonts w:ascii="Consolas" w:hAnsi="Consolas" w:eastAsia="Consolas"/>
                <w:sz w:val="17"/>
              </w:rPr>
              <w:t>% 使左端位移近似为零</w:t>
            </w:r>
            <w:r>
              <w:br/>
            </w:r>
            <w:r>
              <w:rPr>
                <w:rFonts w:ascii="Consolas" w:hAnsi="Consolas" w:eastAsia="Consolas"/>
                <w:sz w:val="17"/>
              </w:rPr>
              <w:t>u2 = u2 - u2(:,1);</w:t>
            </w:r>
          </w:p>
        </w:tc>
      </w:tr>
    </w:tbl>
    <w:sectPr w:rsidR="00FC693F" w:rsidRPr="0006063C" w:rsidSect="00034616">
      <w:pgSz w:w="11906" w:h="16838"/>
      <w:pgMar w:top="1020" w:right="964" w:bottom="1020" w:left="964"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等线"/>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rial" w:hAnsi="Arial" w:eastAsia="等线"/>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rial" w:hAnsi="Arial" w:eastAsia="等线"/>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