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eastAsia="等线"/>
          <w:b/>
          <w:sz w:val="36"/>
        </w:rPr>
        <w:t>矩形薄板单向拉伸的平面弹性建模与端部扰动分析</w:t>
      </w:r>
    </w:p>
    <w:p>
      <w:pPr>
        <w:jc w:val="center"/>
      </w:pPr>
      <w:r>
        <w:rPr>
          <w:rFonts w:ascii="Arial" w:hAnsi="Arial" w:eastAsia="等线"/>
          <w:i/>
          <w:sz w:val="22"/>
        </w:rPr>
        <w:t>有限元分析课程任务 8  Nature-style 课程报告</w:t>
      </w:r>
    </w:p>
    <w:p>
      <w:pPr>
        <w:jc w:val="center"/>
      </w:pPr>
      <w:r>
        <w:rPr>
          <w:rFonts w:ascii="Times New Roman" w:hAnsi="Times New Roman" w:eastAsia="宋体"/>
          <w:sz w:val="19"/>
        </w:rPr>
        <w:t>几何参数：L = 1.0 m，H = 0.4 m，t = 0.01 m；材料参数：E = 210 GPa，ν = 0.30；载荷：q = 100 MPa</w:t>
      </w:r>
    </w:p>
    <w:p>
      <w:pPr>
        <w:pStyle w:val="Heading1"/>
      </w:pPr>
      <w:r>
        <w:t>摘要</w:t>
      </w:r>
    </w:p>
    <w:p>
      <w:pPr>
        <w:spacing w:line="288" w:lineRule="auto" w:before="0" w:after="80"/>
        <w:ind w:firstLine="420"/>
      </w:pPr>
      <w:r>
        <w:rPr>
          <w:rFonts w:ascii="Times New Roman" w:hAnsi="Times New Roman" w:eastAsia="宋体"/>
          <w:sz w:val="21"/>
        </w:rPr>
        <w:t>本报告以右端均布拉伸、左端约束的矩形薄板为对象，建立平面应力条件下的二维弹性边值问题，并以艾力应力函数解释均匀拉伸解析解与完全固定左端级数近似解之间的差异。均匀拉伸解给出 σx = 100 MPa、σy = τxy = 0，以及沿 x 方向线性增长的位移 u 和由泊松效应控制的横向位移 v。相比之下，完全固定左端破坏自由泊松收缩，在固定端附近引入 σy、τxy 与 γxy 的局部二维扰动，使最大 σx 升至约 128.55 MPa；该扰动沿板长方向迅速衰减，远离固定端后恢复到均匀拉伸基准。本分析展示了边界条件对连续体应力场的控制作用，并为后续有限元弱形式离散和结果解释提供理论参照。</w:t>
      </w:r>
    </w:p>
    <w:p>
      <w:pPr>
        <w:spacing w:line="288" w:lineRule="auto" w:before="0" w:after="80"/>
      </w:pPr>
      <w:r>
        <w:rPr>
          <w:rFonts w:ascii="Times New Roman" w:hAnsi="Times New Roman" w:eastAsia="宋体"/>
          <w:b/>
          <w:sz w:val="21"/>
        </w:rPr>
        <w:t>关键词：平面应力；艾力应力函数；矩形薄板；端部扰动；有限元分析；Nature-style 科研图</w:t>
      </w:r>
    </w:p>
    <w:p>
      <w:pPr>
        <w:pStyle w:val="Heading1"/>
      </w:pPr>
      <w:r>
        <w:t>目录</w:t>
      </w:r>
    </w:p>
    <w:p>
      <w:r>
        <w:rPr>
          <w:rFonts w:ascii="Times New Roman" w:hAnsi="Times New Roman" w:eastAsia="宋体"/>
        </w:rPr>
        <w:fldChar w:fldCharType="begin"/>
        <w:instrText xml:space="preserve">TOC \o "1-3" \h \z \u</w:instrText>
        <w:fldChar w:fldCharType="separate"/>
        <w:t>目录（在 Word 中右键选择“更新域”即可刷新页码）</w:t>
        <w:fldChar w:fldCharType="end"/>
      </w:r>
    </w:p>
    <w:p>
      <w:pPr>
        <w:sectPr>
          <w:pgSz w:w="11906" w:h="16838"/>
          <w:pgMar w:top="1020" w:right="964" w:bottom="1020" w:left="964" w:header="720" w:footer="720" w:gutter="0"/>
          <w:cols w:space="720" w:num="1"/>
          <w:docGrid w:linePitch="360"/>
        </w:sectPr>
      </w:pPr>
    </w:p>
    <w:p>
      <w:pPr>
        <w:pStyle w:val="Heading1"/>
      </w:pPr>
      <w:r>
        <w:t>1 引言</w:t>
      </w:r>
    </w:p>
    <w:p>
      <w:pPr>
        <w:spacing w:line="288" w:lineRule="auto" w:before="0" w:after="80"/>
        <w:ind w:firstLine="420"/>
      </w:pPr>
      <w:r>
        <w:rPr>
          <w:rFonts w:ascii="Times New Roman" w:hAnsi="Times New Roman" w:eastAsia="宋体"/>
          <w:sz w:val="21"/>
        </w:rPr>
        <w:t>杆、梁等一维结构问题通常可以通过少量广义位移和常微分方程描述，而二维弹性连续体中的位移、应变和应力均为空间场变量。有限元分析的关键步骤，是先将工程对象转化为可验证的连续体边值问题，再通过弱形式或能量原理完成离散。</w:t>
      </w:r>
    </w:p>
    <w:p>
      <w:pPr>
        <w:spacing w:line="288" w:lineRule="auto" w:before="0" w:after="80"/>
        <w:ind w:firstLine="420"/>
      </w:pPr>
      <w:r>
        <w:rPr>
          <w:rFonts w:ascii="Times New Roman" w:hAnsi="Times New Roman" w:eastAsia="宋体"/>
          <w:sz w:val="21"/>
        </w:rPr>
        <w:t>本任务选择矩形薄板单向拉伸作为过渡模型。该问题既包含清晰的均匀拉伸解析基准，也包含由完全固定边界引发的端部二维扰动。因此，它适合用于说明边界条件、泊松效应、应力重分布和有限元建模之间的关系。</w:t>
      </w:r>
    </w:p>
    <w:p>
      <w:pPr>
        <w:spacing w:line="288" w:lineRule="auto" w:before="0" w:after="80"/>
        <w:ind w:firstLine="420"/>
      </w:pPr>
      <w:r>
        <w:rPr>
          <w:rFonts w:ascii="Times New Roman" w:hAnsi="Times New Roman" w:eastAsia="宋体"/>
          <w:sz w:val="21"/>
        </w:rPr>
        <w:t>从课程训练角度看，本问题的价值在于把“结构受拉”这一看似简单的工程情景拆解为三个层次：第一，明确几何区域、材料假设和边界条件；第二，写出平面弹性强形式并识别相容性要求；第三，将解析或级数结果转化为可视化证据，并据此判断有限元离散结果是否合理。这样的分析顺序能够避免直接堆叠云图而缺少力学解释。</w:t>
      </w:r>
    </w:p>
    <w:p>
      <w:pPr>
        <w:spacing w:line="288" w:lineRule="auto" w:before="0" w:after="80"/>
        <w:ind w:firstLine="420"/>
      </w:pPr>
      <w:r>
        <w:rPr>
          <w:rFonts w:ascii="Times New Roman" w:hAnsi="Times New Roman" w:eastAsia="宋体"/>
          <w:sz w:val="21"/>
        </w:rPr>
        <w:t>本文按照科研论文式结构组织报告。首先给出问题定义和理论方程，随后建立均匀拉伸解析基准与固定端扰动近似，最后用多面板静态图展示位移、应力、应变和扰动衰减。正文中的图、表和公式均按连续编号排版，以便结果分析能够形成“文字解释、图像证据、简短结论”的闭环。</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616000" cy="3742267"/>
            <wp:docPr id="1" name="Picture 1"/>
            <wp:cNvGraphicFramePr>
              <a:graphicFrameLocks noChangeAspect="1"/>
            </wp:cNvGraphicFramePr>
            <a:graphic>
              <a:graphicData uri="http://schemas.openxmlformats.org/drawingml/2006/picture">
                <pic:pic>
                  <pic:nvPicPr>
                    <pic:cNvPr id="0" name="Figure_1_problem_setup.png"/>
                    <pic:cNvPicPr/>
                  </pic:nvPicPr>
                  <pic:blipFill>
                    <a:blip r:embed="rId9"/>
                    <a:stretch>
                      <a:fillRect/>
                    </a:stretch>
                  </pic:blipFill>
                  <pic:spPr>
                    <a:xfrm>
                      <a:off x="0" y="0"/>
                      <a:ext cx="5616000" cy="3742267"/>
                    </a:xfrm>
                    <a:prstGeom prst="rect"/>
                  </pic:spPr>
                </pic:pic>
              </a:graphicData>
            </a:graphic>
          </wp:inline>
        </w:drawing>
      </w:r>
    </w:p>
    <w:p>
      <w:pPr>
        <w:spacing w:line="264" w:lineRule="auto" w:before="40" w:after="160"/>
        <w:ind w:firstLine="0"/>
        <w:jc w:val="left"/>
        <w:keepLines/>
      </w:pPr>
      <w:r>
        <w:rPr>
          <w:rFonts w:ascii="Arial" w:hAnsi="Arial" w:eastAsia="等线"/>
          <w:b/>
          <w:sz w:val="19"/>
        </w:rPr>
        <w:t>图 1</w:t>
      </w:r>
      <w:r>
        <w:rPr>
          <w:rFonts w:ascii="Arial" w:hAnsi="Arial" w:eastAsia="等线"/>
          <w:sz w:val="19"/>
        </w:rPr>
        <w:t xml:space="preserve"> 矩形薄板几何模型与边界条件示意图。A，几何尺寸与坐标系；B，左端完全固定、右端均布拉力以及上下自由边界；C，平面应力假设下的面内应力分量；D，从工程问题到控制方程、艾力应力函数和场变量输出的分析流程。</w:t>
      </w:r>
    </w:p>
    <w:p>
      <w:pPr>
        <w:sectPr>
          <w:type w:val="continuous"/>
          <w:pgSz w:w="11906" w:h="16838"/>
          <w:pgMar w:top="1020" w:right="964" w:bottom="1020" w:left="964" w:header="720" w:footer="720" w:gutter="0"/>
          <w:cols w:space="720" w:num="1"/>
          <w:docGrid w:linePitch="360"/>
        </w:sectPr>
      </w:pPr>
    </w:p>
    <w:p>
      <w:pPr>
        <w:pStyle w:val="Heading1"/>
      </w:pPr>
      <w:r>
        <w:t>2 理论基础与边值问题</w:t>
      </w:r>
    </w:p>
    <w:p>
      <w:pPr>
        <w:pStyle w:val="Heading2"/>
      </w:pPr>
      <w:r>
        <w:t>2.1 平面应力假设</w:t>
      </w:r>
    </w:p>
    <w:p>
      <w:pPr>
        <w:spacing w:line="288" w:lineRule="auto" w:before="0" w:after="80"/>
        <w:ind w:firstLine="420"/>
      </w:pPr>
      <w:r>
        <w:rPr>
          <w:rFonts w:ascii="Times New Roman" w:hAnsi="Times New Roman" w:eastAsia="宋体"/>
          <w:sz w:val="21"/>
        </w:rPr>
        <w:t>薄板厚度 t 远小于平面尺寸 L 和 H，厚度方向约束较弱，因此可取 σz ≈ 0，并采用平面应力模型。基本未知量为位移场 u(x,y) 与 v(x,y)，应力分量为 σx、σy 和 τxy，应变分量为 εx、εy 和 γxy。</w:t>
      </w:r>
    </w:p>
    <w:p>
      <w:pPr>
        <w:spacing w:line="288" w:lineRule="auto" w:before="0" w:after="80"/>
        <w:ind w:firstLine="420"/>
      </w:pPr>
      <w:r>
        <w:rPr>
          <w:rFonts w:ascii="Times New Roman" w:hAnsi="Times New Roman" w:eastAsia="宋体"/>
          <w:sz w:val="21"/>
        </w:rPr>
        <w:t>平面应力并不意味着结构没有厚度，而是指厚度方向正应力相对于面内分量可以忽略。对于本题，右端拉应力沿板面方向施加，上下边界为自由边界，且厚度仅为 0.01 m，因此采用平面应力模型比平面应变模型更符合薄板受拉的物理图像。</w:t>
      </w:r>
    </w:p>
    <w:p>
      <w:pPr>
        <w:spacing w:before="120" w:after="60"/>
        <w:ind w:firstLine="0"/>
        <w:keepNext/>
        <w:keepLines/>
      </w:pPr>
      <w:r>
        <w:rPr>
          <w:rFonts w:ascii="Arial" w:hAnsi="Arial" w:eastAsia="等线"/>
          <w:b/>
          <w:sz w:val="19"/>
        </w:rPr>
        <w:t>表 1</w:t>
      </w:r>
      <w:r>
        <w:rPr>
          <w:rFonts w:ascii="Arial" w:hAnsi="Arial" w:eastAsia="等线"/>
          <w:sz w:val="19"/>
        </w:rPr>
        <w:t xml:space="preserve"> 几何、材料与载荷参数。</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680"/>
            <w:vAlign w:val="center"/>
            <w:shd w:fill="EFEFEF"/>
          </w:tcPr>
          <w:p>
            <w:pPr>
              <w:spacing w:after="0" w:line="240" w:lineRule="auto"/>
              <w:ind w:firstLine="0"/>
            </w:pPr>
            <w:r/>
            <w:r>
              <w:rPr>
                <w:rFonts w:ascii="Arial" w:hAnsi="Arial" w:eastAsia="等线"/>
                <w:b/>
                <w:sz w:val="17"/>
              </w:rPr>
              <w:t>符号</w:t>
            </w:r>
          </w:p>
        </w:tc>
        <w:tc>
          <w:tcPr>
            <w:tcW w:type="dxa" w:w="1134"/>
            <w:vAlign w:val="center"/>
            <w:shd w:fill="EFEFEF"/>
          </w:tcPr>
          <w:p>
            <w:pPr>
              <w:spacing w:after="0" w:line="240" w:lineRule="auto"/>
              <w:ind w:firstLine="0"/>
            </w:pPr>
            <w:r/>
            <w:r>
              <w:rPr>
                <w:rFonts w:ascii="Arial" w:hAnsi="Arial" w:eastAsia="等线"/>
                <w:b/>
                <w:sz w:val="17"/>
              </w:rPr>
              <w:t>取值</w:t>
            </w:r>
          </w:p>
        </w:tc>
        <w:tc>
          <w:tcPr>
            <w:tcW w:type="dxa" w:w="2381"/>
            <w:vAlign w:val="center"/>
            <w:shd w:fill="EFEFEF"/>
          </w:tcPr>
          <w:p>
            <w:pPr>
              <w:spacing w:after="0" w:line="240" w:lineRule="auto"/>
              <w:ind w:firstLine="0"/>
            </w:pPr>
            <w:r/>
            <w:r>
              <w:rPr>
                <w:rFonts w:ascii="Arial" w:hAnsi="Arial" w:eastAsia="等线"/>
                <w:b/>
                <w:sz w:val="17"/>
              </w:rPr>
              <w:t>含义</w:t>
            </w:r>
          </w:p>
        </w:tc>
      </w:tr>
      <w:tr>
        <w:trPr>
          <w:cantSplit/>
        </w:trPr>
        <w:tc>
          <w:tcPr>
            <w:tcW w:type="dxa" w:w="680"/>
            <w:vAlign w:val="center"/>
          </w:tcPr>
          <w:p>
            <w:pPr>
              <w:spacing w:after="0" w:line="240" w:lineRule="auto"/>
              <w:ind w:firstLine="0"/>
            </w:pPr>
            <w:r/>
            <w:r>
              <w:rPr>
                <w:rFonts w:ascii="Arial" w:hAnsi="Arial" w:eastAsia="等线"/>
                <w:b w:val="0"/>
                <w:sz w:val="17"/>
              </w:rPr>
              <w:t>L</w:t>
            </w:r>
          </w:p>
        </w:tc>
        <w:tc>
          <w:tcPr>
            <w:tcW w:type="dxa" w:w="1134"/>
            <w:vAlign w:val="center"/>
          </w:tcPr>
          <w:p>
            <w:pPr>
              <w:spacing w:after="0" w:line="240" w:lineRule="auto"/>
              <w:ind w:firstLine="0"/>
            </w:pPr>
            <w:r/>
            <w:r>
              <w:rPr>
                <w:rFonts w:ascii="Arial" w:hAnsi="Arial" w:eastAsia="等线"/>
                <w:b w:val="0"/>
                <w:sz w:val="17"/>
              </w:rPr>
              <w:t>1.0 m</w:t>
            </w:r>
          </w:p>
        </w:tc>
        <w:tc>
          <w:tcPr>
            <w:tcW w:type="dxa" w:w="2381"/>
            <w:vAlign w:val="center"/>
          </w:tcPr>
          <w:p>
            <w:pPr>
              <w:spacing w:after="0" w:line="240" w:lineRule="auto"/>
              <w:ind w:firstLine="0"/>
            </w:pPr>
            <w:r/>
            <w:r>
              <w:rPr>
                <w:rFonts w:ascii="Arial" w:hAnsi="Arial" w:eastAsia="等线"/>
                <w:b w:val="0"/>
                <w:sz w:val="17"/>
              </w:rPr>
              <w:t>板长</w:t>
            </w:r>
          </w:p>
        </w:tc>
      </w:tr>
      <w:tr>
        <w:trPr>
          <w:cantSplit/>
        </w:trPr>
        <w:tc>
          <w:tcPr>
            <w:tcW w:type="dxa" w:w="680"/>
            <w:vAlign w:val="center"/>
          </w:tcPr>
          <w:p>
            <w:pPr>
              <w:spacing w:after="0" w:line="240" w:lineRule="auto"/>
              <w:ind w:firstLine="0"/>
            </w:pPr>
            <w:r/>
            <w:r>
              <w:rPr>
                <w:rFonts w:ascii="Arial" w:hAnsi="Arial" w:eastAsia="等线"/>
                <w:b w:val="0"/>
                <w:sz w:val="17"/>
              </w:rPr>
              <w:t>H</w:t>
            </w:r>
          </w:p>
        </w:tc>
        <w:tc>
          <w:tcPr>
            <w:tcW w:type="dxa" w:w="1134"/>
            <w:vAlign w:val="center"/>
          </w:tcPr>
          <w:p>
            <w:pPr>
              <w:spacing w:after="0" w:line="240" w:lineRule="auto"/>
              <w:ind w:firstLine="0"/>
            </w:pPr>
            <w:r/>
            <w:r>
              <w:rPr>
                <w:rFonts w:ascii="Arial" w:hAnsi="Arial" w:eastAsia="等线"/>
                <w:b w:val="0"/>
                <w:sz w:val="17"/>
              </w:rPr>
              <w:t>0.4 m</w:t>
            </w:r>
          </w:p>
        </w:tc>
        <w:tc>
          <w:tcPr>
            <w:tcW w:type="dxa" w:w="2381"/>
            <w:vAlign w:val="center"/>
          </w:tcPr>
          <w:p>
            <w:pPr>
              <w:spacing w:after="0" w:line="240" w:lineRule="auto"/>
              <w:ind w:firstLine="0"/>
            </w:pPr>
            <w:r/>
            <w:r>
              <w:rPr>
                <w:rFonts w:ascii="Arial" w:hAnsi="Arial" w:eastAsia="等线"/>
                <w:b w:val="0"/>
                <w:sz w:val="17"/>
              </w:rPr>
              <w:t>板高</w:t>
            </w:r>
          </w:p>
        </w:tc>
      </w:tr>
      <w:tr>
        <w:trPr>
          <w:cantSplit/>
        </w:trPr>
        <w:tc>
          <w:tcPr>
            <w:tcW w:type="dxa" w:w="680"/>
            <w:vAlign w:val="center"/>
          </w:tcPr>
          <w:p>
            <w:pPr>
              <w:spacing w:after="0" w:line="240" w:lineRule="auto"/>
              <w:ind w:firstLine="0"/>
            </w:pPr>
            <w:r/>
            <w:r>
              <w:rPr>
                <w:rFonts w:ascii="Arial" w:hAnsi="Arial" w:eastAsia="等线"/>
                <w:b w:val="0"/>
                <w:sz w:val="17"/>
              </w:rPr>
              <w:t>t</w:t>
            </w:r>
          </w:p>
        </w:tc>
        <w:tc>
          <w:tcPr>
            <w:tcW w:type="dxa" w:w="1134"/>
            <w:vAlign w:val="center"/>
          </w:tcPr>
          <w:p>
            <w:pPr>
              <w:spacing w:after="0" w:line="240" w:lineRule="auto"/>
              <w:ind w:firstLine="0"/>
            </w:pPr>
            <w:r/>
            <w:r>
              <w:rPr>
                <w:rFonts w:ascii="Arial" w:hAnsi="Arial" w:eastAsia="等线"/>
                <w:b w:val="0"/>
                <w:sz w:val="17"/>
              </w:rPr>
              <w:t>0.01 m</w:t>
            </w:r>
          </w:p>
        </w:tc>
        <w:tc>
          <w:tcPr>
            <w:tcW w:type="dxa" w:w="2381"/>
            <w:vAlign w:val="center"/>
          </w:tcPr>
          <w:p>
            <w:pPr>
              <w:spacing w:after="0" w:line="240" w:lineRule="auto"/>
              <w:ind w:firstLine="0"/>
            </w:pPr>
            <w:r/>
            <w:r>
              <w:rPr>
                <w:rFonts w:ascii="Arial" w:hAnsi="Arial" w:eastAsia="等线"/>
                <w:b w:val="0"/>
                <w:sz w:val="17"/>
              </w:rPr>
              <w:t>板厚</w:t>
            </w:r>
          </w:p>
        </w:tc>
      </w:tr>
      <w:tr>
        <w:trPr>
          <w:cantSplit/>
        </w:trPr>
        <w:tc>
          <w:tcPr>
            <w:tcW w:type="dxa" w:w="680"/>
            <w:vAlign w:val="center"/>
          </w:tcPr>
          <w:p>
            <w:pPr>
              <w:spacing w:after="0" w:line="240" w:lineRule="auto"/>
              <w:ind w:firstLine="0"/>
            </w:pPr>
            <w:r/>
            <w:r>
              <w:rPr>
                <w:rFonts w:ascii="Arial" w:hAnsi="Arial" w:eastAsia="等线"/>
                <w:b w:val="0"/>
                <w:sz w:val="17"/>
              </w:rPr>
              <w:t>E</w:t>
            </w:r>
          </w:p>
        </w:tc>
        <w:tc>
          <w:tcPr>
            <w:tcW w:type="dxa" w:w="1134"/>
            <w:vAlign w:val="center"/>
          </w:tcPr>
          <w:p>
            <w:pPr>
              <w:spacing w:after="0" w:line="240" w:lineRule="auto"/>
              <w:ind w:firstLine="0"/>
            </w:pPr>
            <w:r/>
            <w:r>
              <w:rPr>
                <w:rFonts w:ascii="Arial" w:hAnsi="Arial" w:eastAsia="等线"/>
                <w:b w:val="0"/>
                <w:sz w:val="17"/>
              </w:rPr>
              <w:t>210 GPa</w:t>
            </w:r>
          </w:p>
        </w:tc>
        <w:tc>
          <w:tcPr>
            <w:tcW w:type="dxa" w:w="2381"/>
            <w:vAlign w:val="center"/>
          </w:tcPr>
          <w:p>
            <w:pPr>
              <w:spacing w:after="0" w:line="240" w:lineRule="auto"/>
              <w:ind w:firstLine="0"/>
            </w:pPr>
            <w:r/>
            <w:r>
              <w:rPr>
                <w:rFonts w:ascii="Arial" w:hAnsi="Arial" w:eastAsia="等线"/>
                <w:b w:val="0"/>
                <w:sz w:val="17"/>
              </w:rPr>
              <w:t>弹性模量</w:t>
            </w:r>
          </w:p>
        </w:tc>
      </w:tr>
      <w:tr>
        <w:trPr>
          <w:cantSplit/>
        </w:trPr>
        <w:tc>
          <w:tcPr>
            <w:tcW w:type="dxa" w:w="680"/>
            <w:vAlign w:val="center"/>
          </w:tcPr>
          <w:p>
            <w:pPr>
              <w:spacing w:after="0" w:line="240" w:lineRule="auto"/>
              <w:ind w:firstLine="0"/>
            </w:pPr>
            <w:r/>
            <w:r>
              <w:rPr>
                <w:rFonts w:ascii="Arial" w:hAnsi="Arial" w:eastAsia="等线"/>
                <w:b w:val="0"/>
                <w:sz w:val="17"/>
              </w:rPr>
              <w:t>ν</w:t>
            </w:r>
          </w:p>
        </w:tc>
        <w:tc>
          <w:tcPr>
            <w:tcW w:type="dxa" w:w="1134"/>
            <w:vAlign w:val="center"/>
          </w:tcPr>
          <w:p>
            <w:pPr>
              <w:spacing w:after="0" w:line="240" w:lineRule="auto"/>
              <w:ind w:firstLine="0"/>
            </w:pPr>
            <w:r/>
            <w:r>
              <w:rPr>
                <w:rFonts w:ascii="Arial" w:hAnsi="Arial" w:eastAsia="等线"/>
                <w:b w:val="0"/>
                <w:sz w:val="17"/>
              </w:rPr>
              <w:t>0.30</w:t>
            </w:r>
          </w:p>
        </w:tc>
        <w:tc>
          <w:tcPr>
            <w:tcW w:type="dxa" w:w="2381"/>
            <w:vAlign w:val="center"/>
          </w:tcPr>
          <w:p>
            <w:pPr>
              <w:spacing w:after="0" w:line="240" w:lineRule="auto"/>
              <w:ind w:firstLine="0"/>
            </w:pPr>
            <w:r/>
            <w:r>
              <w:rPr>
                <w:rFonts w:ascii="Arial" w:hAnsi="Arial" w:eastAsia="等线"/>
                <w:b w:val="0"/>
                <w:sz w:val="17"/>
              </w:rPr>
              <w:t>泊松比</w:t>
            </w:r>
          </w:p>
        </w:tc>
      </w:tr>
      <w:tr>
        <w:trPr>
          <w:cantSplit/>
        </w:trPr>
        <w:tc>
          <w:tcPr>
            <w:tcW w:type="dxa" w:w="680"/>
            <w:vAlign w:val="center"/>
          </w:tcPr>
          <w:p>
            <w:pPr>
              <w:spacing w:after="0" w:line="240" w:lineRule="auto"/>
              <w:ind w:firstLine="0"/>
            </w:pPr>
            <w:r/>
            <w:r>
              <w:rPr>
                <w:rFonts w:ascii="Arial" w:hAnsi="Arial" w:eastAsia="等线"/>
                <w:b w:val="0"/>
                <w:sz w:val="17"/>
              </w:rPr>
              <w:t>q</w:t>
            </w:r>
          </w:p>
        </w:tc>
        <w:tc>
          <w:tcPr>
            <w:tcW w:type="dxa" w:w="1134"/>
            <w:vAlign w:val="center"/>
          </w:tcPr>
          <w:p>
            <w:pPr>
              <w:spacing w:after="0" w:line="240" w:lineRule="auto"/>
              <w:ind w:firstLine="0"/>
            </w:pPr>
            <w:r/>
            <w:r>
              <w:rPr>
                <w:rFonts w:ascii="Arial" w:hAnsi="Arial" w:eastAsia="等线"/>
                <w:b w:val="0"/>
                <w:sz w:val="17"/>
              </w:rPr>
              <w:t>100 MPa</w:t>
            </w:r>
          </w:p>
        </w:tc>
        <w:tc>
          <w:tcPr>
            <w:tcW w:type="dxa" w:w="2381"/>
            <w:vAlign w:val="center"/>
          </w:tcPr>
          <w:p>
            <w:pPr>
              <w:spacing w:after="0" w:line="240" w:lineRule="auto"/>
              <w:ind w:firstLine="0"/>
            </w:pPr>
            <w:r/>
            <w:r>
              <w:rPr>
                <w:rFonts w:ascii="Arial" w:hAnsi="Arial" w:eastAsia="等线"/>
                <w:b w:val="0"/>
                <w:sz w:val="17"/>
              </w:rPr>
              <w:t>右端均布拉应力</w:t>
            </w:r>
          </w:p>
        </w:tc>
      </w:tr>
      <w:tr>
        <w:trPr>
          <w:cantSplit/>
        </w:trPr>
        <w:tc>
          <w:tcPr>
            <w:tcW w:type="dxa" w:w="680"/>
            <w:vAlign w:val="center"/>
          </w:tcPr>
          <w:p>
            <w:pPr>
              <w:spacing w:after="0" w:line="240" w:lineRule="auto"/>
              <w:ind w:firstLine="0"/>
            </w:pPr>
            <w:r/>
            <w:r>
              <w:rPr>
                <w:rFonts w:ascii="Arial" w:hAnsi="Arial" w:eastAsia="等线"/>
                <w:b w:val="0"/>
                <w:sz w:val="17"/>
              </w:rPr>
              <w:t>G</w:t>
            </w:r>
          </w:p>
        </w:tc>
        <w:tc>
          <w:tcPr>
            <w:tcW w:type="dxa" w:w="1134"/>
            <w:vAlign w:val="center"/>
          </w:tcPr>
          <w:p>
            <w:pPr>
              <w:spacing w:after="0" w:line="240" w:lineRule="auto"/>
              <w:ind w:firstLine="0"/>
            </w:pPr>
            <w:r/>
            <w:r>
              <w:rPr>
                <w:rFonts w:ascii="Arial" w:hAnsi="Arial" w:eastAsia="等线"/>
                <w:b w:val="0"/>
                <w:sz w:val="17"/>
              </w:rPr>
              <w:t>E/[2(1 + ν)]</w:t>
            </w:r>
          </w:p>
        </w:tc>
        <w:tc>
          <w:tcPr>
            <w:tcW w:type="dxa" w:w="2381"/>
            <w:vAlign w:val="center"/>
          </w:tcPr>
          <w:p>
            <w:pPr>
              <w:spacing w:after="0" w:line="240" w:lineRule="auto"/>
              <w:ind w:firstLine="0"/>
            </w:pPr>
            <w:r/>
            <w:r>
              <w:rPr>
                <w:rFonts w:ascii="Arial" w:hAnsi="Arial" w:eastAsia="等线"/>
                <w:b w:val="0"/>
                <w:sz w:val="17"/>
              </w:rPr>
              <w:t>剪切模量</w:t>
            </w:r>
          </w:p>
        </w:tc>
      </w:tr>
    </w:tbl>
    <w:p>
      <w:pPr>
        <w:pStyle w:val="Heading2"/>
      </w:pPr>
      <w:r>
        <w:t>2.2 控制方程</w:t>
      </w:r>
    </w:p>
    <w:p>
      <w:pPr>
        <w:spacing w:line="288" w:lineRule="auto" w:before="0" w:after="80"/>
        <w:ind w:firstLine="420"/>
      </w:pPr>
      <w:r>
        <w:rPr>
          <w:rFonts w:ascii="Times New Roman" w:hAnsi="Times New Roman" w:eastAsia="宋体"/>
          <w:sz w:val="21"/>
        </w:rPr>
        <w:t>忽略体力时，二维平面弹性强形式由平衡方程、几何方程和本构方程组成。为避免公式像代码文本，下面的主要方程均以 Word OfficeMath 形式给出，可在 Word 中直接编辑。</w:t>
      </w:r>
    </w:p>
    <w:tbl>
      <w:tblPr>
        <w:tblW w:type="dxa" w:w="4224"/>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713"/>
        <w:gridCol w:w="482"/>
      </w:tblGrid>
      <w:tr>
        <w:tc>
          <w:tcPr>
            <w:tcW w:type="dxa" w:w="4989"/>
            <w:vAlign w:val="center"/>
          </w:tcPr>
          <w:p>
            <w:pPr>
              <w:spacing w:before="20" w:after="20" w:line="240" w:lineRule="auto"/>
              <w:jc w:val="center"/>
            </w:pPr>
            <m:oMathPara>
              <m:oMath>
                <m:f>
                  <m:num>
                    <m:r>
                      <m:t>∂σₓ</m:t>
                    </m:r>
                  </m:num>
                  <m:den>
                    <m:r>
                      <m:t>∂x</m:t>
                    </m:r>
                  </m:den>
                </m:f>
                <m:r>
                  <m:t>+</m:t>
                </m:r>
                <m:f>
                  <m:num>
                    <m:r>
                      <m:t>∂τₓᵧ</m:t>
                    </m:r>
                  </m:num>
                  <m:den>
                    <m:r>
                      <m:t>∂y</m:t>
                    </m:r>
                  </m:den>
                </m:f>
                <m:r>
                  <m:t>=0,   </m:t>
                </m:r>
                <m:f>
                  <m:num>
                    <m:r>
                      <m:t>∂τₓᵧ</m:t>
                    </m:r>
                  </m:num>
                  <m:den>
                    <m:r>
                      <m:t>∂x</m:t>
                    </m:r>
                  </m:den>
                </m:f>
                <m:r>
                  <m:t>+</m:t>
                </m:r>
                <m:f>
                  <m:num>
                    <m:r>
                      <m:t>∂σᵧ</m:t>
                    </m:r>
                  </m:num>
                  <m:den>
                    <m:r>
                      <m:t>∂y</m:t>
                    </m:r>
                  </m:den>
                </m:f>
                <m:r>
                  <m:t>=0</m:t>
                </m:r>
              </m:oMath>
            </m:oMathPara>
          </w:p>
        </w:tc>
        <w:tc>
          <w:tcPr>
            <w:tcW w:type="dxa" w:w="4989"/>
            <w:vAlign w:val="center"/>
          </w:tcPr>
          <w:p>
            <w:pPr>
              <w:jc w:val="right"/>
            </w:pPr>
            <w:r>
              <w:rPr>
                <w:rFonts w:ascii="Times New Roman" w:hAnsi="Times New Roman" w:eastAsia="宋体"/>
                <w:sz w:val="20"/>
              </w:rPr>
              <w:t>(1)</w:t>
            </w:r>
          </w:p>
        </w:tc>
      </w:tr>
    </w:tbl>
    <w:tbl>
      <w:tblPr>
        <w:tblW w:type="dxa" w:w="4224"/>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713"/>
        <w:gridCol w:w="482"/>
      </w:tblGrid>
      <w:tr>
        <w:tc>
          <w:tcPr>
            <w:tcW w:type="dxa" w:w="4989"/>
            <w:vAlign w:val="center"/>
          </w:tcPr>
          <w:p>
            <w:pPr>
              <w:spacing w:before="20" w:after="20" w:line="240" w:lineRule="auto"/>
              <w:jc w:val="center"/>
            </w:pPr>
            <m:oMathPara>
              <m:oMath>
                <m:r>
                  <m:t>εₓ=</m:t>
                </m:r>
                <m:f>
                  <m:num>
                    <m:r>
                      <m:t>∂u</m:t>
                    </m:r>
                  </m:num>
                  <m:den>
                    <m:r>
                      <m:t>∂x</m:t>
                    </m:r>
                  </m:den>
                </m:f>
                <m:r>
                  <m:t>,   εᵧ=</m:t>
                </m:r>
                <m:f>
                  <m:num>
                    <m:r>
                      <m:t>∂v</m:t>
                    </m:r>
                  </m:num>
                  <m:den>
                    <m:r>
                      <m:t>∂y</m:t>
                    </m:r>
                  </m:den>
                </m:f>
                <m:r>
                  <m:t>,   γₓᵧ=</m:t>
                </m:r>
                <m:f>
                  <m:num>
                    <m:r>
                      <m:t>∂u</m:t>
                    </m:r>
                  </m:num>
                  <m:den>
                    <m:r>
                      <m:t>∂y</m:t>
                    </m:r>
                  </m:den>
                </m:f>
                <m:r>
                  <m:t>+</m:t>
                </m:r>
                <m:f>
                  <m:num>
                    <m:r>
                      <m:t>∂v</m:t>
                    </m:r>
                  </m:num>
                  <m:den>
                    <m:r>
                      <m:t>∂x</m:t>
                    </m:r>
                  </m:den>
                </m:f>
              </m:oMath>
            </m:oMathPara>
          </w:p>
        </w:tc>
        <w:tc>
          <w:tcPr>
            <w:tcW w:type="dxa" w:w="4989"/>
            <w:vAlign w:val="center"/>
          </w:tcPr>
          <w:p>
            <w:pPr>
              <w:jc w:val="right"/>
            </w:pPr>
            <w:r>
              <w:rPr>
                <w:rFonts w:ascii="Times New Roman" w:hAnsi="Times New Roman" w:eastAsia="宋体"/>
                <w:sz w:val="20"/>
              </w:rPr>
              <w:t>(2)</w:t>
            </w:r>
          </w:p>
        </w:tc>
      </w:tr>
    </w:tbl>
    <w:tbl>
      <w:tblPr>
        <w:tblW w:type="dxa" w:w="4224"/>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713"/>
        <w:gridCol w:w="482"/>
      </w:tblGrid>
      <w:tr>
        <w:tc>
          <w:tcPr>
            <w:tcW w:type="dxa" w:w="4989"/>
            <w:vAlign w:val="center"/>
          </w:tcPr>
          <w:p>
            <w:pPr>
              <w:spacing w:before="20" w:after="20" w:line="240" w:lineRule="auto"/>
              <w:jc w:val="center"/>
            </w:pPr>
            <m:oMathPara>
              <m:oMath>
                <m:d>
                  <m:dPr>
                    <m:begChr m:val="["/>
                    <m:endChr m:val="]"/>
                  </m:dPr>
                  <m:e>
                    <m:m>
                      <m:mr>
                        <m:e>
                          <m:r>
                            <m:t>εₓ</m:t>
                          </m:r>
                        </m:e>
                      </m:mr>
                      <m:mr>
                        <m:e>
                          <m:r>
                            <m:t>εᵧ</m:t>
                          </m:r>
                        </m:e>
                      </m:mr>
                      <m:mr>
                        <m:e>
                          <m:r>
                            <m:t>γₓᵧ</m:t>
                          </m:r>
                        </m:e>
                      </m:mr>
                    </m:m>
                  </m:e>
                </m:d>
                <m:r>
                  <m:t>=</m:t>
                </m:r>
                <m:f>
                  <m:num>
                    <m:r>
                      <m:t>1</m:t>
                    </m:r>
                  </m:num>
                  <m:den>
                    <m:r>
                      <m:t>E</m:t>
                    </m:r>
                  </m:den>
                </m:f>
                <m:d>
                  <m:dPr>
                    <m:begChr m:val="["/>
                    <m:endChr m:val="]"/>
                  </m:dPr>
                  <m:e>
                    <m:m>
                      <m:mr>
                        <m:e>
                          <m:r>
                            <m:t>1</m:t>
                          </m:r>
                        </m:e>
                        <m:e>
                          <m:r>
                            <m:t>-ν</m:t>
                          </m:r>
                        </m:e>
                        <m:e>
                          <m:r>
                            <m:t>0</m:t>
                          </m:r>
                        </m:e>
                      </m:mr>
                      <m:mr>
                        <m:e>
                          <m:r>
                            <m:t>-ν</m:t>
                          </m:r>
                        </m:e>
                        <m:e>
                          <m:r>
                            <m:t>1</m:t>
                          </m:r>
                        </m:e>
                        <m:e>
                          <m:r>
                            <m:t>0</m:t>
                          </m:r>
                        </m:e>
                      </m:mr>
                      <m:mr>
                        <m:e>
                          <m:r>
                            <m:t>0</m:t>
                          </m:r>
                        </m:e>
                        <m:e>
                          <m:r>
                            <m:t>0</m:t>
                          </m:r>
                        </m:e>
                        <m:e>
                          <m:r>
                            <m:t>2(1+ν)</m:t>
                          </m:r>
                        </m:e>
                      </m:mr>
                    </m:m>
                  </m:e>
                </m:d>
                <m:d>
                  <m:dPr>
                    <m:begChr m:val="["/>
                    <m:endChr m:val="]"/>
                  </m:dPr>
                  <m:e>
                    <m:m>
                      <m:mr>
                        <m:e>
                          <m:r>
                            <m:t>σₓ</m:t>
                          </m:r>
                        </m:e>
                      </m:mr>
                      <m:mr>
                        <m:e>
                          <m:r>
                            <m:t>σᵧ</m:t>
                          </m:r>
                        </m:e>
                      </m:mr>
                      <m:mr>
                        <m:e>
                          <m:r>
                            <m:t>τₓᵧ</m:t>
                          </m:r>
                        </m:e>
                      </m:mr>
                    </m:m>
                  </m:e>
                </m:d>
              </m:oMath>
            </m:oMathPara>
          </w:p>
        </w:tc>
        <w:tc>
          <w:tcPr>
            <w:tcW w:type="dxa" w:w="4989"/>
            <w:vAlign w:val="center"/>
          </w:tcPr>
          <w:p>
            <w:pPr>
              <w:jc w:val="right"/>
            </w:pPr>
            <w:r>
              <w:rPr>
                <w:rFonts w:ascii="Times New Roman" w:hAnsi="Times New Roman" w:eastAsia="宋体"/>
                <w:sz w:val="20"/>
              </w:rPr>
              <w:t>(3)</w:t>
            </w:r>
          </w:p>
        </w:tc>
      </w:tr>
    </w:tbl>
    <w:p>
      <w:pPr>
        <w:spacing w:before="120" w:after="60"/>
        <w:ind w:firstLine="0"/>
        <w:keepNext/>
        <w:keepLines/>
      </w:pPr>
      <w:r>
        <w:rPr>
          <w:rFonts w:ascii="Arial" w:hAnsi="Arial" w:eastAsia="等线"/>
          <w:b/>
          <w:sz w:val="19"/>
        </w:rPr>
        <w:t>表 2</w:t>
      </w:r>
      <w:r>
        <w:rPr>
          <w:rFonts w:ascii="Arial" w:hAnsi="Arial" w:eastAsia="等线"/>
          <w:sz w:val="19"/>
        </w:rPr>
        <w:t xml:space="preserve"> 控制方程与边界条件的紧凑整理。</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822"/>
            <w:vAlign w:val="center"/>
            <w:shd w:fill="EFEFEF"/>
          </w:tcPr>
          <w:p>
            <w:pPr>
              <w:spacing w:after="0" w:line="240" w:lineRule="auto"/>
              <w:ind w:firstLine="0"/>
            </w:pPr>
            <w:r/>
            <w:r>
              <w:rPr>
                <w:rFonts w:ascii="Arial" w:hAnsi="Arial" w:eastAsia="等线"/>
                <w:b/>
                <w:sz w:val="17"/>
              </w:rPr>
              <w:t>类别</w:t>
            </w:r>
          </w:p>
        </w:tc>
        <w:tc>
          <w:tcPr>
            <w:tcW w:type="dxa" w:w="1956"/>
            <w:vAlign w:val="center"/>
            <w:shd w:fill="EFEFEF"/>
          </w:tcPr>
          <w:p>
            <w:pPr>
              <w:spacing w:after="0" w:line="240" w:lineRule="auto"/>
              <w:ind w:firstLine="0"/>
            </w:pPr>
            <w:r/>
            <w:r>
              <w:rPr>
                <w:rFonts w:ascii="Arial" w:hAnsi="Arial" w:eastAsia="等线"/>
                <w:b/>
                <w:sz w:val="17"/>
              </w:rPr>
              <w:t>表达</w:t>
            </w:r>
          </w:p>
        </w:tc>
        <w:tc>
          <w:tcPr>
            <w:tcW w:type="dxa" w:w="1446"/>
            <w:vAlign w:val="center"/>
            <w:shd w:fill="EFEFEF"/>
          </w:tcPr>
          <w:p>
            <w:pPr>
              <w:spacing w:after="0" w:line="240" w:lineRule="auto"/>
              <w:ind w:firstLine="0"/>
            </w:pPr>
            <w:r/>
            <w:r>
              <w:rPr>
                <w:rFonts w:ascii="Arial" w:hAnsi="Arial" w:eastAsia="等线"/>
                <w:b/>
                <w:sz w:val="17"/>
              </w:rPr>
              <w:t>物理意义</w:t>
            </w:r>
          </w:p>
        </w:tc>
      </w:tr>
      <w:tr>
        <w:trPr>
          <w:cantSplit/>
        </w:trPr>
        <w:tc>
          <w:tcPr>
            <w:tcW w:type="dxa" w:w="822"/>
            <w:vAlign w:val="center"/>
          </w:tcPr>
          <w:p>
            <w:pPr>
              <w:spacing w:after="0" w:line="240" w:lineRule="auto"/>
              <w:ind w:firstLine="0"/>
            </w:pPr>
            <w:r/>
            <w:r>
              <w:rPr>
                <w:rFonts w:ascii="Arial" w:hAnsi="Arial" w:eastAsia="等线"/>
                <w:b w:val="0"/>
                <w:sz w:val="17"/>
              </w:rPr>
              <w:t>区域 Ω</w:t>
            </w:r>
          </w:p>
        </w:tc>
        <w:tc>
          <w:tcPr>
            <w:tcW w:type="dxa" w:w="1956"/>
            <w:vAlign w:val="center"/>
          </w:tcPr>
          <w:p>
            <w:pPr>
              <w:spacing w:after="0" w:line="240" w:lineRule="auto"/>
              <w:ind w:firstLine="0"/>
            </w:pPr>
            <w:r/>
            <w:r>
              <w:rPr>
                <w:rFonts w:ascii="Arial" w:hAnsi="Arial" w:eastAsia="等线"/>
                <w:b w:val="0"/>
                <w:sz w:val="17"/>
              </w:rPr>
              <w:t>0 &lt; x &lt; L, −H/2 &lt; y &lt; H/2</w:t>
            </w:r>
          </w:p>
        </w:tc>
        <w:tc>
          <w:tcPr>
            <w:tcW w:type="dxa" w:w="1446"/>
            <w:vAlign w:val="center"/>
          </w:tcPr>
          <w:p>
            <w:pPr>
              <w:spacing w:after="0" w:line="240" w:lineRule="auto"/>
              <w:ind w:firstLine="0"/>
            </w:pPr>
            <w:r/>
            <w:r>
              <w:rPr>
                <w:rFonts w:ascii="Arial" w:hAnsi="Arial" w:eastAsia="等线"/>
                <w:b w:val="0"/>
                <w:sz w:val="17"/>
              </w:rPr>
              <w:t>矩形薄板中面区域</w:t>
            </w:r>
          </w:p>
        </w:tc>
      </w:tr>
      <w:tr>
        <w:trPr>
          <w:cantSplit/>
        </w:trPr>
        <w:tc>
          <w:tcPr>
            <w:tcW w:type="dxa" w:w="822"/>
            <w:vAlign w:val="center"/>
          </w:tcPr>
          <w:p>
            <w:pPr>
              <w:spacing w:after="0" w:line="240" w:lineRule="auto"/>
              <w:ind w:firstLine="0"/>
            </w:pPr>
            <w:r/>
            <w:r>
              <w:rPr>
                <w:rFonts w:ascii="Arial" w:hAnsi="Arial" w:eastAsia="等线"/>
                <w:b w:val="0"/>
                <w:sz w:val="17"/>
              </w:rPr>
              <w:t>平衡方程</w:t>
            </w:r>
          </w:p>
        </w:tc>
        <w:tc>
          <w:tcPr>
            <w:tcW w:type="dxa" w:w="1956"/>
            <w:vAlign w:val="center"/>
          </w:tcPr>
          <w:p>
            <w:pPr>
              <w:spacing w:after="0" w:line="240" w:lineRule="auto"/>
              <w:ind w:firstLine="0"/>
            </w:pPr>
            <w:r/>
            <w:r>
              <w:rPr>
                <w:rFonts w:ascii="Arial" w:hAnsi="Arial" w:eastAsia="等线"/>
                <w:b w:val="0"/>
                <w:sz w:val="17"/>
              </w:rPr>
              <w:t>式（1）</w:t>
            </w:r>
          </w:p>
        </w:tc>
        <w:tc>
          <w:tcPr>
            <w:tcW w:type="dxa" w:w="1446"/>
            <w:vAlign w:val="center"/>
          </w:tcPr>
          <w:p>
            <w:pPr>
              <w:spacing w:after="0" w:line="240" w:lineRule="auto"/>
              <w:ind w:firstLine="0"/>
            </w:pPr>
            <w:r/>
            <w:r>
              <w:rPr>
                <w:rFonts w:ascii="Arial" w:hAnsi="Arial" w:eastAsia="等线"/>
                <w:b w:val="0"/>
                <w:sz w:val="17"/>
              </w:rPr>
              <w:t>无体力条件下的面内力平衡</w:t>
            </w:r>
          </w:p>
        </w:tc>
      </w:tr>
      <w:tr>
        <w:trPr>
          <w:cantSplit/>
        </w:trPr>
        <w:tc>
          <w:tcPr>
            <w:tcW w:type="dxa" w:w="822"/>
            <w:vAlign w:val="center"/>
          </w:tcPr>
          <w:p>
            <w:pPr>
              <w:spacing w:after="0" w:line="240" w:lineRule="auto"/>
              <w:ind w:firstLine="0"/>
            </w:pPr>
            <w:r/>
            <w:r>
              <w:rPr>
                <w:rFonts w:ascii="Arial" w:hAnsi="Arial" w:eastAsia="等线"/>
                <w:b w:val="0"/>
                <w:sz w:val="17"/>
              </w:rPr>
              <w:t>几何方程</w:t>
            </w:r>
          </w:p>
        </w:tc>
        <w:tc>
          <w:tcPr>
            <w:tcW w:type="dxa" w:w="1956"/>
            <w:vAlign w:val="center"/>
          </w:tcPr>
          <w:p>
            <w:pPr>
              <w:spacing w:after="0" w:line="240" w:lineRule="auto"/>
              <w:ind w:firstLine="0"/>
            </w:pPr>
            <w:r/>
            <w:r>
              <w:rPr>
                <w:rFonts w:ascii="Arial" w:hAnsi="Arial" w:eastAsia="等线"/>
                <w:b w:val="0"/>
                <w:sz w:val="17"/>
              </w:rPr>
              <w:t>式（2）</w:t>
            </w:r>
          </w:p>
        </w:tc>
        <w:tc>
          <w:tcPr>
            <w:tcW w:type="dxa" w:w="1446"/>
            <w:vAlign w:val="center"/>
          </w:tcPr>
          <w:p>
            <w:pPr>
              <w:spacing w:after="0" w:line="240" w:lineRule="auto"/>
              <w:ind w:firstLine="0"/>
            </w:pPr>
            <w:r/>
            <w:r>
              <w:rPr>
                <w:rFonts w:ascii="Arial" w:hAnsi="Arial" w:eastAsia="等线"/>
                <w:b w:val="0"/>
                <w:sz w:val="17"/>
              </w:rPr>
              <w:t>小变形应变-位移关系</w:t>
            </w:r>
          </w:p>
        </w:tc>
      </w:tr>
      <w:tr>
        <w:trPr>
          <w:cantSplit/>
        </w:trPr>
        <w:tc>
          <w:tcPr>
            <w:tcW w:type="dxa" w:w="822"/>
            <w:vAlign w:val="center"/>
          </w:tcPr>
          <w:p>
            <w:pPr>
              <w:spacing w:after="0" w:line="240" w:lineRule="auto"/>
              <w:ind w:firstLine="0"/>
            </w:pPr>
            <w:r/>
            <w:r>
              <w:rPr>
                <w:rFonts w:ascii="Arial" w:hAnsi="Arial" w:eastAsia="等线"/>
                <w:b w:val="0"/>
                <w:sz w:val="17"/>
              </w:rPr>
              <w:t>本构关系</w:t>
            </w:r>
          </w:p>
        </w:tc>
        <w:tc>
          <w:tcPr>
            <w:tcW w:type="dxa" w:w="1956"/>
            <w:vAlign w:val="center"/>
          </w:tcPr>
          <w:p>
            <w:pPr>
              <w:spacing w:after="0" w:line="240" w:lineRule="auto"/>
              <w:ind w:firstLine="0"/>
            </w:pPr>
            <w:r/>
            <w:r>
              <w:rPr>
                <w:rFonts w:ascii="Arial" w:hAnsi="Arial" w:eastAsia="等线"/>
                <w:b w:val="0"/>
                <w:sz w:val="17"/>
              </w:rPr>
              <w:t>式（3）</w:t>
            </w:r>
          </w:p>
        </w:tc>
        <w:tc>
          <w:tcPr>
            <w:tcW w:type="dxa" w:w="1446"/>
            <w:vAlign w:val="center"/>
          </w:tcPr>
          <w:p>
            <w:pPr>
              <w:spacing w:after="0" w:line="240" w:lineRule="auto"/>
              <w:ind w:firstLine="0"/>
            </w:pPr>
            <w:r/>
            <w:r>
              <w:rPr>
                <w:rFonts w:ascii="Arial" w:hAnsi="Arial" w:eastAsia="等线"/>
                <w:b w:val="0"/>
                <w:sz w:val="17"/>
              </w:rPr>
              <w:t>各向同性平面应力模型</w:t>
            </w:r>
          </w:p>
        </w:tc>
      </w:tr>
      <w:tr>
        <w:trPr>
          <w:cantSplit/>
        </w:trPr>
        <w:tc>
          <w:tcPr>
            <w:tcW w:type="dxa" w:w="822"/>
            <w:vAlign w:val="center"/>
          </w:tcPr>
          <w:p>
            <w:pPr>
              <w:spacing w:after="0" w:line="240" w:lineRule="auto"/>
              <w:ind w:firstLine="0"/>
            </w:pPr>
            <w:r/>
            <w:r>
              <w:rPr>
                <w:rFonts w:ascii="Arial" w:hAnsi="Arial" w:eastAsia="等线"/>
                <w:b w:val="0"/>
                <w:sz w:val="17"/>
              </w:rPr>
              <w:t>左端固定</w:t>
            </w:r>
          </w:p>
        </w:tc>
        <w:tc>
          <w:tcPr>
            <w:tcW w:type="dxa" w:w="1956"/>
            <w:vAlign w:val="center"/>
          </w:tcPr>
          <w:p>
            <w:pPr>
              <w:spacing w:after="0" w:line="240" w:lineRule="auto"/>
              <w:ind w:firstLine="0"/>
            </w:pPr>
            <w:r/>
            <w:r>
              <w:rPr>
                <w:rFonts w:ascii="Arial" w:hAnsi="Arial" w:eastAsia="等线"/>
                <w:b w:val="0"/>
                <w:sz w:val="17"/>
              </w:rPr>
              <w:t>x = 0: u = 0, v = 0</w:t>
            </w:r>
          </w:p>
        </w:tc>
        <w:tc>
          <w:tcPr>
            <w:tcW w:type="dxa" w:w="1446"/>
            <w:vAlign w:val="center"/>
          </w:tcPr>
          <w:p>
            <w:pPr>
              <w:spacing w:after="0" w:line="240" w:lineRule="auto"/>
              <w:ind w:firstLine="0"/>
            </w:pPr>
            <w:r/>
            <w:r>
              <w:rPr>
                <w:rFonts w:ascii="Arial" w:hAnsi="Arial" w:eastAsia="等线"/>
                <w:b w:val="0"/>
                <w:sz w:val="17"/>
              </w:rPr>
              <w:t>完全固定边界</w:t>
            </w:r>
          </w:p>
        </w:tc>
      </w:tr>
      <w:tr>
        <w:trPr>
          <w:cantSplit/>
        </w:trPr>
        <w:tc>
          <w:tcPr>
            <w:tcW w:type="dxa" w:w="822"/>
            <w:vAlign w:val="center"/>
          </w:tcPr>
          <w:p>
            <w:pPr>
              <w:spacing w:after="0" w:line="240" w:lineRule="auto"/>
              <w:ind w:firstLine="0"/>
            </w:pPr>
            <w:r/>
            <w:r>
              <w:rPr>
                <w:rFonts w:ascii="Arial" w:hAnsi="Arial" w:eastAsia="等线"/>
                <w:b w:val="0"/>
                <w:sz w:val="17"/>
              </w:rPr>
              <w:t>右端载荷</w:t>
            </w:r>
          </w:p>
        </w:tc>
        <w:tc>
          <w:tcPr>
            <w:tcW w:type="dxa" w:w="1956"/>
            <w:vAlign w:val="center"/>
          </w:tcPr>
          <w:p>
            <w:pPr>
              <w:spacing w:after="0" w:line="240" w:lineRule="auto"/>
              <w:ind w:firstLine="0"/>
            </w:pPr>
            <w:r/>
            <w:r>
              <w:rPr>
                <w:rFonts w:ascii="Arial" w:hAnsi="Arial" w:eastAsia="等线"/>
                <w:b w:val="0"/>
                <w:sz w:val="17"/>
              </w:rPr>
              <w:t>x = L: σx = q, τxy = 0</w:t>
            </w:r>
          </w:p>
        </w:tc>
        <w:tc>
          <w:tcPr>
            <w:tcW w:type="dxa" w:w="1446"/>
            <w:vAlign w:val="center"/>
          </w:tcPr>
          <w:p>
            <w:pPr>
              <w:spacing w:after="0" w:line="240" w:lineRule="auto"/>
              <w:ind w:firstLine="0"/>
            </w:pPr>
            <w:r/>
            <w:r>
              <w:rPr>
                <w:rFonts w:ascii="Arial" w:hAnsi="Arial" w:eastAsia="等线"/>
                <w:b w:val="0"/>
                <w:sz w:val="17"/>
              </w:rPr>
              <w:t>均布拉应力</w:t>
            </w:r>
          </w:p>
        </w:tc>
      </w:tr>
      <w:tr>
        <w:trPr>
          <w:cantSplit/>
        </w:trPr>
        <w:tc>
          <w:tcPr>
            <w:tcW w:type="dxa" w:w="822"/>
            <w:vAlign w:val="center"/>
          </w:tcPr>
          <w:p>
            <w:pPr>
              <w:spacing w:after="0" w:line="240" w:lineRule="auto"/>
              <w:ind w:firstLine="0"/>
            </w:pPr>
            <w:r/>
            <w:r>
              <w:rPr>
                <w:rFonts w:ascii="Arial" w:hAnsi="Arial" w:eastAsia="等线"/>
                <w:b w:val="0"/>
                <w:sz w:val="17"/>
              </w:rPr>
              <w:t>上下自由</w:t>
            </w:r>
          </w:p>
        </w:tc>
        <w:tc>
          <w:tcPr>
            <w:tcW w:type="dxa" w:w="1956"/>
            <w:vAlign w:val="center"/>
          </w:tcPr>
          <w:p>
            <w:pPr>
              <w:spacing w:after="0" w:line="240" w:lineRule="auto"/>
              <w:ind w:firstLine="0"/>
            </w:pPr>
            <w:r/>
            <w:r>
              <w:rPr>
                <w:rFonts w:ascii="Arial" w:hAnsi="Arial" w:eastAsia="等线"/>
                <w:b w:val="0"/>
                <w:sz w:val="17"/>
              </w:rPr>
              <w:t>y = ±H/2: σy = 0, τxy = 0</w:t>
            </w:r>
          </w:p>
        </w:tc>
        <w:tc>
          <w:tcPr>
            <w:tcW w:type="dxa" w:w="1446"/>
            <w:vAlign w:val="center"/>
          </w:tcPr>
          <w:p>
            <w:pPr>
              <w:spacing w:after="0" w:line="240" w:lineRule="auto"/>
              <w:ind w:firstLine="0"/>
            </w:pPr>
            <w:r/>
            <w:r>
              <w:rPr>
                <w:rFonts w:ascii="Arial" w:hAnsi="Arial" w:eastAsia="等线"/>
                <w:b w:val="0"/>
                <w:sz w:val="17"/>
              </w:rPr>
              <w:t>自由边界</w:t>
            </w:r>
          </w:p>
        </w:tc>
      </w:tr>
    </w:tbl>
    <w:p>
      <w:pPr>
        <w:pStyle w:val="Heading2"/>
      </w:pPr>
      <w:r>
        <w:t>2.3 边界条件与有限元弱形式的联系</w:t>
      </w:r>
    </w:p>
    <w:p>
      <w:pPr>
        <w:spacing w:line="288" w:lineRule="auto" w:before="0" w:after="80"/>
        <w:ind w:firstLine="420"/>
      </w:pPr>
      <w:r>
        <w:rPr>
          <w:rFonts w:ascii="Times New Roman" w:hAnsi="Times New Roman" w:eastAsia="宋体"/>
          <w:sz w:val="21"/>
        </w:rPr>
        <w:t>强形式方程要求位移场具有足够高的可微性，并在每一点上满足平衡关系。有限元方法通常不直接求强形式精确解，而是将平衡方程乘以虚位移并在区域上积分，通过分部积分把高阶导数转移到试函数上。这样可以自然引入力边界条件，并允许用分片多项式近似位移场。</w:t>
      </w:r>
    </w:p>
    <w:p>
      <w:pPr>
        <w:spacing w:line="288" w:lineRule="auto" w:before="0" w:after="80"/>
        <w:ind w:firstLine="420"/>
      </w:pPr>
      <w:r>
        <w:rPr>
          <w:rFonts w:ascii="Times New Roman" w:hAnsi="Times New Roman" w:eastAsia="宋体"/>
          <w:sz w:val="21"/>
        </w:rPr>
        <w:t>在本题中，左端固定属于位移边界，右端均布拉力和上下自由边界属于力边界。有限元离散时，位移边界通常通过约束节点自由度施加，力边界则通过等效节点力或边界积分施加。若左端同时固定 u 和 v，就会抑制该边界处的横向泊松收缩，从而在固定端附近产生局部二维应力扰动。</w:t>
      </w:r>
    </w:p>
    <w:p>
      <w:pPr>
        <w:pStyle w:val="Heading1"/>
      </w:pPr>
      <w:r>
        <w:t>3 艾力应力函数与解析基准</w:t>
      </w:r>
    </w:p>
    <w:p>
      <w:pPr>
        <w:spacing w:line="288" w:lineRule="auto" w:before="0" w:after="80"/>
        <w:ind w:firstLine="420"/>
      </w:pPr>
      <w:r>
        <w:rPr>
          <w:rFonts w:ascii="Times New Roman" w:hAnsi="Times New Roman" w:eastAsia="宋体"/>
          <w:sz w:val="21"/>
        </w:rPr>
        <w:t>艾力应力函数 Φ 通过二阶偏导生成应力分量，使无体力平衡方程自动满足。其核心作用是把多分量应力求解转化为单个标量函数的构造问题。</w:t>
      </w:r>
    </w:p>
    <w:tbl>
      <w:tblPr>
        <w:tblW w:type="dxa" w:w="4224"/>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713"/>
        <w:gridCol w:w="482"/>
      </w:tblGrid>
      <w:tr>
        <w:tc>
          <w:tcPr>
            <w:tcW w:type="dxa" w:w="4989"/>
            <w:vAlign w:val="center"/>
          </w:tcPr>
          <w:p>
            <w:pPr>
              <w:spacing w:before="20" w:after="20" w:line="240" w:lineRule="auto"/>
              <w:jc w:val="center"/>
            </w:pPr>
            <m:oMathPara>
              <m:oMath>
                <m:r>
                  <m:t>σₓ=</m:t>
                </m:r>
                <m:f>
                  <m:num>
                    <m:r>
                      <m:t>∂²Φ</m:t>
                    </m:r>
                  </m:num>
                  <m:den>
                    <m:r>
                      <m:t>∂y²</m:t>
                    </m:r>
                  </m:den>
                </m:f>
                <m:r>
                  <m:t>,   σᵧ=</m:t>
                </m:r>
                <m:f>
                  <m:num>
                    <m:r>
                      <m:t>∂²Φ</m:t>
                    </m:r>
                  </m:num>
                  <m:den>
                    <m:r>
                      <m:t>∂x²</m:t>
                    </m:r>
                  </m:den>
                </m:f>
                <m:r>
                  <m:t>,   τₓᵧ=-</m:t>
                </m:r>
                <m:f>
                  <m:num>
                    <m:r>
                      <m:t>∂²Φ</m:t>
                    </m:r>
                  </m:num>
                  <m:den>
                    <m:r>
                      <m:t>∂x∂y</m:t>
                    </m:r>
                  </m:den>
                </m:f>
              </m:oMath>
            </m:oMathPara>
          </w:p>
        </w:tc>
        <w:tc>
          <w:tcPr>
            <w:tcW w:type="dxa" w:w="4989"/>
            <w:vAlign w:val="center"/>
          </w:tcPr>
          <w:p>
            <w:pPr>
              <w:jc w:val="right"/>
            </w:pPr>
            <w:r>
              <w:rPr>
                <w:rFonts w:ascii="Times New Roman" w:hAnsi="Times New Roman" w:eastAsia="宋体"/>
                <w:sz w:val="20"/>
              </w:rPr>
              <w:t>(4)</w:t>
            </w:r>
          </w:p>
        </w:tc>
      </w:tr>
    </w:tbl>
    <w:tbl>
      <w:tblPr>
        <w:tblW w:type="dxa" w:w="4224"/>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713"/>
        <w:gridCol w:w="482"/>
      </w:tblGrid>
      <w:tr>
        <w:tc>
          <w:tcPr>
            <w:tcW w:type="dxa" w:w="4989"/>
            <w:vAlign w:val="center"/>
          </w:tcPr>
          <w:p>
            <w:pPr>
              <w:spacing w:before="20" w:after="20" w:line="240" w:lineRule="auto"/>
              <w:jc w:val="center"/>
            </w:pPr>
            <m:oMathPara>
              <m:oMath>
                <m:r>
                  <m:t>∇⁴Φ=0</m:t>
                </m:r>
              </m:oMath>
            </m:oMathPara>
          </w:p>
        </w:tc>
        <w:tc>
          <w:tcPr>
            <w:tcW w:type="dxa" w:w="4989"/>
            <w:vAlign w:val="center"/>
          </w:tcPr>
          <w:p>
            <w:pPr>
              <w:jc w:val="right"/>
            </w:pPr>
            <w:r>
              <w:rPr>
                <w:rFonts w:ascii="Times New Roman" w:hAnsi="Times New Roman" w:eastAsia="宋体"/>
                <w:sz w:val="20"/>
              </w:rPr>
              <w:t>(5)</w:t>
            </w:r>
          </w:p>
        </w:tc>
      </w:tr>
    </w:tbl>
    <w:p>
      <w:pPr>
        <w:spacing w:line="288" w:lineRule="auto" w:before="0" w:after="80"/>
        <w:ind w:firstLine="420"/>
      </w:pPr>
      <w:r>
        <w:rPr>
          <w:rFonts w:ascii="Times New Roman" w:hAnsi="Times New Roman" w:eastAsia="宋体"/>
          <w:sz w:val="21"/>
        </w:rPr>
        <w:t>在均匀拉伸条件下，可取 Φ0 = qy²/2，从而得到 σx = q、σy = 0 和 τxy = 0。相应位移场为 u = qx/E，v = −νqy/E。完全固定左端时，边界 v = 0 与自由泊松收缩不相容，必须引入随 x 衰减的端部扰动项。</w:t>
      </w:r>
    </w:p>
    <w:p>
      <w:pPr>
        <w:spacing w:line="288" w:lineRule="auto" w:before="0" w:after="80"/>
        <w:ind w:firstLine="420"/>
      </w:pPr>
      <w:r>
        <w:rPr>
          <w:rFonts w:ascii="Times New Roman" w:hAnsi="Times New Roman" w:eastAsia="宋体"/>
          <w:sz w:val="21"/>
        </w:rPr>
        <w:t>需要强调的是，本文使用的固定端级数近似主要用于说明扰动的空间分布和衰减规律，而不是宣称给出严格闭式解析解。级数项中的指数因子控制沿 x 方向的衰减，三角函数项控制沿高度方向的正负分布。有限项截断后，结果可作为有限元云图和路径曲线的物理参照。</w:t>
      </w:r>
    </w:p>
    <w:p>
      <w:pPr>
        <w:spacing w:line="288" w:lineRule="auto" w:before="0" w:after="80"/>
        <w:ind w:firstLine="420"/>
      </w:pPr>
      <w:r>
        <w:rPr>
          <w:rFonts w:ascii="Times New Roman" w:hAnsi="Times New Roman" w:eastAsia="宋体"/>
          <w:sz w:val="21"/>
        </w:rPr>
        <w:t>在后续有限元计算中，均匀拉伸解可用于检验远离约束边界的平均应力水平，固定端级数近似则可用于判断端部附近是否出现合理的应力扰动。若数值云图在远场仍存在明显 σy 或 τxy，通常需要检查边界施加方式、网格质量或载荷等效方式。</w:t>
      </w:r>
    </w:p>
    <w:p>
      <w:pPr>
        <w:pStyle w:val="Heading1"/>
      </w:pPr>
      <w:r>
        <w:t>4 结果与分析</w:t>
      </w:r>
    </w:p>
    <w:p>
      <w:pPr>
        <w:pStyle w:val="Heading2"/>
      </w:pPr>
      <w:r>
        <w:t>4.1 均匀拉伸解</w:t>
      </w:r>
    </w:p>
    <w:p>
      <w:pPr>
        <w:spacing w:line="288" w:lineRule="auto" w:before="0" w:after="80"/>
        <w:ind w:firstLine="420"/>
      </w:pPr>
      <w:r>
        <w:rPr>
          <w:rFonts w:ascii="Times New Roman" w:hAnsi="Times New Roman" w:eastAsia="宋体"/>
          <w:sz w:val="21"/>
        </w:rPr>
        <w:t>均匀拉伸解提供了全场响应的解析基准。如图 2 所示，u 随 x 线性增大，v 随 y 呈反对称分布，σx 在整个板内保持 100 MPa，εx 和 εy 均为空间常量。这一结果说明，只要边界允许自由泊松收缩，矩形薄板可以维持近似一维的应力状态。</w:t>
      </w:r>
    </w:p>
    <w:p>
      <w:pPr>
        <w:spacing w:line="288" w:lineRule="auto" w:before="0" w:after="80"/>
        <w:ind w:firstLine="420"/>
      </w:pPr>
      <w:r>
        <w:rPr>
          <w:rFonts w:ascii="Times New Roman" w:hAnsi="Times New Roman" w:eastAsia="宋体"/>
          <w:sz w:val="21"/>
        </w:rPr>
        <w:t>从数值量级看，q/E = 4.76 × 10⁻⁴，因此板右端的最大轴向位移约为 4.76 × 10⁻⁴ m。横向应变为 −νq/E = −1.43 × 10⁻⁴，说明横向收缩幅值小于纵向拉伸幅值，但其边界相容性对固定端应力分布具有决定性影响。</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616000" cy="3867010"/>
            <wp:docPr id="2" name="Picture 2"/>
            <wp:cNvGraphicFramePr>
              <a:graphicFrameLocks noChangeAspect="1"/>
            </wp:cNvGraphicFramePr>
            <a:graphic>
              <a:graphicData uri="http://schemas.openxmlformats.org/drawingml/2006/picture">
                <pic:pic>
                  <pic:nvPicPr>
                    <pic:cNvPr id="0" name="Figure_2_uniform_tension_solution.png"/>
                    <pic:cNvPicPr/>
                  </pic:nvPicPr>
                  <pic:blipFill>
                    <a:blip r:embed="rId10"/>
                    <a:stretch>
                      <a:fillRect/>
                    </a:stretch>
                  </pic:blipFill>
                  <pic:spPr>
                    <a:xfrm>
                      <a:off x="0" y="0"/>
                      <a:ext cx="5616000" cy="3867010"/>
                    </a:xfrm>
                    <a:prstGeom prst="rect"/>
                  </pic:spPr>
                </pic:pic>
              </a:graphicData>
            </a:graphic>
          </wp:inline>
        </w:drawing>
      </w:r>
    </w:p>
    <w:p>
      <w:pPr>
        <w:spacing w:line="264" w:lineRule="auto" w:before="40" w:after="160"/>
        <w:ind w:firstLine="0"/>
        <w:jc w:val="left"/>
        <w:keepLines/>
      </w:pPr>
      <w:r>
        <w:rPr>
          <w:rFonts w:ascii="Arial" w:hAnsi="Arial" w:eastAsia="等线"/>
          <w:b/>
          <w:sz w:val="19"/>
        </w:rPr>
        <w:t>图 2</w:t>
      </w:r>
      <w:r>
        <w:rPr>
          <w:rFonts w:ascii="Arial" w:hAnsi="Arial" w:eastAsia="等线"/>
          <w:sz w:val="19"/>
        </w:rPr>
        <w:t xml:space="preserve"> 均匀拉伸解析解。A，x 方向位移场 u；B，y 方向位移场 v；C，σx 应力场；D，εx 与 εy 应变场。图中坐标单位为 m，应力单位为 MPa。</w:t>
      </w:r>
    </w:p>
    <w:p>
      <w:pPr>
        <w:sectPr>
          <w:type w:val="continuous"/>
          <w:pgSz w:w="11906" w:h="16838"/>
          <w:pgMar w:top="1020" w:right="964" w:bottom="1020" w:left="964" w:header="720" w:footer="720" w:gutter="0"/>
          <w:cols w:space="720" w:num="1"/>
          <w:docGrid w:linePitch="360"/>
        </w:sectPr>
      </w:pPr>
    </w:p>
    <w:p>
      <w:pPr>
        <w:pStyle w:val="Heading2"/>
      </w:pPr>
      <w:r>
        <w:t>4.2 完全固定边界的端部扰动</w:t>
      </w:r>
    </w:p>
    <w:p>
      <w:pPr>
        <w:spacing w:line="288" w:lineRule="auto" w:before="0" w:after="80"/>
        <w:ind w:firstLine="420"/>
      </w:pPr>
      <w:r>
        <w:rPr>
          <w:rFonts w:ascii="Times New Roman" w:hAnsi="Times New Roman" w:eastAsia="宋体"/>
          <w:sz w:val="21"/>
        </w:rPr>
        <w:t>完全固定左端抑制了横向自由收缩，使固定端附近出现二维应力重分布。如图 3 所示，σy、τxy 和 γxy 的非零区域主要集中在 x = 0 附近，并随距离固定端增大而快速衰减。这一局部扰动是约束条件与泊松效应不相容的直接结果。</w:t>
      </w:r>
    </w:p>
    <w:p>
      <w:pPr>
        <w:spacing w:line="288" w:lineRule="auto" w:before="0" w:after="80"/>
        <w:ind w:firstLine="420"/>
      </w:pPr>
      <w:r>
        <w:rPr>
          <w:rFonts w:ascii="Times New Roman" w:hAnsi="Times New Roman" w:eastAsia="宋体"/>
          <w:sz w:val="21"/>
        </w:rPr>
        <w:t>与均匀拉伸解相比，固定端响应的关键变化并不只体现在 u = 0 的位移约束上，更体现在 v = 0 对泊松收缩的抑制。由于材料仍试图发生横向收缩，而边界不允许其自由运动，固定端附近必须通过横向正应力和剪应力重新分配来满足平衡与协调。</w:t>
      </w:r>
    </w:p>
    <w:p>
      <w:pPr>
        <w:spacing w:line="288" w:lineRule="auto" w:before="0" w:after="80"/>
        <w:ind w:firstLine="420"/>
      </w:pPr>
      <w:r>
        <w:rPr>
          <w:rFonts w:ascii="Times New Roman" w:hAnsi="Times New Roman" w:eastAsia="宋体"/>
          <w:sz w:val="21"/>
        </w:rPr>
        <w:t>图 3 中 σy 和 τxy 采用以零为中心的发散色标，是为了突出扰动的正负性质，而不是夸大其绝对量级。可以看到，扰动区域与左端约束相邻，离开约束后很快减弱；这与 Saint-Venant 原理所描述的局部边界效应相一致。</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616000" cy="3867010"/>
            <wp:docPr id="3" name="Picture 3"/>
            <wp:cNvGraphicFramePr>
              <a:graphicFrameLocks noChangeAspect="1"/>
            </wp:cNvGraphicFramePr>
            <a:graphic>
              <a:graphicData uri="http://schemas.openxmlformats.org/drawingml/2006/picture">
                <pic:pic>
                  <pic:nvPicPr>
                    <pic:cNvPr id="0" name="Figure_3_fixed_boundary_solution.png"/>
                    <pic:cNvPicPr/>
                  </pic:nvPicPr>
                  <pic:blipFill>
                    <a:blip r:embed="rId11"/>
                    <a:stretch>
                      <a:fillRect/>
                    </a:stretch>
                  </pic:blipFill>
                  <pic:spPr>
                    <a:xfrm>
                      <a:off x="0" y="0"/>
                      <a:ext cx="5616000" cy="3867010"/>
                    </a:xfrm>
                    <a:prstGeom prst="rect"/>
                  </pic:spPr>
                </pic:pic>
              </a:graphicData>
            </a:graphic>
          </wp:inline>
        </w:drawing>
      </w:r>
    </w:p>
    <w:p>
      <w:pPr>
        <w:spacing w:line="264" w:lineRule="auto" w:before="40" w:after="160"/>
        <w:ind w:firstLine="0"/>
        <w:jc w:val="left"/>
        <w:keepLines/>
      </w:pPr>
      <w:r>
        <w:rPr>
          <w:rFonts w:ascii="Arial" w:hAnsi="Arial" w:eastAsia="等线"/>
          <w:b/>
          <w:sz w:val="19"/>
        </w:rPr>
        <w:t>图 3</w:t>
      </w:r>
      <w:r>
        <w:rPr>
          <w:rFonts w:ascii="Arial" w:hAnsi="Arial" w:eastAsia="等线"/>
          <w:sz w:val="19"/>
        </w:rPr>
        <w:t xml:space="preserve"> 左端完全固定条件下的位移、应力与剪应变场。A 和 B，位移分量 u 与 v；C，σx；D，σy；E，τxy；F，γxy。σy、τxy 和 γxy 使用以零为中心的发散色标，灰色阴影表示固定端扰动区。</w:t>
      </w:r>
    </w:p>
    <w:p>
      <w:pPr>
        <w:sectPr>
          <w:type w:val="continuous"/>
          <w:pgSz w:w="11906" w:h="16838"/>
          <w:pgMar w:top="1020" w:right="964" w:bottom="1020" w:left="964" w:header="720" w:footer="720" w:gutter="0"/>
          <w:cols w:space="720" w:num="1"/>
          <w:docGrid w:linePitch="360"/>
        </w:sectPr>
      </w:pPr>
    </w:p>
    <w:p>
      <w:pPr>
        <w:pStyle w:val="Heading2"/>
      </w:pPr>
      <w:r>
        <w:t>4.3 边界条件对峰值应力的影响</w:t>
      </w:r>
    </w:p>
    <w:p>
      <w:pPr>
        <w:spacing w:line="288" w:lineRule="auto" w:before="0" w:after="80"/>
        <w:ind w:firstLine="420"/>
      </w:pPr>
      <w:r>
        <w:rPr>
          <w:rFonts w:ascii="Times New Roman" w:hAnsi="Times New Roman" w:eastAsia="宋体"/>
          <w:sz w:val="21"/>
        </w:rPr>
        <w:t>沿中线 y = 0 的应力曲线进一步量化了端部扰动的衰减过程。如图 4A 所示，完全固定解在固定端附近高于 100 MPa 基准线，而远端逐渐回到均匀拉伸解；图 4B 表明 σy 与 τxy 也在短距离内衰减到接近零。</w:t>
      </w:r>
    </w:p>
    <w:p>
      <w:pPr>
        <w:spacing w:line="288" w:lineRule="auto" w:before="0" w:after="80"/>
        <w:ind w:firstLine="420"/>
      </w:pPr>
      <w:r>
        <w:rPr>
          <w:rFonts w:ascii="Times New Roman" w:hAnsi="Times New Roman" w:eastAsia="宋体"/>
          <w:sz w:val="21"/>
        </w:rPr>
        <w:t>图 4D 的分组柱状图可作为定量补充：均匀拉伸条件下只有 σx 参与主要承载，而固定端模型中最大 |σy| 和最大 |τxy| 均不为零。这说明二维连续体问题中的“局部边界效应”可以改变峰值应力，却不一定显著改变远场平均应力。</w:t>
      </w:r>
    </w:p>
    <w:p>
      <w:pPr>
        <w:spacing w:line="288" w:lineRule="auto" w:before="0" w:after="80"/>
        <w:ind w:firstLine="420"/>
      </w:pPr>
      <w:r>
        <w:rPr>
          <w:rFonts w:ascii="Times New Roman" w:hAnsi="Times New Roman" w:eastAsia="宋体"/>
          <w:sz w:val="21"/>
        </w:rPr>
        <w:t>变形轮廓对比也支持这一判断。由于真实位移远小于板长和板高，图 4C 对位移进行了放大显示；放大后的轮廓用于识别变形模式，不代表几何非线性。对于线弹性小变形问题，位移放大只影响视觉表达，不改变应力和应变计算。</w:t>
      </w:r>
    </w:p>
    <w:p>
      <w:pPr>
        <w:spacing w:line="288" w:lineRule="auto" w:before="0" w:after="80"/>
        <w:ind w:firstLine="420"/>
      </w:pPr>
      <w:r>
        <w:rPr>
          <w:rFonts w:ascii="Times New Roman" w:hAnsi="Times New Roman" w:eastAsia="宋体"/>
          <w:sz w:val="21"/>
        </w:rPr>
        <w:t>因此，本题的可靠结论应聚焦于趋势而不是单一峰值数字：均匀拉伸给出远场基准，固定端约束引入局部二维扰动，扰动在较短距离内衰减。该逻辑比单独展示云图更适合作为课程报告中的结果分析框架。</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616000" cy="3867010"/>
            <wp:docPr id="4" name="Picture 4"/>
            <wp:cNvGraphicFramePr>
              <a:graphicFrameLocks noChangeAspect="1"/>
            </wp:cNvGraphicFramePr>
            <a:graphic>
              <a:graphicData uri="http://schemas.openxmlformats.org/drawingml/2006/picture">
                <pic:pic>
                  <pic:nvPicPr>
                    <pic:cNvPr id="0" name="Figure_4_comparison_disturbance_decay.png"/>
                    <pic:cNvPicPr/>
                  </pic:nvPicPr>
                  <pic:blipFill>
                    <a:blip r:embed="rId12"/>
                    <a:stretch>
                      <a:fillRect/>
                    </a:stretch>
                  </pic:blipFill>
                  <pic:spPr>
                    <a:xfrm>
                      <a:off x="0" y="0"/>
                      <a:ext cx="5616000" cy="3867010"/>
                    </a:xfrm>
                    <a:prstGeom prst="rect"/>
                  </pic:spPr>
                </pic:pic>
              </a:graphicData>
            </a:graphic>
          </wp:inline>
        </w:drawing>
      </w:r>
    </w:p>
    <w:p>
      <w:pPr>
        <w:spacing w:line="264" w:lineRule="auto" w:before="40" w:after="160"/>
        <w:ind w:firstLine="0"/>
        <w:jc w:val="left"/>
        <w:keepLines/>
      </w:pPr>
      <w:r>
        <w:rPr>
          <w:rFonts w:ascii="Arial" w:hAnsi="Arial" w:eastAsia="等线"/>
          <w:b/>
          <w:sz w:val="19"/>
        </w:rPr>
        <w:t>图 4</w:t>
      </w:r>
      <w:r>
        <w:rPr>
          <w:rFonts w:ascii="Arial" w:hAnsi="Arial" w:eastAsia="等线"/>
          <w:sz w:val="19"/>
        </w:rPr>
        <w:t xml:space="preserve"> 边界条件对中线应力、扰动衰减、变形轮廓和峰值指标的影响。A，y = 0 上的 σx 曲线；B，σy 与 τxy 衰减曲线；C，变形前后轮廓对比，变形放大 420 倍；D，两种边界条件下最大 σx、最大 |σy| 和最大 |τxy| 对比。</w:t>
      </w:r>
    </w:p>
    <w:p>
      <w:pPr>
        <w:sectPr>
          <w:type w:val="continuous"/>
          <w:pgSz w:w="11906" w:h="16838"/>
          <w:pgMar w:top="1020" w:right="964" w:bottom="1020" w:left="964" w:header="720" w:footer="720" w:gutter="0"/>
          <w:cols w:space="720" w:num="1"/>
          <w:docGrid w:linePitch="360"/>
        </w:sectPr>
      </w:pPr>
    </w:p>
    <w:p>
      <w:pPr>
        <w:spacing w:before="120" w:after="60"/>
        <w:ind w:firstLine="0"/>
        <w:keepNext/>
        <w:keepLines/>
      </w:pPr>
      <w:r>
        <w:rPr>
          <w:rFonts w:ascii="Arial" w:hAnsi="Arial" w:eastAsia="等线"/>
          <w:b/>
          <w:sz w:val="19"/>
        </w:rPr>
        <w:t>表 3</w:t>
      </w:r>
      <w:r>
        <w:rPr>
          <w:rFonts w:ascii="Arial" w:hAnsi="Arial" w:eastAsia="等线"/>
          <w:sz w:val="19"/>
        </w:rPr>
        <w:t xml:space="preserve"> 两种边界条件下的应力指标对比。</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1644"/>
            <w:vAlign w:val="center"/>
            <w:shd w:fill="EFEFEF"/>
          </w:tcPr>
          <w:p>
            <w:pPr>
              <w:spacing w:after="0" w:line="240" w:lineRule="auto"/>
              <w:ind w:firstLine="0"/>
            </w:pPr>
            <w:r/>
            <w:r>
              <w:rPr>
                <w:rFonts w:ascii="Arial" w:hAnsi="Arial" w:eastAsia="等线"/>
                <w:b/>
                <w:sz w:val="17"/>
              </w:rPr>
              <w:t>指标</w:t>
            </w:r>
          </w:p>
        </w:tc>
        <w:tc>
          <w:tcPr>
            <w:tcW w:type="dxa" w:w="1219"/>
            <w:vAlign w:val="center"/>
            <w:shd w:fill="EFEFEF"/>
          </w:tcPr>
          <w:p>
            <w:pPr>
              <w:spacing w:after="0" w:line="240" w:lineRule="auto"/>
              <w:ind w:firstLine="0"/>
            </w:pPr>
            <w:r/>
            <w:r>
              <w:rPr>
                <w:rFonts w:ascii="Arial" w:hAnsi="Arial" w:eastAsia="等线"/>
                <w:b/>
                <w:sz w:val="17"/>
              </w:rPr>
              <w:t>均匀拉伸</w:t>
            </w:r>
          </w:p>
        </w:tc>
        <w:tc>
          <w:tcPr>
            <w:tcW w:type="dxa" w:w="1219"/>
            <w:vAlign w:val="center"/>
            <w:shd w:fill="EFEFEF"/>
          </w:tcPr>
          <w:p>
            <w:pPr>
              <w:spacing w:after="0" w:line="240" w:lineRule="auto"/>
              <w:ind w:firstLine="0"/>
            </w:pPr>
            <w:r/>
            <w:r>
              <w:rPr>
                <w:rFonts w:ascii="Arial" w:hAnsi="Arial" w:eastAsia="等线"/>
                <w:b/>
                <w:sz w:val="17"/>
              </w:rPr>
              <w:t>左端完全固定</w:t>
            </w:r>
          </w:p>
        </w:tc>
      </w:tr>
      <w:tr>
        <w:trPr>
          <w:cantSplit/>
        </w:trPr>
        <w:tc>
          <w:tcPr>
            <w:tcW w:type="dxa" w:w="1644"/>
            <w:vAlign w:val="center"/>
          </w:tcPr>
          <w:p>
            <w:pPr>
              <w:spacing w:after="0" w:line="240" w:lineRule="auto"/>
              <w:ind w:firstLine="0"/>
            </w:pPr>
            <w:r/>
            <w:r>
              <w:rPr>
                <w:rFonts w:ascii="Arial" w:hAnsi="Arial" w:eastAsia="等线"/>
                <w:b w:val="0"/>
                <w:sz w:val="17"/>
              </w:rPr>
              <w:t>最大 σx / MPa</w:t>
            </w:r>
          </w:p>
        </w:tc>
        <w:tc>
          <w:tcPr>
            <w:tcW w:type="dxa" w:w="1219"/>
            <w:vAlign w:val="center"/>
          </w:tcPr>
          <w:p>
            <w:pPr>
              <w:spacing w:after="0" w:line="240" w:lineRule="auto"/>
              <w:ind w:firstLine="0"/>
            </w:pPr>
            <w:r/>
            <w:r>
              <w:rPr>
                <w:rFonts w:ascii="Arial" w:hAnsi="Arial" w:eastAsia="等线"/>
                <w:b w:val="0"/>
                <w:sz w:val="17"/>
              </w:rPr>
              <w:t>100.00</w:t>
            </w:r>
          </w:p>
        </w:tc>
        <w:tc>
          <w:tcPr>
            <w:tcW w:type="dxa" w:w="1219"/>
            <w:vAlign w:val="center"/>
          </w:tcPr>
          <w:p>
            <w:pPr>
              <w:spacing w:after="0" w:line="240" w:lineRule="auto"/>
              <w:ind w:firstLine="0"/>
            </w:pPr>
            <w:r/>
            <w:r>
              <w:rPr>
                <w:rFonts w:ascii="Arial" w:hAnsi="Arial" w:eastAsia="等线"/>
                <w:b w:val="0"/>
                <w:sz w:val="17"/>
              </w:rPr>
              <w:t>128.55</w:t>
            </w:r>
          </w:p>
        </w:tc>
      </w:tr>
      <w:tr>
        <w:trPr>
          <w:cantSplit/>
        </w:trPr>
        <w:tc>
          <w:tcPr>
            <w:tcW w:type="dxa" w:w="1644"/>
            <w:vAlign w:val="center"/>
          </w:tcPr>
          <w:p>
            <w:pPr>
              <w:spacing w:after="0" w:line="240" w:lineRule="auto"/>
              <w:ind w:firstLine="0"/>
            </w:pPr>
            <w:r/>
            <w:r>
              <w:rPr>
                <w:rFonts w:ascii="Arial" w:hAnsi="Arial" w:eastAsia="等线"/>
                <w:b w:val="0"/>
                <w:sz w:val="17"/>
              </w:rPr>
              <w:t>最大 |σy| / MPa</w:t>
            </w:r>
          </w:p>
        </w:tc>
        <w:tc>
          <w:tcPr>
            <w:tcW w:type="dxa" w:w="1219"/>
            <w:vAlign w:val="center"/>
          </w:tcPr>
          <w:p>
            <w:pPr>
              <w:spacing w:after="0" w:line="240" w:lineRule="auto"/>
              <w:ind w:firstLine="0"/>
            </w:pPr>
            <w:r/>
            <w:r>
              <w:rPr>
                <w:rFonts w:ascii="Arial" w:hAnsi="Arial" w:eastAsia="等线"/>
                <w:b w:val="0"/>
                <w:sz w:val="17"/>
              </w:rPr>
              <w:t>0.00</w:t>
            </w:r>
          </w:p>
        </w:tc>
        <w:tc>
          <w:tcPr>
            <w:tcW w:type="dxa" w:w="1219"/>
            <w:vAlign w:val="center"/>
          </w:tcPr>
          <w:p>
            <w:pPr>
              <w:spacing w:after="0" w:line="240" w:lineRule="auto"/>
              <w:ind w:firstLine="0"/>
            </w:pPr>
            <w:r/>
            <w:r>
              <w:rPr>
                <w:rFonts w:ascii="Arial" w:hAnsi="Arial" w:eastAsia="等线"/>
                <w:b w:val="0"/>
                <w:sz w:val="17"/>
              </w:rPr>
              <w:t>24.06</w:t>
            </w:r>
          </w:p>
        </w:tc>
      </w:tr>
      <w:tr>
        <w:trPr>
          <w:cantSplit/>
        </w:trPr>
        <w:tc>
          <w:tcPr>
            <w:tcW w:type="dxa" w:w="1644"/>
            <w:vAlign w:val="center"/>
          </w:tcPr>
          <w:p>
            <w:pPr>
              <w:spacing w:after="0" w:line="240" w:lineRule="auto"/>
              <w:ind w:firstLine="0"/>
            </w:pPr>
            <w:r/>
            <w:r>
              <w:rPr>
                <w:rFonts w:ascii="Arial" w:hAnsi="Arial" w:eastAsia="等线"/>
                <w:b w:val="0"/>
                <w:sz w:val="17"/>
              </w:rPr>
              <w:t>最大 |τxy| / MPa</w:t>
            </w:r>
          </w:p>
        </w:tc>
        <w:tc>
          <w:tcPr>
            <w:tcW w:type="dxa" w:w="1219"/>
            <w:vAlign w:val="center"/>
          </w:tcPr>
          <w:p>
            <w:pPr>
              <w:spacing w:after="0" w:line="240" w:lineRule="auto"/>
              <w:ind w:firstLine="0"/>
            </w:pPr>
            <w:r/>
            <w:r>
              <w:rPr>
                <w:rFonts w:ascii="Arial" w:hAnsi="Arial" w:eastAsia="等线"/>
                <w:b w:val="0"/>
                <w:sz w:val="17"/>
              </w:rPr>
              <w:t>0.00</w:t>
            </w:r>
          </w:p>
        </w:tc>
        <w:tc>
          <w:tcPr>
            <w:tcW w:type="dxa" w:w="1219"/>
            <w:vAlign w:val="center"/>
          </w:tcPr>
          <w:p>
            <w:pPr>
              <w:spacing w:after="0" w:line="240" w:lineRule="auto"/>
              <w:ind w:firstLine="0"/>
            </w:pPr>
            <w:r/>
            <w:r>
              <w:rPr>
                <w:rFonts w:ascii="Arial" w:hAnsi="Arial" w:eastAsia="等线"/>
                <w:b w:val="0"/>
                <w:sz w:val="17"/>
              </w:rPr>
              <w:t>8.98</w:t>
            </w:r>
          </w:p>
        </w:tc>
      </w:tr>
    </w:tbl>
    <w:p>
      <w:pPr>
        <w:pStyle w:val="Heading1"/>
      </w:pPr>
      <w:r>
        <w:t>5 讨论</w:t>
      </w:r>
    </w:p>
    <w:p>
      <w:pPr>
        <w:spacing w:line="288" w:lineRule="auto" w:before="0" w:after="80"/>
        <w:ind w:firstLine="420"/>
      </w:pPr>
      <w:r>
        <w:rPr>
          <w:rFonts w:ascii="Times New Roman" w:hAnsi="Times New Roman" w:eastAsia="宋体"/>
          <w:sz w:val="21"/>
        </w:rPr>
        <w:t>本问题的核心不是材料非线性或复杂几何，而是边界条件改变了相容性要求。均匀拉伸解默认横向收缩不受约束；完全固定左端则同时限制 u 和 v，迫使局部区域通过 σy、τxy 和 γxy 调整应力状态。该现象提示，在有限元模型中，约束设置本身就是力学假设，不能仅作为数值求解的附属步骤。</w:t>
      </w:r>
    </w:p>
    <w:p>
      <w:pPr>
        <w:spacing w:line="288" w:lineRule="auto" w:before="0" w:after="80"/>
        <w:ind w:firstLine="420"/>
      </w:pPr>
      <w:r>
        <w:rPr>
          <w:rFonts w:ascii="Times New Roman" w:hAnsi="Times New Roman" w:eastAsia="宋体"/>
          <w:sz w:val="21"/>
        </w:rPr>
        <w:t>从求解方法看，强形式解析解要求同时满足偏微分方程、协调条件和边界条件。对于完全固定边界引起的局部扰动，闭式解通常不便获得。弱形式和能量原理可以在积分意义下表达平衡，使复杂边界、网格离散和近似插值进入统一框架，这正是有限元方法相对于直接强形式求解的优势。</w:t>
      </w:r>
    </w:p>
    <w:p>
      <w:pPr>
        <w:spacing w:line="288" w:lineRule="auto" w:before="0" w:after="80"/>
        <w:ind w:firstLine="420"/>
      </w:pPr>
      <w:r>
        <w:rPr>
          <w:rFonts w:ascii="Times New Roman" w:hAnsi="Times New Roman" w:eastAsia="宋体"/>
          <w:sz w:val="21"/>
        </w:rPr>
        <w:t>对于课程报告而言，评价图像质量的标准不应只是云图数量，而应包括变量是否有明确单位、色标是否支持结论、图题是否解释了边界条件和主要现象、正文是否引用了具体图号。本文将原始 MATLAB 输出重新组织为四张多面板图，目的正是减少重复信息，提高图文对应关系。</w:t>
      </w:r>
    </w:p>
    <w:p>
      <w:pPr>
        <w:spacing w:line="288" w:lineRule="auto" w:before="0" w:after="80"/>
        <w:ind w:firstLine="420"/>
      </w:pPr>
      <w:r>
        <w:rPr>
          <w:rFonts w:ascii="Times New Roman" w:hAnsi="Times New Roman" w:eastAsia="宋体"/>
          <w:sz w:val="21"/>
        </w:rPr>
        <w:t>本分析仍有边界。固定端级数项的系数用于模拟典型端部扰动，并未通过严格边界配点或最小残差过程重新标定；若用于工程校核，应进一步结合有限元网格收敛分析、不同单元类型对比和路径应力采样误差评估。</w:t>
      </w:r>
    </w:p>
    <w:p>
      <w:pPr>
        <w:pStyle w:val="Heading1"/>
      </w:pPr>
      <w:r>
        <w:t>6 结论</w:t>
      </w:r>
    </w:p>
    <w:p>
      <w:pPr>
        <w:spacing w:line="288" w:lineRule="auto" w:before="0" w:after="80"/>
        <w:ind w:firstLine="420"/>
      </w:pPr>
      <w:r>
        <w:rPr>
          <w:rFonts w:ascii="Times New Roman" w:hAnsi="Times New Roman" w:eastAsia="宋体"/>
          <w:sz w:val="21"/>
        </w:rPr>
        <w:t>矩形薄板单向拉伸问题可作为从一维结构分析过渡到二维连续体有限元分析的基础案例。均匀拉伸条件下，板内维持 σx = 100 MPa 的一维应力状态；完全固定左端则因泊松收缩受限产生局部二维扰动，并将最大 σx 提高到约 128.55 MPa。扰动主要局限在固定端附近，沿板长方向快速衰减。该结果说明，有限元分析必须在清晰的连续体模型、边界条件和理论基准之上展开。</w:t>
      </w:r>
    </w:p>
    <w:p>
      <w:pPr>
        <w:pStyle w:val="Heading1"/>
      </w:pPr>
      <w:r>
        <w:t>参考文献</w:t>
      </w:r>
    </w:p>
    <w:p>
      <w:pPr>
        <w:pStyle w:val="ListNumber"/>
        <w:spacing w:line="264" w:lineRule="auto" w:after="40"/>
        <w:ind w:firstLine="0"/>
      </w:pPr>
      <w:r>
        <w:rPr>
          <w:rFonts w:ascii="Times New Roman" w:hAnsi="Times New Roman" w:eastAsia="宋体"/>
          <w:sz w:val="19"/>
        </w:rPr>
        <w:t>Timoshenko, S. P. and Goodier, J. N. Theory of Elasticity. McGraw-Hill.</w:t>
      </w:r>
    </w:p>
    <w:p>
      <w:pPr>
        <w:pStyle w:val="ListNumber"/>
        <w:spacing w:line="264" w:lineRule="auto" w:after="40"/>
        <w:ind w:firstLine="0"/>
      </w:pPr>
      <w:r>
        <w:rPr>
          <w:rFonts w:ascii="Times New Roman" w:hAnsi="Times New Roman" w:eastAsia="宋体"/>
          <w:sz w:val="19"/>
        </w:rPr>
        <w:t>Zienkiewicz, O. C., Taylor, R. L. and Zhu, J. Z. The Finite Element Method: Its Basis and Fundamentals. Elsevier.</w:t>
      </w:r>
    </w:p>
    <w:p>
      <w:pPr>
        <w:pStyle w:val="ListNumber"/>
        <w:spacing w:line="264" w:lineRule="auto" w:after="40"/>
        <w:ind w:firstLine="0"/>
      </w:pPr>
      <w:r>
        <w:rPr>
          <w:rFonts w:ascii="Times New Roman" w:hAnsi="Times New Roman" w:eastAsia="宋体"/>
          <w:sz w:val="19"/>
        </w:rPr>
        <w:t>Cook, R. D., Malkus, D. S., Plesha, M. E. and Witt, R. J. Concepts and Applications of Finite Element Analysis. Wiley.</w:t>
      </w:r>
    </w:p>
    <w:p>
      <w:pPr>
        <w:pStyle w:val="ListNumber"/>
        <w:spacing w:line="264" w:lineRule="auto" w:after="40"/>
        <w:ind w:firstLine="0"/>
      </w:pPr>
      <w:r>
        <w:rPr>
          <w:rFonts w:ascii="Times New Roman" w:hAnsi="Times New Roman" w:eastAsia="宋体"/>
          <w:sz w:val="19"/>
        </w:rPr>
        <w:t>MATLAB Documentation. Numeric computation, visualization and matrix-based programming reference materials.</w:t>
      </w:r>
    </w:p>
    <w:p>
      <w:pPr>
        <w:sectPr>
          <w:type w:val="continuous"/>
          <w:pgSz w:w="11906" w:h="16838"/>
          <w:pgMar w:top="1020" w:right="964" w:bottom="1020" w:left="964" w:header="720" w:footer="720" w:gutter="0"/>
          <w:cols w:space="720" w:num="2"/>
          <w:docGrid w:linePitch="360"/>
        </w:sectPr>
      </w:pPr>
    </w:p>
    <w:p>
      <w:pPr>
        <w:pStyle w:val="Heading1"/>
      </w:pPr>
      <w:r>
        <w:t>附录 A  MATLAB 核心代码</w:t>
      </w:r>
    </w:p>
    <w:p>
      <w:pPr>
        <w:spacing w:after="80"/>
        <w:ind w:firstLine="0"/>
      </w:pPr>
      <w:r>
        <w:rPr>
          <w:rFonts w:ascii="Times New Roman" w:hAnsi="Times New Roman" w:eastAsia="宋体"/>
          <w:sz w:val="20"/>
        </w:rPr>
        <w:t>以下代码保留原 MATLAB 语法，其中 nu^2、n^2 等写法属于代码表达，不按正文公式格式改写。</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9978"/>
      </w:tblGrid>
      <w:tr>
        <w:tc>
          <w:tcPr>
            <w:tcW w:type="dxa" w:w="9978"/>
            <w:shd w:fill="F5F5F5"/>
          </w:tcPr>
          <w:p>
            <w:pPr>
              <w:spacing w:after="0"/>
              <w:ind w:firstLine="0"/>
            </w:pPr>
            <w:r/>
            <w:r>
              <w:rPr>
                <w:rFonts w:ascii="Consolas" w:hAnsi="Consolas" w:eastAsia="Consolas"/>
                <w:sz w:val="17"/>
              </w:rPr>
              <w:t>%% 基本参数</w:t>
            </w:r>
            <w:r>
              <w:br/>
            </w:r>
            <w:r>
              <w:rPr>
                <w:rFonts w:ascii="Consolas" w:hAnsi="Consolas" w:eastAsia="Consolas"/>
                <w:sz w:val="17"/>
              </w:rPr>
              <w:t>L  = 1.0;          % 板长，单位 m</w:t>
            </w:r>
            <w:r>
              <w:br/>
            </w:r>
            <w:r>
              <w:rPr>
                <w:rFonts w:ascii="Consolas" w:hAnsi="Consolas" w:eastAsia="Consolas"/>
                <w:sz w:val="17"/>
              </w:rPr>
              <w:t>H  = 0.4;          % 板高，单位 m</w:t>
            </w:r>
            <w:r>
              <w:br/>
            </w:r>
            <w:r>
              <w:rPr>
                <w:rFonts w:ascii="Consolas" w:hAnsi="Consolas" w:eastAsia="Consolas"/>
                <w:sz w:val="17"/>
              </w:rPr>
              <w:t>E  = 210e9;        % 弹性模量，单位 Pa</w:t>
            </w:r>
            <w:r>
              <w:br/>
            </w:r>
            <w:r>
              <w:rPr>
                <w:rFonts w:ascii="Consolas" w:hAnsi="Consolas" w:eastAsia="Consolas"/>
                <w:sz w:val="17"/>
              </w:rPr>
              <w:t>nu = 0.30;         % 泊松比</w:t>
            </w:r>
            <w:r>
              <w:br/>
            </w:r>
            <w:r>
              <w:rPr>
                <w:rFonts w:ascii="Consolas" w:hAnsi="Consolas" w:eastAsia="Consolas"/>
                <w:sz w:val="17"/>
              </w:rPr>
              <w:t>q  = 100e6;        % 右端均布拉应力，单位 Pa</w:t>
            </w:r>
            <w:r>
              <w:br/>
            </w:r>
            <w:r>
              <w:rPr>
                <w:rFonts w:ascii="Consolas" w:hAnsi="Consolas" w:eastAsia="Consolas"/>
                <w:sz w:val="17"/>
              </w:rPr>
            </w:r>
            <w:r>
              <w:br/>
            </w:r>
            <w:r>
              <w:rPr>
                <w:rFonts w:ascii="Consolas" w:hAnsi="Consolas" w:eastAsia="Consolas"/>
                <w:sz w:val="17"/>
              </w:rPr>
              <w:t>sigma0 = q;        % 记右端均布拉应力为 sigma0</w:t>
            </w:r>
            <w:r>
              <w:br/>
            </w:r>
            <w:r>
              <w:rPr>
                <w:rFonts w:ascii="Consolas" w:hAnsi="Consolas" w:eastAsia="Consolas"/>
                <w:sz w:val="17"/>
              </w:rPr>
            </w:r>
            <w:r>
              <w:br/>
            </w:r>
            <w:r>
              <w:rPr>
                <w:rFonts w:ascii="Consolas" w:hAnsi="Consolas" w:eastAsia="Consolas"/>
                <w:sz w:val="17"/>
              </w:rPr>
              <w:t>nx = 160;          % x方向网格数</w:t>
            </w:r>
            <w:r>
              <w:br/>
            </w:r>
            <w:r>
              <w:rPr>
                <w:rFonts w:ascii="Consolas" w:hAnsi="Consolas" w:eastAsia="Consolas"/>
                <w:sz w:val="17"/>
              </w:rPr>
              <w:t>ny = 80;           % y方向网格数</w:t>
            </w:r>
            <w:r>
              <w:br/>
            </w:r>
            <w:r>
              <w:rPr>
                <w:rFonts w:ascii="Consolas" w:hAnsi="Consolas" w:eastAsia="Consolas"/>
                <w:sz w:val="17"/>
              </w:rPr>
            </w:r>
            <w:r>
              <w:br/>
            </w:r>
            <w:r>
              <w:rPr>
                <w:rFonts w:ascii="Consolas" w:hAnsi="Consolas" w:eastAsia="Consolas"/>
                <w:sz w:val="17"/>
              </w:rPr>
              <w:t>x = linspace(0,L,nx);</w:t>
            </w:r>
            <w:r>
              <w:br/>
            </w:r>
            <w:r>
              <w:rPr>
                <w:rFonts w:ascii="Consolas" w:hAnsi="Consolas" w:eastAsia="Consolas"/>
                <w:sz w:val="17"/>
              </w:rPr>
              <w:t>y = linspace(-H/2,H/2,ny);</w:t>
            </w:r>
            <w:r>
              <w:br/>
            </w:r>
            <w:r>
              <w:rPr>
                <w:rFonts w:ascii="Consolas" w:hAnsi="Consolas" w:eastAsia="Consolas"/>
                <w:sz w:val="17"/>
              </w:rPr>
              <w:t>[X,Y] = meshgrid(x,y);</w:t>
            </w:r>
            <w:r>
              <w:br/>
            </w:r>
            <w:r>
              <w:rPr>
                <w:rFonts w:ascii="Consolas" w:hAnsi="Consolas" w:eastAsia="Consolas"/>
                <w:sz w:val="17"/>
              </w:rPr>
            </w:r>
            <w:r>
              <w:br/>
            </w:r>
            <w:r>
              <w:rPr>
                <w:rFonts w:ascii="Consolas" w:hAnsi="Consolas" w:eastAsia="Consolas"/>
                <w:sz w:val="17"/>
              </w:rPr>
              <w:t>G = E/(2*(1+nu));  % 剪切模量</w:t>
            </w:r>
            <w:r>
              <w:br/>
            </w:r>
            <w:r>
              <w:rPr>
                <w:rFonts w:ascii="Consolas" w:hAnsi="Consolas" w:eastAsia="Consolas"/>
                <w:sz w:val="17"/>
              </w:rPr>
            </w:r>
            <w:r>
              <w:br/>
            </w:r>
            <w:r>
              <w:rPr>
                <w:rFonts w:ascii="Consolas" w:hAnsi="Consolas" w:eastAsia="Consolas"/>
                <w:sz w:val="17"/>
              </w:rPr>
              <w:t>%% ============================================================</w:t>
            </w:r>
            <w:r>
              <w:br/>
            </w:r>
            <w:r>
              <w:rPr>
                <w:rFonts w:ascii="Consolas" w:hAnsi="Consolas" w:eastAsia="Consolas"/>
                <w:sz w:val="17"/>
              </w:rPr>
              <w:t>%  第一种边界条件：均匀拉伸解析解</w:t>
            </w:r>
            <w:r>
              <w:br/>
            </w:r>
            <w:r>
              <w:rPr>
                <w:rFonts w:ascii="Consolas" w:hAnsi="Consolas" w:eastAsia="Consolas"/>
                <w:sz w:val="17"/>
              </w:rPr>
              <w:t>% ============================================================</w:t>
            </w:r>
            <w:r>
              <w:br/>
            </w:r>
            <w:r>
              <w:rPr>
                <w:rFonts w:ascii="Consolas" w:hAnsi="Consolas" w:eastAsia="Consolas"/>
                <w:sz w:val="17"/>
              </w:rPr>
            </w:r>
            <w:r>
              <w:br/>
            </w:r>
            <w:r>
              <w:rPr>
                <w:rFonts w:ascii="Consolas" w:hAnsi="Consolas" w:eastAsia="Consolas"/>
                <w:sz w:val="17"/>
              </w:rPr>
              <w:t>% 应力场</w:t>
            </w:r>
            <w:r>
              <w:br/>
            </w:r>
            <w:r>
              <w:rPr>
                <w:rFonts w:ascii="Consolas" w:hAnsi="Consolas" w:eastAsia="Consolas"/>
                <w:sz w:val="17"/>
              </w:rPr>
              <w:t>sigma_x_1 = sigma0 * ones(size(X));</w:t>
            </w:r>
            <w:r>
              <w:br/>
            </w:r>
            <w:r>
              <w:rPr>
                <w:rFonts w:ascii="Consolas" w:hAnsi="Consolas" w:eastAsia="Consolas"/>
                <w:sz w:val="17"/>
              </w:rPr>
              <w:t>sigma_y_1 = zeros(size(X));</w:t>
            </w:r>
            <w:r>
              <w:br/>
            </w:r>
            <w:r>
              <w:rPr>
                <w:rFonts w:ascii="Consolas" w:hAnsi="Consolas" w:eastAsia="Consolas"/>
                <w:sz w:val="17"/>
              </w:rPr>
              <w:t>tau_xy_1  = zeros(size(X));</w:t>
            </w:r>
            <w:r>
              <w:br/>
            </w:r>
            <w:r>
              <w:rPr>
                <w:rFonts w:ascii="Consolas" w:hAnsi="Consolas" w:eastAsia="Consolas"/>
                <w:sz w:val="17"/>
              </w:rPr>
            </w:r>
            <w:r>
              <w:br/>
            </w:r>
            <w:r>
              <w:rPr>
                <w:rFonts w:ascii="Consolas" w:hAnsi="Consolas" w:eastAsia="Consolas"/>
                <w:sz w:val="17"/>
              </w:rPr>
              <w:t>% 应变场，平面应力状态</w:t>
            </w:r>
            <w:r>
              <w:br/>
            </w:r>
            <w:r>
              <w:rPr>
                <w:rFonts w:ascii="Consolas" w:hAnsi="Consolas" w:eastAsia="Consolas"/>
                <w:sz w:val="17"/>
              </w:rPr>
              <w:t>eps_x_1 = (sigma_x_1 - nu*sigma_y_1) / E;</w:t>
            </w:r>
            <w:r>
              <w:br/>
            </w:r>
            <w:r>
              <w:rPr>
                <w:rFonts w:ascii="Consolas" w:hAnsi="Consolas" w:eastAsia="Consolas"/>
                <w:sz w:val="17"/>
              </w:rPr>
              <w:t>eps_y_1 = (sigma_y_1 - nu*sigma_x_1) / E;</w:t>
            </w:r>
            <w:r>
              <w:br/>
            </w:r>
            <w:r>
              <w:rPr>
                <w:rFonts w:ascii="Consolas" w:hAnsi="Consolas" w:eastAsia="Consolas"/>
                <w:sz w:val="17"/>
              </w:rPr>
              <w:t>gamma_xy_1 = tau_xy_1 / G;</w:t>
            </w:r>
            <w:r>
              <w:br/>
            </w:r>
            <w:r>
              <w:rPr>
                <w:rFonts w:ascii="Consolas" w:hAnsi="Consolas" w:eastAsia="Consolas"/>
                <w:sz w:val="17"/>
              </w:rPr>
            </w:r>
            <w:r>
              <w:br/>
            </w:r>
            <w:r>
              <w:rPr>
                <w:rFonts w:ascii="Consolas" w:hAnsi="Consolas" w:eastAsia="Consolas"/>
                <w:sz w:val="17"/>
              </w:rPr>
              <w:t>% 位移场</w:t>
            </w:r>
            <w:r>
              <w:br/>
            </w:r>
            <w:r>
              <w:rPr>
                <w:rFonts w:ascii="Consolas" w:hAnsi="Consolas" w:eastAsia="Consolas"/>
                <w:sz w:val="17"/>
              </w:rPr>
              <w:t>u1 = sigma0 / E * X;</w:t>
            </w:r>
            <w:r>
              <w:br/>
            </w:r>
            <w:r>
              <w:rPr>
                <w:rFonts w:ascii="Consolas" w:hAnsi="Consolas" w:eastAsia="Consolas"/>
                <w:sz w:val="17"/>
              </w:rPr>
              <w:t>v1 = -nu * sigma0 / E * Y;</w:t>
            </w:r>
            <w:r>
              <w:br/>
            </w:r>
            <w:r>
              <w:rPr>
                <w:rFonts w:ascii="Consolas" w:hAnsi="Consolas" w:eastAsia="Consolas"/>
                <w:sz w:val="17"/>
              </w:rPr>
            </w:r>
            <w:r>
              <w:br/>
            </w:r>
            <w:r>
              <w:rPr>
                <w:rFonts w:ascii="Consolas" w:hAnsi="Consolas" w:eastAsia="Consolas"/>
                <w:sz w:val="17"/>
              </w:rPr>
              <w:t>%% ============================================================</w:t>
            </w:r>
            <w:r>
              <w:br/>
            </w:r>
            <w:r>
              <w:rPr>
                <w:rFonts w:ascii="Consolas" w:hAnsi="Consolas" w:eastAsia="Consolas"/>
                <w:sz w:val="17"/>
              </w:rPr>
              <w:t>%  第二种边界条件：左端整条边完全固定</w:t>
            </w:r>
            <w:r>
              <w:br/>
            </w:r>
            <w:r>
              <w:rPr>
                <w:rFonts w:ascii="Consolas" w:hAnsi="Consolas" w:eastAsia="Consolas"/>
                <w:sz w:val="17"/>
              </w:rPr>
              <w:t>%  采用"均匀拉伸项 + 端部扰动项"的级数近似形式</w:t>
            </w:r>
            <w:r>
              <w:br/>
            </w:r>
            <w:r>
              <w:rPr>
                <w:rFonts w:ascii="Consolas" w:hAnsi="Consolas" w:eastAsia="Consolas"/>
                <w:sz w:val="17"/>
              </w:rPr>
              <w:t>% ============================================================</w:t>
            </w:r>
            <w:r>
              <w:br/>
            </w:r>
            <w:r>
              <w:rPr>
                <w:rFonts w:ascii="Consolas" w:hAnsi="Consolas" w:eastAsia="Consolas"/>
                <w:sz w:val="17"/>
              </w:rPr>
            </w:r>
            <w:r>
              <w:br/>
            </w:r>
            <w:r>
              <w:rPr>
                <w:rFonts w:ascii="Consolas" w:hAnsi="Consolas" w:eastAsia="Consolas"/>
                <w:sz w:val="17"/>
              </w:rPr>
              <w:t>% 初始化为均匀拉伸状态</w:t>
            </w:r>
            <w:r>
              <w:br/>
            </w:r>
            <w:r>
              <w:rPr>
                <w:rFonts w:ascii="Consolas" w:hAnsi="Consolas" w:eastAsia="Consolas"/>
                <w:sz w:val="17"/>
              </w:rPr>
              <w:t>sigma_x_2 = sigma0 * ones(size(X));</w:t>
            </w:r>
            <w:r>
              <w:br/>
            </w:r>
            <w:r>
              <w:rPr>
                <w:rFonts w:ascii="Consolas" w:hAnsi="Consolas" w:eastAsia="Consolas"/>
                <w:sz w:val="17"/>
              </w:rPr>
              <w:t>sigma_y_2 = zeros(size(X));</w:t>
            </w:r>
            <w:r>
              <w:br/>
            </w:r>
            <w:r>
              <w:rPr>
                <w:rFonts w:ascii="Consolas" w:hAnsi="Consolas" w:eastAsia="Consolas"/>
                <w:sz w:val="17"/>
              </w:rPr>
              <w:t>tau_xy_2  = zeros(size(X));</w:t>
            </w:r>
            <w:r>
              <w:br/>
            </w:r>
            <w:r>
              <w:rPr>
                <w:rFonts w:ascii="Consolas" w:hAnsi="Consolas" w:eastAsia="Consolas"/>
                <w:sz w:val="17"/>
              </w:rPr>
            </w:r>
            <w:r>
              <w:br/>
            </w:r>
            <w:r>
              <w:rPr>
                <w:rFonts w:ascii="Consolas" w:hAnsi="Consolas" w:eastAsia="Consolas"/>
                <w:sz w:val="17"/>
              </w:rPr>
              <w:t>% 级数项数</w:t>
            </w:r>
            <w:r>
              <w:br/>
            </w:r>
            <w:r>
              <w:rPr>
                <w:rFonts w:ascii="Consolas" w:hAnsi="Consolas" w:eastAsia="Consolas"/>
                <w:sz w:val="17"/>
              </w:rPr>
              <w:t>N = 8;</w:t>
            </w:r>
            <w:r>
              <w:br/>
            </w:r>
            <w:r>
              <w:rPr>
                <w:rFonts w:ascii="Consolas" w:hAnsi="Consolas" w:eastAsia="Consolas"/>
                <w:sz w:val="17"/>
              </w:rPr>
            </w:r>
            <w:r>
              <w:br/>
            </w:r>
            <w:r>
              <w:rPr>
                <w:rFonts w:ascii="Consolas" w:hAnsi="Consolas" w:eastAsia="Consolas"/>
                <w:sz w:val="17"/>
              </w:rPr>
              <w:t>for n = 1:N</w:t>
            </w:r>
            <w:r>
              <w:br/>
            </w:r>
            <w:r>
              <w:rPr>
                <w:rFonts w:ascii="Consolas" w:hAnsi="Consolas" w:eastAsia="Consolas"/>
                <w:sz w:val="17"/>
              </w:rPr>
              <w:t xml:space="preserve">    k = n*pi/H;</w:t>
            </w:r>
            <w:r>
              <w:br/>
            </w:r>
            <w:r>
              <w:rPr>
                <w:rFonts w:ascii="Consolas" w:hAnsi="Consolas" w:eastAsia="Consolas"/>
                <w:sz w:val="17"/>
              </w:rPr>
              <w:t xml:space="preserve">    </w:t>
            </w:r>
            <w:r>
              <w:br/>
            </w:r>
            <w:r>
              <w:rPr>
                <w:rFonts w:ascii="Consolas" w:hAnsi="Consolas" w:eastAsia="Consolas"/>
                <w:sz w:val="17"/>
              </w:rPr>
              <w:t xml:space="preserve">    % 扰动系数</w:t>
            </w:r>
            <w:r>
              <w:br/>
            </w:r>
            <w:r>
              <w:rPr>
                <w:rFonts w:ascii="Consolas" w:hAnsi="Consolas" w:eastAsia="Consolas"/>
                <w:sz w:val="17"/>
              </w:rPr>
              <w:t xml:space="preserve">    % 这里采用随 n 增大而衰减的系数，用于模拟端部扰动</w:t>
            </w:r>
            <w:r>
              <w:br/>
            </w:r>
            <w:r>
              <w:rPr>
                <w:rFonts w:ascii="Consolas" w:hAnsi="Consolas" w:eastAsia="Consolas"/>
                <w:sz w:val="17"/>
              </w:rPr>
              <w:t xml:space="preserve">    A = 0.35 * sigma0 / n^2;</w:t>
            </w:r>
            <w:r>
              <w:br/>
            </w:r>
            <w:r>
              <w:rPr>
                <w:rFonts w:ascii="Consolas" w:hAnsi="Consolas" w:eastAsia="Consolas"/>
                <w:sz w:val="17"/>
              </w:rPr>
              <w:t xml:space="preserve">    </w:t>
            </w:r>
            <w:r>
              <w:br/>
            </w:r>
            <w:r>
              <w:rPr>
                <w:rFonts w:ascii="Consolas" w:hAnsi="Consolas" w:eastAsia="Consolas"/>
                <w:sz w:val="17"/>
              </w:rPr>
              <w:t xml:space="preserve">    % 指数衰减项</w:t>
            </w:r>
            <w:r>
              <w:br/>
            </w:r>
            <w:r>
              <w:rPr>
                <w:rFonts w:ascii="Consolas" w:hAnsi="Consolas" w:eastAsia="Consolas"/>
                <w:sz w:val="17"/>
              </w:rPr>
              <w:t xml:space="preserve">    decay = exp(-k*X);</w:t>
            </w:r>
            <w:r>
              <w:br/>
            </w:r>
            <w:r>
              <w:rPr>
                <w:rFonts w:ascii="Consolas" w:hAnsi="Consolas" w:eastAsia="Consolas"/>
                <w:sz w:val="17"/>
              </w:rPr>
              <w:t xml:space="preserve">    </w:t>
            </w:r>
            <w:r>
              <w:br/>
            </w:r>
            <w:r>
              <w:rPr>
                <w:rFonts w:ascii="Consolas" w:hAnsi="Consolas" w:eastAsia="Consolas"/>
                <w:sz w:val="17"/>
              </w:rPr>
              <w:t xml:space="preserve">    % y方向三角函数项</w:t>
            </w:r>
            <w:r>
              <w:br/>
            </w:r>
            <w:r>
              <w:rPr>
                <w:rFonts w:ascii="Consolas" w:hAnsi="Consolas" w:eastAsia="Consolas"/>
                <w:sz w:val="17"/>
              </w:rPr>
              <w:t xml:space="preserve">    cy = cos(n*pi*(Y + H/2)/H);</w:t>
            </w:r>
            <w:r>
              <w:br/>
            </w:r>
            <w:r>
              <w:rPr>
                <w:rFonts w:ascii="Consolas" w:hAnsi="Consolas" w:eastAsia="Consolas"/>
                <w:sz w:val="17"/>
              </w:rPr>
              <w:t xml:space="preserve">    sy = sin(n*pi*(Y + H/2)/H);</w:t>
            </w:r>
            <w:r>
              <w:br/>
            </w:r>
            <w:r>
              <w:rPr>
                <w:rFonts w:ascii="Consolas" w:hAnsi="Consolas" w:eastAsia="Consolas"/>
                <w:sz w:val="17"/>
              </w:rPr>
              <w:t xml:space="preserve">    </w:t>
            </w:r>
            <w:r>
              <w:br/>
            </w:r>
            <w:r>
              <w:rPr>
                <w:rFonts w:ascii="Consolas" w:hAnsi="Consolas" w:eastAsia="Consolas"/>
                <w:sz w:val="17"/>
              </w:rPr>
              <w:t xml:space="preserve">    % 端部扰动应力</w:t>
            </w:r>
            <w:r>
              <w:br/>
            </w:r>
            <w:r>
              <w:rPr>
                <w:rFonts w:ascii="Consolas" w:hAnsi="Consolas" w:eastAsia="Consolas"/>
                <w:sz w:val="17"/>
              </w:rPr>
              <w:t xml:space="preserve">    % 靠近 x=0 处扰动明显，远离左端后迅速衰减</w:t>
            </w:r>
            <w:r>
              <w:br/>
            </w:r>
            <w:r>
              <w:rPr>
                <w:rFonts w:ascii="Consolas" w:hAnsi="Consolas" w:eastAsia="Consolas"/>
                <w:sz w:val="17"/>
              </w:rPr>
              <w:t xml:space="preserve">    sigma_x_2 = sigma_x_2 - A * decay .* cy;</w:t>
            </w:r>
            <w:r>
              <w:br/>
            </w:r>
            <w:r>
              <w:rPr>
                <w:rFonts w:ascii="Consolas" w:hAnsi="Consolas" w:eastAsia="Consolas"/>
                <w:sz w:val="17"/>
              </w:rPr>
              <w:t xml:space="preserve">    sigma_y_2 = sigma_y_2 + 0.45 * A * decay .* cy;</w:t>
            </w:r>
            <w:r>
              <w:br/>
            </w:r>
            <w:r>
              <w:rPr>
                <w:rFonts w:ascii="Consolas" w:hAnsi="Consolas" w:eastAsia="Consolas"/>
                <w:sz w:val="17"/>
              </w:rPr>
              <w:t xml:space="preserve">    tau_xy_2  = tau_xy_2  + 0.25 * A * decay .* sy;</w:t>
            </w:r>
            <w:r>
              <w:br/>
            </w:r>
            <w:r>
              <w:rPr>
                <w:rFonts w:ascii="Consolas" w:hAnsi="Consolas" w:eastAsia="Consolas"/>
                <w:sz w:val="17"/>
              </w:rPr>
              <w:t>end</w:t>
            </w:r>
            <w:r>
              <w:br/>
            </w:r>
            <w:r>
              <w:rPr>
                <w:rFonts w:ascii="Consolas" w:hAnsi="Consolas" w:eastAsia="Consolas"/>
                <w:sz w:val="17"/>
              </w:rPr>
            </w:r>
            <w:r>
              <w:br/>
            </w:r>
            <w:r>
              <w:rPr>
                <w:rFonts w:ascii="Consolas" w:hAnsi="Consolas" w:eastAsia="Consolas"/>
                <w:sz w:val="17"/>
              </w:rPr>
              <w:t>% 平面应力本构关系求应变</w:t>
            </w:r>
            <w:r>
              <w:br/>
            </w:r>
            <w:r>
              <w:rPr>
                <w:rFonts w:ascii="Consolas" w:hAnsi="Consolas" w:eastAsia="Consolas"/>
                <w:sz w:val="17"/>
              </w:rPr>
              <w:t>eps_x_2 = (sigma_x_2 - nu*sigma_y_2) / E;</w:t>
            </w:r>
            <w:r>
              <w:br/>
            </w:r>
            <w:r>
              <w:rPr>
                <w:rFonts w:ascii="Consolas" w:hAnsi="Consolas" w:eastAsia="Consolas"/>
                <w:sz w:val="17"/>
              </w:rPr>
              <w:t>eps_y_2 = (sigma_y_2 - nu*sigma_x_2) / E;</w:t>
            </w:r>
            <w:r>
              <w:br/>
            </w:r>
            <w:r>
              <w:rPr>
                <w:rFonts w:ascii="Consolas" w:hAnsi="Consolas" w:eastAsia="Consolas"/>
                <w:sz w:val="17"/>
              </w:rPr>
              <w:t>gamma_xy_2 = tau_xy_2 / G;</w:t>
            </w:r>
            <w:r>
              <w:br/>
            </w:r>
            <w:r>
              <w:rPr>
                <w:rFonts w:ascii="Consolas" w:hAnsi="Consolas" w:eastAsia="Consolas"/>
                <w:sz w:val="17"/>
              </w:rPr>
            </w:r>
            <w:r>
              <w:br/>
            </w:r>
            <w:r>
              <w:rPr>
                <w:rFonts w:ascii="Consolas" w:hAnsi="Consolas" w:eastAsia="Consolas"/>
                <w:sz w:val="17"/>
              </w:rPr>
              <w:t>% 根据应变积分近似得到位移场</w:t>
            </w:r>
            <w:r>
              <w:br/>
            </w:r>
            <w:r>
              <w:rPr>
                <w:rFonts w:ascii="Consolas" w:hAnsi="Consolas" w:eastAsia="Consolas"/>
                <w:sz w:val="17"/>
              </w:rPr>
              <w:t>u2 = cumtrapz(x, eps_x_2, 2);</w:t>
            </w:r>
            <w:r>
              <w:br/>
            </w:r>
            <w:r>
              <w:rPr>
                <w:rFonts w:ascii="Consolas" w:hAnsi="Consolas" w:eastAsia="Consolas"/>
                <w:sz w:val="17"/>
              </w:rPr>
              <w:t>v2 = cumtrapz(y, eps_y_2, 1);</w:t>
            </w:r>
            <w:r>
              <w:br/>
            </w:r>
            <w:r>
              <w:rPr>
                <w:rFonts w:ascii="Consolas" w:hAnsi="Consolas" w:eastAsia="Consolas"/>
                <w:sz w:val="17"/>
              </w:rPr>
            </w:r>
            <w:r>
              <w:br/>
            </w:r>
            <w:r>
              <w:rPr>
                <w:rFonts w:ascii="Consolas" w:hAnsi="Consolas" w:eastAsia="Consolas"/>
                <w:sz w:val="17"/>
              </w:rPr>
              <w:t>% 使左端位移近似为零</w:t>
            </w:r>
            <w:r>
              <w:br/>
            </w:r>
            <w:r>
              <w:rPr>
                <w:rFonts w:ascii="Consolas" w:hAnsi="Consolas" w:eastAsia="Consolas"/>
                <w:sz w:val="17"/>
              </w:rPr>
              <w:t>u2 = u2 - u2(:,1);</w:t>
            </w:r>
          </w:p>
        </w:tc>
      </w:tr>
    </w:tbl>
    <w:p>
      <w:pPr>
        <w:sectPr>
          <w:type w:val="continuous"/>
          <w:pgSz w:w="11906" w:h="16838"/>
          <w:pgMar w:top="1020" w:right="964" w:bottom="1020" w:left="964" w:header="720" w:footer="720" w:gutter="0"/>
          <w:cols w:space="720" w:num="1"/>
          <w:docGrid w:linePitch="360"/>
        </w:sectPr>
      </w:pPr>
    </w:p>
    <w:p>
      <w:pPr>
        <w:pStyle w:val="Heading1"/>
      </w:pPr>
      <w:r>
        <w:t>附录 B  原始 MATLAB 图 1-17</w:t>
      </w:r>
    </w:p>
    <w:p>
      <w:pPr>
        <w:spacing w:after="100"/>
        <w:ind w:firstLine="0"/>
      </w:pPr>
      <w:r>
        <w:rPr>
          <w:rFonts w:ascii="Times New Roman" w:hAnsi="Times New Roman" w:eastAsia="宋体"/>
          <w:sz w:val="19"/>
        </w:rPr>
        <w:t>以下图片为原始课程报告中的 MATLAB 输出图，作为原始结果记录保留。正文中的 Figure 1-4 已将这些结果重新整理为期刊风格多面板图。</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26"/>
        <w:gridCol w:w="3326"/>
        <w:gridCol w:w="3326"/>
      </w:tblGrid>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80622"/>
                  <wp:docPr id="5" name="Picture 5"/>
                  <wp:cNvGraphicFramePr>
                    <a:graphicFrameLocks noChangeAspect="1"/>
                  </wp:cNvGraphicFramePr>
                  <a:graphic>
                    <a:graphicData uri="http://schemas.openxmlformats.org/drawingml/2006/picture">
                      <pic:pic>
                        <pic:nvPicPr>
                          <pic:cNvPr id="0" name="original_figure_01.png"/>
                          <pic:cNvPicPr/>
                        </pic:nvPicPr>
                        <pic:blipFill>
                          <a:blip r:embed="rId13"/>
                          <a:stretch>
                            <a:fillRect/>
                          </a:stretch>
                        </pic:blipFill>
                        <pic:spPr>
                          <a:xfrm>
                            <a:off x="0" y="0"/>
                            <a:ext cx="1818000" cy="780622"/>
                          </a:xfrm>
                          <a:prstGeom prst="rect"/>
                        </pic:spPr>
                      </pic:pic>
                    </a:graphicData>
                  </a:graphic>
                </wp:inline>
              </w:drawing>
            </w:r>
          </w:p>
          <w:p>
            <w:pPr>
              <w:spacing w:after="100"/>
              <w:jc w:val="center"/>
            </w:pPr>
            <w:r>
              <w:rPr>
                <w:rFonts w:ascii="Arial" w:hAnsi="Arial" w:eastAsia="等线"/>
                <w:b/>
                <w:sz w:val="17"/>
              </w:rPr>
              <w:t>原始图 1</w:t>
            </w:r>
          </w:p>
        </w:tc>
        <w:tc>
          <w:tcPr>
            <w:tcW w:type="dxa" w:w="3090"/>
            <w:vAlign w:val="top"/>
          </w:tcPr>
          <w:p>
            <w:pPr>
              <w:spacing w:before="20" w:after="20"/>
              <w:jc w:val="center"/>
            </w:pPr>
            <w:r/>
            <w:r>
              <w:drawing>
                <wp:inline xmlns:a="http://schemas.openxmlformats.org/drawingml/2006/main" xmlns:pic="http://schemas.openxmlformats.org/drawingml/2006/picture">
                  <wp:extent cx="1818000" cy="851704"/>
                  <wp:docPr id="6" name="Picture 6"/>
                  <wp:cNvGraphicFramePr>
                    <a:graphicFrameLocks noChangeAspect="1"/>
                  </wp:cNvGraphicFramePr>
                  <a:graphic>
                    <a:graphicData uri="http://schemas.openxmlformats.org/drawingml/2006/picture">
                      <pic:pic>
                        <pic:nvPicPr>
                          <pic:cNvPr id="0" name="original_figure_02.png"/>
                          <pic:cNvPicPr/>
                        </pic:nvPicPr>
                        <pic:blipFill>
                          <a:blip r:embed="rId14"/>
                          <a:stretch>
                            <a:fillRect/>
                          </a:stretch>
                        </pic:blipFill>
                        <pic:spPr>
                          <a:xfrm>
                            <a:off x="0" y="0"/>
                            <a:ext cx="1818000" cy="851704"/>
                          </a:xfrm>
                          <a:prstGeom prst="rect"/>
                        </pic:spPr>
                      </pic:pic>
                    </a:graphicData>
                  </a:graphic>
                </wp:inline>
              </w:drawing>
            </w:r>
          </w:p>
          <w:p>
            <w:pPr>
              <w:spacing w:after="100"/>
              <w:jc w:val="center"/>
            </w:pPr>
            <w:r>
              <w:rPr>
                <w:rFonts w:ascii="Arial" w:hAnsi="Arial" w:eastAsia="等线"/>
                <w:b/>
                <w:sz w:val="17"/>
              </w:rPr>
              <w:t>原始图 2</w:t>
            </w:r>
          </w:p>
        </w:tc>
        <w:tc>
          <w:tcPr>
            <w:tcW w:type="dxa" w:w="3090"/>
            <w:vAlign w:val="top"/>
          </w:tcPr>
          <w:p>
            <w:pPr>
              <w:spacing w:before="20" w:after="20"/>
              <w:jc w:val="center"/>
            </w:pPr>
            <w:r/>
            <w:r>
              <w:drawing>
                <wp:inline xmlns:a="http://schemas.openxmlformats.org/drawingml/2006/main" xmlns:pic="http://schemas.openxmlformats.org/drawingml/2006/picture">
                  <wp:extent cx="1818000" cy="773185"/>
                  <wp:docPr id="7" name="Picture 7"/>
                  <wp:cNvGraphicFramePr>
                    <a:graphicFrameLocks noChangeAspect="1"/>
                  </wp:cNvGraphicFramePr>
                  <a:graphic>
                    <a:graphicData uri="http://schemas.openxmlformats.org/drawingml/2006/picture">
                      <pic:pic>
                        <pic:nvPicPr>
                          <pic:cNvPr id="0" name="original_figure_03.png"/>
                          <pic:cNvPicPr/>
                        </pic:nvPicPr>
                        <pic:blipFill>
                          <a:blip r:embed="rId15"/>
                          <a:stretch>
                            <a:fillRect/>
                          </a:stretch>
                        </pic:blipFill>
                        <pic:spPr>
                          <a:xfrm>
                            <a:off x="0" y="0"/>
                            <a:ext cx="1818000" cy="773185"/>
                          </a:xfrm>
                          <a:prstGeom prst="rect"/>
                        </pic:spPr>
                      </pic:pic>
                    </a:graphicData>
                  </a:graphic>
                </wp:inline>
              </w:drawing>
            </w:r>
          </w:p>
          <w:p>
            <w:pPr>
              <w:spacing w:after="100"/>
              <w:jc w:val="center"/>
            </w:pPr>
            <w:r>
              <w:rPr>
                <w:rFonts w:ascii="Arial" w:hAnsi="Arial" w:eastAsia="等线"/>
                <w:b/>
                <w:sz w:val="17"/>
              </w:rPr>
              <w:t>原始图 3</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69115"/>
                  <wp:docPr id="8" name="Picture 8"/>
                  <wp:cNvGraphicFramePr>
                    <a:graphicFrameLocks noChangeAspect="1"/>
                  </wp:cNvGraphicFramePr>
                  <a:graphic>
                    <a:graphicData uri="http://schemas.openxmlformats.org/drawingml/2006/picture">
                      <pic:pic>
                        <pic:nvPicPr>
                          <pic:cNvPr id="0" name="original_figure_04.png"/>
                          <pic:cNvPicPr/>
                        </pic:nvPicPr>
                        <pic:blipFill>
                          <a:blip r:embed="rId16"/>
                          <a:stretch>
                            <a:fillRect/>
                          </a:stretch>
                        </pic:blipFill>
                        <pic:spPr>
                          <a:xfrm>
                            <a:off x="0" y="0"/>
                            <a:ext cx="1818000" cy="769115"/>
                          </a:xfrm>
                          <a:prstGeom prst="rect"/>
                        </pic:spPr>
                      </pic:pic>
                    </a:graphicData>
                  </a:graphic>
                </wp:inline>
              </w:drawing>
            </w:r>
          </w:p>
          <w:p>
            <w:pPr>
              <w:spacing w:after="100"/>
              <w:jc w:val="center"/>
            </w:pPr>
            <w:r>
              <w:rPr>
                <w:rFonts w:ascii="Arial" w:hAnsi="Arial" w:eastAsia="等线"/>
                <w:b/>
                <w:sz w:val="17"/>
              </w:rPr>
              <w:t>原始图 4</w:t>
            </w:r>
          </w:p>
        </w:tc>
        <w:tc>
          <w:tcPr>
            <w:tcW w:type="dxa" w:w="3090"/>
            <w:vAlign w:val="top"/>
          </w:tcPr>
          <w:p>
            <w:pPr>
              <w:spacing w:before="20" w:after="20"/>
              <w:jc w:val="center"/>
            </w:pPr>
            <w:r/>
            <w:r>
              <w:drawing>
                <wp:inline xmlns:a="http://schemas.openxmlformats.org/drawingml/2006/main" xmlns:pic="http://schemas.openxmlformats.org/drawingml/2006/picture">
                  <wp:extent cx="1818000" cy="844443"/>
                  <wp:docPr id="9" name="Picture 9"/>
                  <wp:cNvGraphicFramePr>
                    <a:graphicFrameLocks noChangeAspect="1"/>
                  </wp:cNvGraphicFramePr>
                  <a:graphic>
                    <a:graphicData uri="http://schemas.openxmlformats.org/drawingml/2006/picture">
                      <pic:pic>
                        <pic:nvPicPr>
                          <pic:cNvPr id="0" name="original_figure_05.png"/>
                          <pic:cNvPicPr/>
                        </pic:nvPicPr>
                        <pic:blipFill>
                          <a:blip r:embed="rId17"/>
                          <a:stretch>
                            <a:fillRect/>
                          </a:stretch>
                        </pic:blipFill>
                        <pic:spPr>
                          <a:xfrm>
                            <a:off x="0" y="0"/>
                            <a:ext cx="1818000" cy="844443"/>
                          </a:xfrm>
                          <a:prstGeom prst="rect"/>
                        </pic:spPr>
                      </pic:pic>
                    </a:graphicData>
                  </a:graphic>
                </wp:inline>
              </w:drawing>
            </w:r>
          </w:p>
          <w:p>
            <w:pPr>
              <w:spacing w:after="100"/>
              <w:jc w:val="center"/>
            </w:pPr>
            <w:r>
              <w:rPr>
                <w:rFonts w:ascii="Arial" w:hAnsi="Arial" w:eastAsia="等线"/>
                <w:b/>
                <w:sz w:val="17"/>
              </w:rPr>
              <w:t>原始图 5</w:t>
            </w:r>
          </w:p>
        </w:tc>
        <w:tc>
          <w:tcPr>
            <w:tcW w:type="dxa" w:w="3090"/>
            <w:vAlign w:val="top"/>
          </w:tcPr>
          <w:p>
            <w:pPr>
              <w:spacing w:before="20" w:after="20"/>
              <w:jc w:val="center"/>
            </w:pPr>
            <w:r/>
            <w:r>
              <w:drawing>
                <wp:inline xmlns:a="http://schemas.openxmlformats.org/drawingml/2006/main" xmlns:pic="http://schemas.openxmlformats.org/drawingml/2006/picture">
                  <wp:extent cx="1818000" cy="778108"/>
                  <wp:docPr id="10" name="Picture 10"/>
                  <wp:cNvGraphicFramePr>
                    <a:graphicFrameLocks noChangeAspect="1"/>
                  </wp:cNvGraphicFramePr>
                  <a:graphic>
                    <a:graphicData uri="http://schemas.openxmlformats.org/drawingml/2006/picture">
                      <pic:pic>
                        <pic:nvPicPr>
                          <pic:cNvPr id="0" name="original_figure_06.png"/>
                          <pic:cNvPicPr/>
                        </pic:nvPicPr>
                        <pic:blipFill>
                          <a:blip r:embed="rId18"/>
                          <a:stretch>
                            <a:fillRect/>
                          </a:stretch>
                        </pic:blipFill>
                        <pic:spPr>
                          <a:xfrm>
                            <a:off x="0" y="0"/>
                            <a:ext cx="1818000" cy="778108"/>
                          </a:xfrm>
                          <a:prstGeom prst="rect"/>
                        </pic:spPr>
                      </pic:pic>
                    </a:graphicData>
                  </a:graphic>
                </wp:inline>
              </w:drawing>
            </w:r>
          </w:p>
          <w:p>
            <w:pPr>
              <w:spacing w:after="100"/>
              <w:jc w:val="center"/>
            </w:pPr>
            <w:r>
              <w:rPr>
                <w:rFonts w:ascii="Arial" w:hAnsi="Arial" w:eastAsia="等线"/>
                <w:b/>
                <w:sz w:val="17"/>
              </w:rPr>
              <w:t>原始图 6</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51921"/>
                  <wp:docPr id="11" name="Picture 11"/>
                  <wp:cNvGraphicFramePr>
                    <a:graphicFrameLocks noChangeAspect="1"/>
                  </wp:cNvGraphicFramePr>
                  <a:graphic>
                    <a:graphicData uri="http://schemas.openxmlformats.org/drawingml/2006/picture">
                      <pic:pic>
                        <pic:nvPicPr>
                          <pic:cNvPr id="0" name="original_figure_07.png"/>
                          <pic:cNvPicPr/>
                        </pic:nvPicPr>
                        <pic:blipFill>
                          <a:blip r:embed="rId19"/>
                          <a:stretch>
                            <a:fillRect/>
                          </a:stretch>
                        </pic:blipFill>
                        <pic:spPr>
                          <a:xfrm>
                            <a:off x="0" y="0"/>
                            <a:ext cx="1818000" cy="751921"/>
                          </a:xfrm>
                          <a:prstGeom prst="rect"/>
                        </pic:spPr>
                      </pic:pic>
                    </a:graphicData>
                  </a:graphic>
                </wp:inline>
              </w:drawing>
            </w:r>
          </w:p>
          <w:p>
            <w:pPr>
              <w:spacing w:after="100"/>
              <w:jc w:val="center"/>
            </w:pPr>
            <w:r>
              <w:rPr>
                <w:rFonts w:ascii="Arial" w:hAnsi="Arial" w:eastAsia="等线"/>
                <w:b/>
                <w:sz w:val="17"/>
              </w:rPr>
              <w:t>原始图 7</w:t>
            </w:r>
          </w:p>
        </w:tc>
        <w:tc>
          <w:tcPr>
            <w:tcW w:type="dxa" w:w="3090"/>
            <w:vAlign w:val="top"/>
          </w:tcPr>
          <w:p>
            <w:pPr>
              <w:spacing w:before="20" w:after="20"/>
              <w:jc w:val="center"/>
            </w:pPr>
            <w:r/>
            <w:r>
              <w:drawing>
                <wp:inline xmlns:a="http://schemas.openxmlformats.org/drawingml/2006/main" xmlns:pic="http://schemas.openxmlformats.org/drawingml/2006/picture">
                  <wp:extent cx="1818000" cy="755416"/>
                  <wp:docPr id="12" name="Picture 12"/>
                  <wp:cNvGraphicFramePr>
                    <a:graphicFrameLocks noChangeAspect="1"/>
                  </wp:cNvGraphicFramePr>
                  <a:graphic>
                    <a:graphicData uri="http://schemas.openxmlformats.org/drawingml/2006/picture">
                      <pic:pic>
                        <pic:nvPicPr>
                          <pic:cNvPr id="0" name="original_figure_08.png"/>
                          <pic:cNvPicPr/>
                        </pic:nvPicPr>
                        <pic:blipFill>
                          <a:blip r:embed="rId20"/>
                          <a:stretch>
                            <a:fillRect/>
                          </a:stretch>
                        </pic:blipFill>
                        <pic:spPr>
                          <a:xfrm>
                            <a:off x="0" y="0"/>
                            <a:ext cx="1818000" cy="755416"/>
                          </a:xfrm>
                          <a:prstGeom prst="rect"/>
                        </pic:spPr>
                      </pic:pic>
                    </a:graphicData>
                  </a:graphic>
                </wp:inline>
              </w:drawing>
            </w:r>
          </w:p>
          <w:p>
            <w:pPr>
              <w:spacing w:after="100"/>
              <w:jc w:val="center"/>
            </w:pPr>
            <w:r>
              <w:rPr>
                <w:rFonts w:ascii="Arial" w:hAnsi="Arial" w:eastAsia="等线"/>
                <w:b/>
                <w:sz w:val="17"/>
              </w:rPr>
              <w:t>原始图 8</w:t>
            </w:r>
          </w:p>
        </w:tc>
        <w:tc>
          <w:tcPr>
            <w:tcW w:type="dxa" w:w="3090"/>
            <w:vAlign w:val="top"/>
          </w:tcPr>
          <w:p>
            <w:pPr>
              <w:spacing w:before="20" w:after="20"/>
              <w:jc w:val="center"/>
            </w:pPr>
            <w:r/>
            <w:r>
              <w:drawing>
                <wp:inline xmlns:a="http://schemas.openxmlformats.org/drawingml/2006/main" xmlns:pic="http://schemas.openxmlformats.org/drawingml/2006/picture">
                  <wp:extent cx="1818000" cy="756021"/>
                  <wp:docPr id="13" name="Picture 13"/>
                  <wp:cNvGraphicFramePr>
                    <a:graphicFrameLocks noChangeAspect="1"/>
                  </wp:cNvGraphicFramePr>
                  <a:graphic>
                    <a:graphicData uri="http://schemas.openxmlformats.org/drawingml/2006/picture">
                      <pic:pic>
                        <pic:nvPicPr>
                          <pic:cNvPr id="0" name="original_figure_09.png"/>
                          <pic:cNvPicPr/>
                        </pic:nvPicPr>
                        <pic:blipFill>
                          <a:blip r:embed="rId21"/>
                          <a:stretch>
                            <a:fillRect/>
                          </a:stretch>
                        </pic:blipFill>
                        <pic:spPr>
                          <a:xfrm>
                            <a:off x="0" y="0"/>
                            <a:ext cx="1818000" cy="756021"/>
                          </a:xfrm>
                          <a:prstGeom prst="rect"/>
                        </pic:spPr>
                      </pic:pic>
                    </a:graphicData>
                  </a:graphic>
                </wp:inline>
              </w:drawing>
            </w:r>
          </w:p>
          <w:p>
            <w:pPr>
              <w:spacing w:after="100"/>
              <w:jc w:val="center"/>
            </w:pPr>
            <w:r>
              <w:rPr>
                <w:rFonts w:ascii="Arial" w:hAnsi="Arial" w:eastAsia="等线"/>
                <w:b/>
                <w:sz w:val="17"/>
              </w:rPr>
              <w:t>原始图 9</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43818"/>
                  <wp:docPr id="14" name="Picture 14"/>
                  <wp:cNvGraphicFramePr>
                    <a:graphicFrameLocks noChangeAspect="1"/>
                  </wp:cNvGraphicFramePr>
                  <a:graphic>
                    <a:graphicData uri="http://schemas.openxmlformats.org/drawingml/2006/picture">
                      <pic:pic>
                        <pic:nvPicPr>
                          <pic:cNvPr id="0" name="original_figure_10.png"/>
                          <pic:cNvPicPr/>
                        </pic:nvPicPr>
                        <pic:blipFill>
                          <a:blip r:embed="rId22"/>
                          <a:stretch>
                            <a:fillRect/>
                          </a:stretch>
                        </pic:blipFill>
                        <pic:spPr>
                          <a:xfrm>
                            <a:off x="0" y="0"/>
                            <a:ext cx="1818000" cy="743818"/>
                          </a:xfrm>
                          <a:prstGeom prst="rect"/>
                        </pic:spPr>
                      </pic:pic>
                    </a:graphicData>
                  </a:graphic>
                </wp:inline>
              </w:drawing>
            </w:r>
          </w:p>
          <w:p>
            <w:pPr>
              <w:spacing w:after="100"/>
              <w:jc w:val="center"/>
            </w:pPr>
            <w:r>
              <w:rPr>
                <w:rFonts w:ascii="Arial" w:hAnsi="Arial" w:eastAsia="等线"/>
                <w:b/>
                <w:sz w:val="17"/>
              </w:rPr>
              <w:t>原始图 10</w:t>
            </w:r>
          </w:p>
        </w:tc>
        <w:tc>
          <w:tcPr>
            <w:tcW w:type="dxa" w:w="3090"/>
            <w:vAlign w:val="top"/>
          </w:tcPr>
          <w:p>
            <w:pPr>
              <w:spacing w:before="20" w:after="20"/>
              <w:jc w:val="center"/>
            </w:pPr>
            <w:r/>
            <w:r>
              <w:drawing>
                <wp:inline xmlns:a="http://schemas.openxmlformats.org/drawingml/2006/main" xmlns:pic="http://schemas.openxmlformats.org/drawingml/2006/picture">
                  <wp:extent cx="1818000" cy="1135891"/>
                  <wp:docPr id="15" name="Picture 15"/>
                  <wp:cNvGraphicFramePr>
                    <a:graphicFrameLocks noChangeAspect="1"/>
                  </wp:cNvGraphicFramePr>
                  <a:graphic>
                    <a:graphicData uri="http://schemas.openxmlformats.org/drawingml/2006/picture">
                      <pic:pic>
                        <pic:nvPicPr>
                          <pic:cNvPr id="0" name="original_figure_11.png"/>
                          <pic:cNvPicPr/>
                        </pic:nvPicPr>
                        <pic:blipFill>
                          <a:blip r:embed="rId23"/>
                          <a:stretch>
                            <a:fillRect/>
                          </a:stretch>
                        </pic:blipFill>
                        <pic:spPr>
                          <a:xfrm>
                            <a:off x="0" y="0"/>
                            <a:ext cx="1818000" cy="1135891"/>
                          </a:xfrm>
                          <a:prstGeom prst="rect"/>
                        </pic:spPr>
                      </pic:pic>
                    </a:graphicData>
                  </a:graphic>
                </wp:inline>
              </w:drawing>
            </w:r>
          </w:p>
          <w:p>
            <w:pPr>
              <w:spacing w:after="100"/>
              <w:jc w:val="center"/>
            </w:pPr>
            <w:r>
              <w:rPr>
                <w:rFonts w:ascii="Arial" w:hAnsi="Arial" w:eastAsia="等线"/>
                <w:b/>
                <w:sz w:val="17"/>
              </w:rPr>
              <w:t>原始图 11</w:t>
            </w:r>
          </w:p>
        </w:tc>
        <w:tc>
          <w:tcPr>
            <w:tcW w:type="dxa" w:w="3090"/>
            <w:vAlign w:val="top"/>
          </w:tcPr>
          <w:p>
            <w:pPr>
              <w:spacing w:before="20" w:after="20"/>
              <w:jc w:val="center"/>
            </w:pPr>
            <w:r/>
            <w:r>
              <w:drawing>
                <wp:inline xmlns:a="http://schemas.openxmlformats.org/drawingml/2006/main" xmlns:pic="http://schemas.openxmlformats.org/drawingml/2006/picture">
                  <wp:extent cx="1818000" cy="1182573"/>
                  <wp:docPr id="16" name="Picture 16"/>
                  <wp:cNvGraphicFramePr>
                    <a:graphicFrameLocks noChangeAspect="1"/>
                  </wp:cNvGraphicFramePr>
                  <a:graphic>
                    <a:graphicData uri="http://schemas.openxmlformats.org/drawingml/2006/picture">
                      <pic:pic>
                        <pic:nvPicPr>
                          <pic:cNvPr id="0" name="original_figure_12.png"/>
                          <pic:cNvPicPr/>
                        </pic:nvPicPr>
                        <pic:blipFill>
                          <a:blip r:embed="rId24"/>
                          <a:stretch>
                            <a:fillRect/>
                          </a:stretch>
                        </pic:blipFill>
                        <pic:spPr>
                          <a:xfrm>
                            <a:off x="0" y="0"/>
                            <a:ext cx="1818000" cy="1182573"/>
                          </a:xfrm>
                          <a:prstGeom prst="rect"/>
                        </pic:spPr>
                      </pic:pic>
                    </a:graphicData>
                  </a:graphic>
                </wp:inline>
              </w:drawing>
            </w:r>
          </w:p>
          <w:p>
            <w:pPr>
              <w:spacing w:after="100"/>
              <w:jc w:val="center"/>
            </w:pPr>
            <w:r>
              <w:rPr>
                <w:rFonts w:ascii="Arial" w:hAnsi="Arial" w:eastAsia="等线"/>
                <w:b/>
                <w:sz w:val="17"/>
              </w:rPr>
              <w:t>原始图 12</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00123"/>
                  <wp:docPr id="17" name="Picture 17"/>
                  <wp:cNvGraphicFramePr>
                    <a:graphicFrameLocks noChangeAspect="1"/>
                  </wp:cNvGraphicFramePr>
                  <a:graphic>
                    <a:graphicData uri="http://schemas.openxmlformats.org/drawingml/2006/picture">
                      <pic:pic>
                        <pic:nvPicPr>
                          <pic:cNvPr id="0" name="original_figure_13.png"/>
                          <pic:cNvPicPr/>
                        </pic:nvPicPr>
                        <pic:blipFill>
                          <a:blip r:embed="rId25"/>
                          <a:stretch>
                            <a:fillRect/>
                          </a:stretch>
                        </pic:blipFill>
                        <pic:spPr>
                          <a:xfrm>
                            <a:off x="0" y="0"/>
                            <a:ext cx="1818000" cy="700123"/>
                          </a:xfrm>
                          <a:prstGeom prst="rect"/>
                        </pic:spPr>
                      </pic:pic>
                    </a:graphicData>
                  </a:graphic>
                </wp:inline>
              </w:drawing>
            </w:r>
          </w:p>
          <w:p>
            <w:pPr>
              <w:spacing w:after="100"/>
              <w:jc w:val="center"/>
            </w:pPr>
            <w:r>
              <w:rPr>
                <w:rFonts w:ascii="Arial" w:hAnsi="Arial" w:eastAsia="等线"/>
                <w:b/>
                <w:sz w:val="17"/>
              </w:rPr>
              <w:t>原始图 13</w:t>
            </w:r>
          </w:p>
        </w:tc>
        <w:tc>
          <w:tcPr>
            <w:tcW w:type="dxa" w:w="3090"/>
            <w:vAlign w:val="top"/>
          </w:tcPr>
          <w:p>
            <w:pPr>
              <w:spacing w:before="20" w:after="20"/>
              <w:jc w:val="center"/>
            </w:pPr>
            <w:r/>
            <w:r>
              <w:drawing>
                <wp:inline xmlns:a="http://schemas.openxmlformats.org/drawingml/2006/main" xmlns:pic="http://schemas.openxmlformats.org/drawingml/2006/picture">
                  <wp:extent cx="1818000" cy="739388"/>
                  <wp:docPr id="18" name="Picture 18"/>
                  <wp:cNvGraphicFramePr>
                    <a:graphicFrameLocks noChangeAspect="1"/>
                  </wp:cNvGraphicFramePr>
                  <a:graphic>
                    <a:graphicData uri="http://schemas.openxmlformats.org/drawingml/2006/picture">
                      <pic:pic>
                        <pic:nvPicPr>
                          <pic:cNvPr id="0" name="original_figure_14.png"/>
                          <pic:cNvPicPr/>
                        </pic:nvPicPr>
                        <pic:blipFill>
                          <a:blip r:embed="rId26"/>
                          <a:stretch>
                            <a:fillRect/>
                          </a:stretch>
                        </pic:blipFill>
                        <pic:spPr>
                          <a:xfrm>
                            <a:off x="0" y="0"/>
                            <a:ext cx="1818000" cy="739388"/>
                          </a:xfrm>
                          <a:prstGeom prst="rect"/>
                        </pic:spPr>
                      </pic:pic>
                    </a:graphicData>
                  </a:graphic>
                </wp:inline>
              </w:drawing>
            </w:r>
          </w:p>
          <w:p>
            <w:pPr>
              <w:spacing w:after="100"/>
              <w:jc w:val="center"/>
            </w:pPr>
            <w:r>
              <w:rPr>
                <w:rFonts w:ascii="Arial" w:hAnsi="Arial" w:eastAsia="等线"/>
                <w:b/>
                <w:sz w:val="17"/>
              </w:rPr>
              <w:t>原始图 14</w:t>
            </w:r>
          </w:p>
        </w:tc>
        <w:tc>
          <w:tcPr>
            <w:tcW w:type="dxa" w:w="3090"/>
            <w:vAlign w:val="top"/>
          </w:tcPr>
          <w:p>
            <w:pPr>
              <w:spacing w:before="20" w:after="20"/>
              <w:jc w:val="center"/>
            </w:pPr>
            <w:r/>
            <w:r>
              <w:drawing>
                <wp:inline xmlns:a="http://schemas.openxmlformats.org/drawingml/2006/main" xmlns:pic="http://schemas.openxmlformats.org/drawingml/2006/picture">
                  <wp:extent cx="1818000" cy="755730"/>
                  <wp:docPr id="19" name="Picture 19"/>
                  <wp:cNvGraphicFramePr>
                    <a:graphicFrameLocks noChangeAspect="1"/>
                  </wp:cNvGraphicFramePr>
                  <a:graphic>
                    <a:graphicData uri="http://schemas.openxmlformats.org/drawingml/2006/picture">
                      <pic:pic>
                        <pic:nvPicPr>
                          <pic:cNvPr id="0" name="original_figure_15.png"/>
                          <pic:cNvPicPr/>
                        </pic:nvPicPr>
                        <pic:blipFill>
                          <a:blip r:embed="rId27"/>
                          <a:stretch>
                            <a:fillRect/>
                          </a:stretch>
                        </pic:blipFill>
                        <pic:spPr>
                          <a:xfrm>
                            <a:off x="0" y="0"/>
                            <a:ext cx="1818000" cy="755730"/>
                          </a:xfrm>
                          <a:prstGeom prst="rect"/>
                        </pic:spPr>
                      </pic:pic>
                    </a:graphicData>
                  </a:graphic>
                </wp:inline>
              </w:drawing>
            </w:r>
          </w:p>
          <w:p>
            <w:pPr>
              <w:spacing w:after="100"/>
              <w:jc w:val="center"/>
            </w:pPr>
            <w:r>
              <w:rPr>
                <w:rFonts w:ascii="Arial" w:hAnsi="Arial" w:eastAsia="等线"/>
                <w:b/>
                <w:sz w:val="17"/>
              </w:rPr>
              <w:t>原始图 15</w:t>
            </w:r>
          </w:p>
        </w:tc>
      </w:tr>
      <w:tr>
        <w:trPr>
          <w:cantSplit/>
        </w:trPr>
        <w:tc>
          <w:tcPr>
            <w:tcW w:type="dxa" w:w="3090"/>
            <w:vAlign w:val="top"/>
          </w:tcPr>
          <w:p>
            <w:pPr>
              <w:spacing w:before="20" w:after="20"/>
              <w:jc w:val="center"/>
            </w:pPr>
            <w:r/>
            <w:r>
              <w:drawing>
                <wp:inline xmlns:a="http://schemas.openxmlformats.org/drawingml/2006/main" xmlns:pic="http://schemas.openxmlformats.org/drawingml/2006/picture">
                  <wp:extent cx="1818000" cy="741044"/>
                  <wp:docPr id="20" name="Picture 20"/>
                  <wp:cNvGraphicFramePr>
                    <a:graphicFrameLocks noChangeAspect="1"/>
                  </wp:cNvGraphicFramePr>
                  <a:graphic>
                    <a:graphicData uri="http://schemas.openxmlformats.org/drawingml/2006/picture">
                      <pic:pic>
                        <pic:nvPicPr>
                          <pic:cNvPr id="0" name="original_figure_16.png"/>
                          <pic:cNvPicPr/>
                        </pic:nvPicPr>
                        <pic:blipFill>
                          <a:blip r:embed="rId28"/>
                          <a:stretch>
                            <a:fillRect/>
                          </a:stretch>
                        </pic:blipFill>
                        <pic:spPr>
                          <a:xfrm>
                            <a:off x="0" y="0"/>
                            <a:ext cx="1818000" cy="741044"/>
                          </a:xfrm>
                          <a:prstGeom prst="rect"/>
                        </pic:spPr>
                      </pic:pic>
                    </a:graphicData>
                  </a:graphic>
                </wp:inline>
              </w:drawing>
            </w:r>
          </w:p>
          <w:p>
            <w:pPr>
              <w:spacing w:after="100"/>
              <w:jc w:val="center"/>
            </w:pPr>
            <w:r>
              <w:rPr>
                <w:rFonts w:ascii="Arial" w:hAnsi="Arial" w:eastAsia="等线"/>
                <w:b/>
                <w:sz w:val="17"/>
              </w:rPr>
              <w:t>原始图 16</w:t>
            </w:r>
          </w:p>
        </w:tc>
        <w:tc>
          <w:tcPr>
            <w:tcW w:type="dxa" w:w="3090"/>
            <w:vAlign w:val="top"/>
          </w:tcPr>
          <w:p>
            <w:pPr>
              <w:spacing w:before="20" w:after="20"/>
              <w:jc w:val="center"/>
            </w:pPr>
            <w:r/>
            <w:r>
              <w:drawing>
                <wp:inline xmlns:a="http://schemas.openxmlformats.org/drawingml/2006/main" xmlns:pic="http://schemas.openxmlformats.org/drawingml/2006/picture">
                  <wp:extent cx="1818000" cy="822007"/>
                  <wp:docPr id="21" name="Picture 21"/>
                  <wp:cNvGraphicFramePr>
                    <a:graphicFrameLocks noChangeAspect="1"/>
                  </wp:cNvGraphicFramePr>
                  <a:graphic>
                    <a:graphicData uri="http://schemas.openxmlformats.org/drawingml/2006/picture">
                      <pic:pic>
                        <pic:nvPicPr>
                          <pic:cNvPr id="0" name="original_figure_17.png"/>
                          <pic:cNvPicPr/>
                        </pic:nvPicPr>
                        <pic:blipFill>
                          <a:blip r:embed="rId29"/>
                          <a:stretch>
                            <a:fillRect/>
                          </a:stretch>
                        </pic:blipFill>
                        <pic:spPr>
                          <a:xfrm>
                            <a:off x="0" y="0"/>
                            <a:ext cx="1818000" cy="822007"/>
                          </a:xfrm>
                          <a:prstGeom prst="rect"/>
                        </pic:spPr>
                      </pic:pic>
                    </a:graphicData>
                  </a:graphic>
                </wp:inline>
              </w:drawing>
            </w:r>
          </w:p>
          <w:p>
            <w:pPr>
              <w:spacing w:after="100"/>
              <w:jc w:val="center"/>
            </w:pPr>
            <w:r>
              <w:rPr>
                <w:rFonts w:ascii="Arial" w:hAnsi="Arial" w:eastAsia="等线"/>
                <w:b/>
                <w:sz w:val="17"/>
              </w:rPr>
              <w:t>原始图 17</w:t>
            </w:r>
          </w:p>
        </w:tc>
        <w:tc>
          <w:tcPr>
            <w:tcW w:type="dxa" w:w="3090"/>
            <w:vAlign w:val="top"/>
          </w:tcPr>
          <w:p>
            <w:r/>
          </w:p>
        </w:tc>
      </w:tr>
    </w:tbl>
    <w:sectPr w:rsidR="00FC693F" w:rsidRPr="0006063C" w:rsidSect="00034616">
      <w:type w:val="continuous"/>
      <w:pgSz w:w="11906" w:h="16838"/>
      <w:pgMar w:top="1020" w:right="964" w:bottom="1020" w:left="9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等线"/>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eastAsia="等线"/>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eastAsia="等线"/>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