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8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8.png" ContentType="image/png"/>
  <Override PartName="/word/media/rId153.png" ContentType="image/png"/>
  <Override PartName="/word/media/rId158.png" ContentType="image/png"/>
  <Override PartName="/word/media/rId163.png" ContentType="image/png"/>
  <Override PartName="/word/media/rId168.png" ContentType="image/png"/>
  <Override PartName="/word/media/rId173.png" ContentType="image/png"/>
  <Override PartName="/word/media/rId178.png" ContentType="image/png"/>
  <Override PartName="/word/media/rId183.png" ContentType="image/png"/>
  <Override PartName="/word/media/rId188.png" ContentType="image/png"/>
  <Override PartName="/word/media/rId193.png" ContentType="image/png"/>
  <Override PartName="/word/media/rId198.png" ContentType="image/png"/>
  <Override PartName="/word/media/rId203.png" ContentType="image/png"/>
  <Override PartName="/word/media/rId208.png" ContentType="image/png"/>
  <Override PartName="/word/media/rId213.png" ContentType="image/png"/>
  <Override PartName="/word/media/rId218.png" ContentType="image/png"/>
  <Override PartName="/word/media/rId223.png" ContentType="image/png"/>
  <Override PartName="/word/media/rId228.png" ContentType="image/png"/>
  <Override PartName="/word/media/rId233.png" ContentType="image/png"/>
  <Override PartName="/word/media/rId238.png" ContentType="image/png"/>
  <Override PartName="/word/media/rId243.png" ContentType="image/png"/>
  <Override PartName="/word/media/rId248.png" ContentType="image/png"/>
  <Override PartName="/word/media/rId253.png" ContentType="image/png"/>
  <Override PartName="/word/media/rId258.png" ContentType="image/png"/>
  <Override PartName="/word/media/rId2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0" w:name="bioetl-architecture-diagrams-bundle"/>
    <w:p>
      <w:pPr>
        <w:pStyle w:val="Heading1"/>
      </w:pPr>
      <w:r>
        <w:t xml:space="preserve">BioETL Architecture Diagrams Bundle</w:t>
      </w:r>
    </w:p>
    <w:p>
      <w:pPr>
        <w:pStyle w:val="Compact"/>
        <w:numPr>
          <w:ilvl w:val="0"/>
          <w:numId w:val="1001"/>
        </w:numPr>
      </w:pPr>
      <w:r>
        <w:t xml:space="preserve">Generated: 2026-03-23T10:52:06</w:t>
      </w:r>
    </w:p>
    <w:p>
      <w:pPr>
        <w:pStyle w:val="Compact"/>
        <w:numPr>
          <w:ilvl w:val="0"/>
          <w:numId w:val="1001"/>
        </w:numPr>
      </w:pPr>
      <w:r>
        <w:t xml:space="preserve">Diagram count: 52</w:t>
      </w:r>
    </w:p>
    <w:bookmarkStart w:id="26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fd6e7f35668d2396e068105ed0e4ca3b159348a">
        <w:r>
          <w:rPr>
            <w:rStyle w:val="Hyperlink"/>
          </w:rPr>
          <w:t xml:space="preserve">01-high-level-hexagonal — High-Level Hexagonal Architecture</w:t>
        </w:r>
      </w:hyperlink>
    </w:p>
    <w:p>
      <w:pPr>
        <w:pStyle w:val="Compact"/>
        <w:numPr>
          <w:ilvl w:val="0"/>
          <w:numId w:val="1002"/>
        </w:numPr>
      </w:pPr>
      <w:hyperlink w:anchor="X3285dd563211097e3da6b0147cd2074c43b554f">
        <w:r>
          <w:rPr>
            <w:rStyle w:val="Hyperlink"/>
          </w:rPr>
          <w:t xml:space="preserve">01a-hexagonal-overview — Hexagonal Overview</w:t>
        </w:r>
      </w:hyperlink>
    </w:p>
    <w:p>
      <w:pPr>
        <w:pStyle w:val="Compact"/>
        <w:numPr>
          <w:ilvl w:val="0"/>
          <w:numId w:val="1002"/>
        </w:numPr>
      </w:pPr>
      <w:hyperlink w:anchor="X1bcb3ff18eeb3883164949aeb9e38b14a830021">
        <w:r>
          <w:rPr>
            <w:rStyle w:val="Hyperlink"/>
          </w:rPr>
          <w:t xml:space="preserve">01b-hexagonal-domain-app — Hexagonal Domain and Application</w:t>
        </w:r>
      </w:hyperlink>
    </w:p>
    <w:p>
      <w:pPr>
        <w:pStyle w:val="Compact"/>
        <w:numPr>
          <w:ilvl w:val="0"/>
          <w:numId w:val="1002"/>
        </w:numPr>
      </w:pPr>
      <w:hyperlink w:anchor="Xca4d9abd820b95e2c659fc4b2da2b78fc5695b5">
        <w:r>
          <w:rPr>
            <w:rStyle w:val="Hyperlink"/>
          </w:rPr>
          <w:t xml:space="preserve">01c-hexagonal-infra-comp — Hexagonal Infrastructure and Composition</w:t>
        </w:r>
      </w:hyperlink>
    </w:p>
    <w:p>
      <w:pPr>
        <w:pStyle w:val="Compact"/>
        <w:numPr>
          <w:ilvl w:val="0"/>
          <w:numId w:val="1002"/>
        </w:numPr>
      </w:pPr>
      <w:hyperlink w:anchor="Xf33de9551686f4a0df3f2aaa4eccf2a6b652cd3">
        <w:r>
          <w:rPr>
            <w:rStyle w:val="Hyperlink"/>
          </w:rPr>
          <w:t xml:space="preserve">01d-hexagonal-overview-rounded — Hexagonal Overview (Rounded Nodes)</w:t>
        </w:r>
      </w:hyperlink>
    </w:p>
    <w:p>
      <w:pPr>
        <w:pStyle w:val="Compact"/>
        <w:numPr>
          <w:ilvl w:val="0"/>
          <w:numId w:val="1002"/>
        </w:numPr>
      </w:pPr>
      <w:hyperlink w:anchor="X70ef10417ad890169def489df4df608c3542e37">
        <w:r>
          <w:rPr>
            <w:rStyle w:val="Hyperlink"/>
          </w:rPr>
          <w:t xml:space="preserve">02-layer-dependency-matrix — Layer Dependency Matrix (ARCH-001)</w:t>
        </w:r>
      </w:hyperlink>
    </w:p>
    <w:p>
      <w:pPr>
        <w:pStyle w:val="Compact"/>
        <w:numPr>
          <w:ilvl w:val="0"/>
          <w:numId w:val="1002"/>
        </w:numPr>
      </w:pPr>
      <w:hyperlink w:anchor="X7a2c07a958c76c043e40036a93c93e4496dd414">
        <w:r>
          <w:rPr>
            <w:rStyle w:val="Hyperlink"/>
          </w:rPr>
          <w:t xml:space="preserve">03-medallion-data-flow — Medallion Architecture Data Flow (Bronze → Silver → Gold)</w:t>
        </w:r>
      </w:hyperlink>
    </w:p>
    <w:p>
      <w:pPr>
        <w:pStyle w:val="Compact"/>
        <w:numPr>
          <w:ilvl w:val="0"/>
          <w:numId w:val="1002"/>
        </w:numPr>
      </w:pPr>
      <w:hyperlink w:anchor="Xf7941136224cdd640244b7aead7895c5bc2b374">
        <w:r>
          <w:rPr>
            <w:rStyle w:val="Hyperlink"/>
          </w:rPr>
          <w:t xml:space="preserve">03a-medallion-layers-overview — Medallion Layers Overview</w:t>
        </w:r>
      </w:hyperlink>
    </w:p>
    <w:p>
      <w:pPr>
        <w:pStyle w:val="Compact"/>
        <w:numPr>
          <w:ilvl w:val="0"/>
          <w:numId w:val="1002"/>
        </w:numPr>
      </w:pPr>
      <w:hyperlink w:anchor="Xd9dca22ebfadc530679e433a5e6f63abc6500ec">
        <w:r>
          <w:rPr>
            <w:rStyle w:val="Hyperlink"/>
          </w:rPr>
          <w:t xml:space="preserve">04-pipeline-execution-flow — Pipeline Execution Lifecycle</w:t>
        </w:r>
      </w:hyperlink>
    </w:p>
    <w:p>
      <w:pPr>
        <w:pStyle w:val="Compact"/>
        <w:numPr>
          <w:ilvl w:val="0"/>
          <w:numId w:val="1002"/>
        </w:numPr>
      </w:pPr>
      <w:hyperlink w:anchor="X399af10f916b19bdfb9710b51b4f2bce7c87c99">
        <w:r>
          <w:rPr>
            <w:rStyle w:val="Hyperlink"/>
          </w:rPr>
          <w:t xml:space="preserve">05-provider-adapter-hierarchy — Provider Adapter Hierarchy</w:t>
        </w:r>
      </w:hyperlink>
    </w:p>
    <w:p>
      <w:pPr>
        <w:pStyle w:val="Compact"/>
        <w:numPr>
          <w:ilvl w:val="0"/>
          <w:numId w:val="1002"/>
        </w:numPr>
      </w:pPr>
      <w:hyperlink w:anchor="X0b83679be86735ec9ce2164053c7f28d9f9d75c">
        <w:r>
          <w:rPr>
            <w:rStyle w:val="Hyperlink"/>
          </w:rPr>
          <w:t xml:space="preserve">05a-adapter-hierarchy-base — Adapter Hierarchy: Base Types</w:t>
        </w:r>
      </w:hyperlink>
    </w:p>
    <w:p>
      <w:pPr>
        <w:pStyle w:val="Compact"/>
        <w:numPr>
          <w:ilvl w:val="0"/>
          <w:numId w:val="1002"/>
        </w:numPr>
      </w:pPr>
      <w:hyperlink w:anchor="Xf4d5090fa419cf6f27db9bb4251590b328a391f">
        <w:r>
          <w:rPr>
            <w:rStyle w:val="Hyperlink"/>
          </w:rPr>
          <w:t xml:space="preserve">05b-adapter-hierarchy-providers — Adapter Hierarchy: Provider Implementations</w:t>
        </w:r>
      </w:hyperlink>
    </w:p>
    <w:p>
      <w:pPr>
        <w:pStyle w:val="Compact"/>
        <w:numPr>
          <w:ilvl w:val="0"/>
          <w:numId w:val="1002"/>
        </w:numPr>
      </w:pPr>
      <w:hyperlink w:anchor="Xe23479e8c7538552d8870ff864ac1dab31ecf53">
        <w:r>
          <w:rPr>
            <w:rStyle w:val="Hyperlink"/>
          </w:rPr>
          <w:t xml:space="preserve">06-storage-layer — Storage Layer Components</w:t>
        </w:r>
      </w:hyperlink>
    </w:p>
    <w:p>
      <w:pPr>
        <w:pStyle w:val="Compact"/>
        <w:numPr>
          <w:ilvl w:val="0"/>
          <w:numId w:val="1002"/>
        </w:numPr>
      </w:pPr>
      <w:hyperlink w:anchor="X3e157a2ca8965b93998f3442f541c7435e7860d">
        <w:r>
          <w:rPr>
            <w:rStyle w:val="Hyperlink"/>
          </w:rPr>
          <w:t xml:space="preserve">06a-storage-writers — Storage Writers</w:t>
        </w:r>
      </w:hyperlink>
    </w:p>
    <w:p>
      <w:pPr>
        <w:pStyle w:val="Compact"/>
        <w:numPr>
          <w:ilvl w:val="0"/>
          <w:numId w:val="1002"/>
        </w:numPr>
      </w:pPr>
      <w:hyperlink w:anchor="X35a3a99fa30367943602d728a82677c5c72be80">
        <w:r>
          <w:rPr>
            <w:rStyle w:val="Hyperlink"/>
          </w:rPr>
          <w:t xml:space="preserve">06b-storage-support — Storage Support Components</w:t>
        </w:r>
      </w:hyperlink>
    </w:p>
    <w:p>
      <w:pPr>
        <w:pStyle w:val="Compact"/>
        <w:numPr>
          <w:ilvl w:val="0"/>
          <w:numId w:val="1002"/>
        </w:numPr>
      </w:pPr>
      <w:hyperlink w:anchor="X3180247ec7e20c1b62ea496824dd14a0a4204fa">
        <w:r>
          <w:rPr>
            <w:rStyle w:val="Hyperlink"/>
          </w:rPr>
          <w:t xml:space="preserve">07-dq-system — Data Quality (DQ) System</w:t>
        </w:r>
      </w:hyperlink>
    </w:p>
    <w:p>
      <w:pPr>
        <w:pStyle w:val="Compact"/>
        <w:numPr>
          <w:ilvl w:val="0"/>
          <w:numId w:val="1002"/>
        </w:numPr>
      </w:pPr>
      <w:hyperlink w:anchor="X5001c7f5ca08c8b1cd985a7231769fb8df0e622">
        <w:r>
          <w:rPr>
            <w:rStyle w:val="Hyperlink"/>
          </w:rPr>
          <w:t xml:space="preserve">07a-dq-analysis — DQ Analysis Services</w:t>
        </w:r>
      </w:hyperlink>
    </w:p>
    <w:p>
      <w:pPr>
        <w:pStyle w:val="Compact"/>
        <w:numPr>
          <w:ilvl w:val="0"/>
          <w:numId w:val="1002"/>
        </w:numPr>
      </w:pPr>
      <w:hyperlink w:anchor="X394c5e7b72458d21fe7eadc43b6ef7ecf0b0a5c">
        <w:r>
          <w:rPr>
            <w:rStyle w:val="Hyperlink"/>
          </w:rPr>
          <w:t xml:space="preserve">07b-dq-pipeline — DQ Pipeline Integration</w:t>
        </w:r>
      </w:hyperlink>
    </w:p>
    <w:p>
      <w:pPr>
        <w:pStyle w:val="Compact"/>
        <w:numPr>
          <w:ilvl w:val="0"/>
          <w:numId w:val="1002"/>
        </w:numPr>
      </w:pPr>
      <w:hyperlink w:anchor="X258b5a82c72f107811b51b19f20296b98327590">
        <w:r>
          <w:rPr>
            <w:rStyle w:val="Hyperlink"/>
          </w:rPr>
          <w:t xml:space="preserve">08-composite-pipeline — Composite Pipeline Architecture</w:t>
        </w:r>
      </w:hyperlink>
    </w:p>
    <w:p>
      <w:pPr>
        <w:pStyle w:val="Compact"/>
        <w:numPr>
          <w:ilvl w:val="0"/>
          <w:numId w:val="1002"/>
        </w:numPr>
      </w:pPr>
      <w:hyperlink w:anchor="Xb3b3f1e74fcc4764f88ddc251b381e201176bcc">
        <w:r>
          <w:rPr>
            <w:rStyle w:val="Hyperlink"/>
          </w:rPr>
          <w:t xml:space="preserve">08a-composite-config — Composite Pipeline Configuration &amp; FSM</w:t>
        </w:r>
      </w:hyperlink>
    </w:p>
    <w:p>
      <w:pPr>
        <w:pStyle w:val="Compact"/>
        <w:numPr>
          <w:ilvl w:val="0"/>
          <w:numId w:val="1002"/>
        </w:numPr>
      </w:pPr>
      <w:hyperlink w:anchor="X0f786549fd0e3a2a8c9e06454ad505fdf64f4d0">
        <w:r>
          <w:rPr>
            <w:rStyle w:val="Hyperlink"/>
          </w:rPr>
          <w:t xml:space="preserve">08b-composite-execution — Composite Pipeline Execution</w:t>
        </w:r>
      </w:hyperlink>
    </w:p>
    <w:p>
      <w:pPr>
        <w:pStyle w:val="Compact"/>
        <w:numPr>
          <w:ilvl w:val="0"/>
          <w:numId w:val="1002"/>
        </w:numPr>
      </w:pPr>
      <w:hyperlink w:anchor="X4035c774d1b15bf4376ea4fc294fc7666b7d26b">
        <w:r>
          <w:rPr>
            <w:rStyle w:val="Hyperlink"/>
          </w:rPr>
          <w:t xml:space="preserve">09-observability-stack — Observability Stack</w:t>
        </w:r>
      </w:hyperlink>
    </w:p>
    <w:p>
      <w:pPr>
        <w:pStyle w:val="Compact"/>
        <w:numPr>
          <w:ilvl w:val="0"/>
          <w:numId w:val="1002"/>
        </w:numPr>
      </w:pPr>
      <w:hyperlink w:anchor="X66796e386e519f79daa04a0c326da962b537f52">
        <w:r>
          <w:rPr>
            <w:rStyle w:val="Hyperlink"/>
          </w:rPr>
          <w:t xml:space="preserve">09a-observability-app — Observability: Application Layer</w:t>
        </w:r>
      </w:hyperlink>
    </w:p>
    <w:p>
      <w:pPr>
        <w:pStyle w:val="Compact"/>
        <w:numPr>
          <w:ilvl w:val="0"/>
          <w:numId w:val="1002"/>
        </w:numPr>
      </w:pPr>
      <w:hyperlink w:anchor="X0245f0a49b79cfe7361fd40bfbdd6d50f71529e">
        <w:r>
          <w:rPr>
            <w:rStyle w:val="Hyperlink"/>
          </w:rPr>
          <w:t xml:space="preserve">09b-observability-infra — Observability: Infrastructure Layer</w:t>
        </w:r>
      </w:hyperlink>
    </w:p>
    <w:p>
      <w:pPr>
        <w:pStyle w:val="Compact"/>
        <w:numPr>
          <w:ilvl w:val="0"/>
          <w:numId w:val="1002"/>
        </w:numPr>
      </w:pPr>
      <w:hyperlink w:anchor="X25322fe0e0ca9b9c3119db27db2b33260679365">
        <w:r>
          <w:rPr>
            <w:rStyle w:val="Hyperlink"/>
          </w:rPr>
          <w:t xml:space="preserve">10-resilience-patterns — Resilience Patterns</w:t>
        </w:r>
      </w:hyperlink>
    </w:p>
    <w:p>
      <w:pPr>
        <w:pStyle w:val="Compact"/>
        <w:numPr>
          <w:ilvl w:val="0"/>
          <w:numId w:val="1002"/>
        </w:numPr>
      </w:pPr>
      <w:hyperlink w:anchor="Xed6092386b76448f613123e05938077b6c4e894">
        <w:r>
          <w:rPr>
            <w:rStyle w:val="Hyperlink"/>
          </w:rPr>
          <w:t xml:space="preserve">11-configuration-system — Configuration System</w:t>
        </w:r>
      </w:hyperlink>
    </w:p>
    <w:p>
      <w:pPr>
        <w:pStyle w:val="Compact"/>
        <w:numPr>
          <w:ilvl w:val="0"/>
          <w:numId w:val="1002"/>
        </w:numPr>
      </w:pPr>
      <w:hyperlink w:anchor="Xe5fb57bb50c9d777b392aaaa4d1dde604fe168f">
        <w:r>
          <w:rPr>
            <w:rStyle w:val="Hyperlink"/>
          </w:rPr>
          <w:t xml:space="preserve">11a-config-loading — Configuration: Loading Pipeline</w:t>
        </w:r>
      </w:hyperlink>
    </w:p>
    <w:p>
      <w:pPr>
        <w:pStyle w:val="Compact"/>
        <w:numPr>
          <w:ilvl w:val="0"/>
          <w:numId w:val="1002"/>
        </w:numPr>
      </w:pPr>
      <w:hyperlink w:anchor="X10d0def250d51d059753395d3f069dee6c84298">
        <w:r>
          <w:rPr>
            <w:rStyle w:val="Hyperlink"/>
          </w:rPr>
          <w:t xml:space="preserve">11b-config-domain — Configuration: Domain &amp; Application Config</w:t>
        </w:r>
      </w:hyperlink>
    </w:p>
    <w:p>
      <w:pPr>
        <w:pStyle w:val="Compact"/>
        <w:numPr>
          <w:ilvl w:val="0"/>
          <w:numId w:val="1002"/>
        </w:numPr>
      </w:pPr>
      <w:hyperlink w:anchor="X46398f454cbb57fd1cc55e470d73a3eef5258ad">
        <w:r>
          <w:rPr>
            <w:rStyle w:val="Hyperlink"/>
          </w:rPr>
          <w:t xml:space="preserve">12-bootstrap-di-container — Bootstrap / DI Container (Composition Root)</w:t>
        </w:r>
      </w:hyperlink>
    </w:p>
    <w:p>
      <w:pPr>
        <w:pStyle w:val="Compact"/>
        <w:numPr>
          <w:ilvl w:val="0"/>
          <w:numId w:val="1002"/>
        </w:numPr>
      </w:pPr>
      <w:hyperlink w:anchor="X556f390b7d9690948cacbd95f1aa787f4b26832">
        <w:r>
          <w:rPr>
            <w:rStyle w:val="Hyperlink"/>
          </w:rPr>
          <w:t xml:space="preserve">12a-bootstrap-factories — Bootstrap: Registries, Public APIs, and Factory Seams</w:t>
        </w:r>
      </w:hyperlink>
    </w:p>
    <w:p>
      <w:pPr>
        <w:pStyle w:val="Compact"/>
        <w:numPr>
          <w:ilvl w:val="0"/>
          <w:numId w:val="1002"/>
        </w:numPr>
      </w:pPr>
      <w:hyperlink w:anchor="X2c66d02ddfb36bcac8350104972b5b0c59a6d1d">
        <w:r>
          <w:rPr>
            <w:rStyle w:val="Hyperlink"/>
          </w:rPr>
          <w:t xml:space="preserve">12b-bootstrap-wiring — Bootstrap: Runtime and Admin Wiring</w:t>
        </w:r>
      </w:hyperlink>
    </w:p>
    <w:p>
      <w:pPr>
        <w:pStyle w:val="Compact"/>
        <w:numPr>
          <w:ilvl w:val="0"/>
          <w:numId w:val="1002"/>
        </w:numPr>
      </w:pPr>
      <w:hyperlink w:anchor="X9ee1dbdb80fe736aee50a5280391e249125adee">
        <w:r>
          <w:rPr>
            <w:rStyle w:val="Hyperlink"/>
          </w:rPr>
          <w:t xml:space="preserve">13-port-protocol-contracts — Port/Protocol Contracts (Full Map)</w:t>
        </w:r>
      </w:hyperlink>
    </w:p>
    <w:p>
      <w:pPr>
        <w:pStyle w:val="Compact"/>
        <w:numPr>
          <w:ilvl w:val="0"/>
          <w:numId w:val="1002"/>
        </w:numPr>
      </w:pPr>
      <w:hyperlink w:anchor="X1105599c9490d51ca1f2da6d27d5b1a710cbc3a">
        <w:r>
          <w:rPr>
            <w:rStyle w:val="Hyperlink"/>
          </w:rPr>
          <w:t xml:space="preserve">13a-data-storage-ports — DataSource and Storage Ports</w:t>
        </w:r>
      </w:hyperlink>
    </w:p>
    <w:p>
      <w:pPr>
        <w:pStyle w:val="Compact"/>
        <w:numPr>
          <w:ilvl w:val="0"/>
          <w:numId w:val="1002"/>
        </w:numPr>
      </w:pPr>
      <w:hyperlink w:anchor="X9b6f148ce6492111afe7cc0b134199b8560bdbb">
        <w:r>
          <w:rPr>
            <w:rStyle w:val="Hyperlink"/>
          </w:rPr>
          <w:t xml:space="preserve">13a-port-contracts-data-sources — Port Contracts: Data Sources</w:t>
        </w:r>
      </w:hyperlink>
    </w:p>
    <w:p>
      <w:pPr>
        <w:pStyle w:val="Compact"/>
        <w:numPr>
          <w:ilvl w:val="0"/>
          <w:numId w:val="1002"/>
        </w:numPr>
      </w:pPr>
      <w:hyperlink w:anchor="X28d66455700b2fec9d150c9e01693516b9bd7eb">
        <w:r>
          <w:rPr>
            <w:rStyle w:val="Hyperlink"/>
          </w:rPr>
          <w:t xml:space="preserve">13b-operational-ports — Operational and Observability Ports</w:t>
        </w:r>
      </w:hyperlink>
    </w:p>
    <w:p>
      <w:pPr>
        <w:pStyle w:val="Compact"/>
        <w:numPr>
          <w:ilvl w:val="0"/>
          <w:numId w:val="1002"/>
        </w:numPr>
      </w:pPr>
      <w:hyperlink w:anchor="X587580b4861dda4348bfb43adbb8ff64ff7014f">
        <w:r>
          <w:rPr>
            <w:rStyle w:val="Hyperlink"/>
          </w:rPr>
          <w:t xml:space="preserve">13b-port-contracts-storage — Port Contracts: Storage</w:t>
        </w:r>
      </w:hyperlink>
    </w:p>
    <w:p>
      <w:pPr>
        <w:pStyle w:val="Compact"/>
        <w:numPr>
          <w:ilvl w:val="0"/>
          <w:numId w:val="1002"/>
        </w:numPr>
      </w:pPr>
      <w:hyperlink w:anchor="X1b4a7e27bc3560f630c6bacb2b9e99ec37d67f4">
        <w:r>
          <w:rPr>
            <w:rStyle w:val="Hyperlink"/>
          </w:rPr>
          <w:t xml:space="preserve">13c-port-contracts-observability — Port Contracts: Observability and Resilience</w:t>
        </w:r>
      </w:hyperlink>
    </w:p>
    <w:p>
      <w:pPr>
        <w:pStyle w:val="Compact"/>
        <w:numPr>
          <w:ilvl w:val="0"/>
          <w:numId w:val="1002"/>
        </w:numPr>
      </w:pPr>
      <w:hyperlink w:anchor="Xa5d5ba349a569367c81be66d3149bd744e5eda5">
        <w:r>
          <w:rPr>
            <w:rStyle w:val="Hyperlink"/>
          </w:rPr>
          <w:t xml:space="preserve">13c-validation-dq-ports — Validation and Data Quality Ports</w:t>
        </w:r>
      </w:hyperlink>
    </w:p>
    <w:p>
      <w:pPr>
        <w:pStyle w:val="Compact"/>
        <w:numPr>
          <w:ilvl w:val="0"/>
          <w:numId w:val="1002"/>
        </w:numPr>
      </w:pPr>
      <w:hyperlink w:anchor="X6d23d8bf98c7d1c9c2ebc64ae3b37073e6502e6">
        <w:r>
          <w:rPr>
            <w:rStyle w:val="Hyperlink"/>
          </w:rPr>
          <w:t xml:space="preserve">13d-port-contracts-services — Port Contracts: Services and Controls</w:t>
        </w:r>
      </w:hyperlink>
    </w:p>
    <w:p>
      <w:pPr>
        <w:pStyle w:val="Compact"/>
        <w:numPr>
          <w:ilvl w:val="0"/>
          <w:numId w:val="1002"/>
        </w:numPr>
      </w:pPr>
      <w:hyperlink w:anchor="Xb487158a9fed53660b6c54edb02d1c5ea9000de">
        <w:r>
          <w:rPr>
            <w:rStyle w:val="Hyperlink"/>
          </w:rPr>
          <w:t xml:space="preserve">13e-operational-ports-domain — Domain Operational Ports</w:t>
        </w:r>
      </w:hyperlink>
    </w:p>
    <w:p>
      <w:pPr>
        <w:pStyle w:val="Compact"/>
        <w:numPr>
          <w:ilvl w:val="0"/>
          <w:numId w:val="1002"/>
        </w:numPr>
      </w:pPr>
      <w:hyperlink w:anchor="X922dcdb214e9c479abdfa05383c1bf6865e5f6a">
        <w:r>
          <w:rPr>
            <w:rStyle w:val="Hyperlink"/>
          </w:rPr>
          <w:t xml:space="preserve">13f-operational-ports-infra — Infrastructure Operational Implementations</w:t>
        </w:r>
      </w:hyperlink>
    </w:p>
    <w:p>
      <w:pPr>
        <w:pStyle w:val="Compact"/>
        <w:numPr>
          <w:ilvl w:val="0"/>
          <w:numId w:val="1002"/>
        </w:numPr>
      </w:pPr>
      <w:hyperlink w:anchor="X4da636e118cfc51f5f9dc53eeed33eaace3696c">
        <w:r>
          <w:rPr>
            <w:rStyle w:val="Hyperlink"/>
          </w:rPr>
          <w:t xml:space="preserve">14-cli-interface-layer — CLI / Interface Layer</w:t>
        </w:r>
      </w:hyperlink>
    </w:p>
    <w:p>
      <w:pPr>
        <w:pStyle w:val="Compact"/>
        <w:numPr>
          <w:ilvl w:val="0"/>
          <w:numId w:val="1002"/>
        </w:numPr>
      </w:pPr>
      <w:hyperlink w:anchor="X71c5bd2fb365807f9012e622745c21d9682c4a8">
        <w:r>
          <w:rPr>
            <w:rStyle w:val="Hyperlink"/>
          </w:rPr>
          <w:t xml:space="preserve">14a-cli-commands — CLI: Command Structure</w:t>
        </w:r>
      </w:hyperlink>
    </w:p>
    <w:p>
      <w:pPr>
        <w:pStyle w:val="Compact"/>
        <w:numPr>
          <w:ilvl w:val="0"/>
          <w:numId w:val="1002"/>
        </w:numPr>
      </w:pPr>
      <w:hyperlink w:anchor="X21e34f443b76494704d8997a4f2bd8dbb8fe836">
        <w:r>
          <w:rPr>
            <w:rStyle w:val="Hyperlink"/>
          </w:rPr>
          <w:t xml:space="preserve">14b-cli-routing — CLI: Routing to Composition Boundary</w:t>
        </w:r>
      </w:hyperlink>
    </w:p>
    <w:p>
      <w:pPr>
        <w:pStyle w:val="Compact"/>
        <w:numPr>
          <w:ilvl w:val="0"/>
          <w:numId w:val="1002"/>
        </w:numPr>
      </w:pPr>
      <w:hyperlink w:anchor="X6b6c0058fadad35b1f24807a83969b36ca6f7ef">
        <w:r>
          <w:rPr>
            <w:rStyle w:val="Hyperlink"/>
          </w:rPr>
          <w:t xml:space="preserve">15-batch-executor-internals — BatchExecutor Internal Architecture</w:t>
        </w:r>
      </w:hyperlink>
    </w:p>
    <w:p>
      <w:pPr>
        <w:pStyle w:val="Compact"/>
        <w:numPr>
          <w:ilvl w:val="0"/>
          <w:numId w:val="1002"/>
        </w:numPr>
      </w:pPr>
      <w:hyperlink w:anchor="X33ca675d349453cc680a37ef07998c9836bc14d">
        <w:r>
          <w:rPr>
            <w:rStyle w:val="Hyperlink"/>
          </w:rPr>
          <w:t xml:space="preserve">16-transformer-hierarchy — Transformer Hierarchy</w:t>
        </w:r>
      </w:hyperlink>
    </w:p>
    <w:p>
      <w:pPr>
        <w:pStyle w:val="Compact"/>
        <w:numPr>
          <w:ilvl w:val="0"/>
          <w:numId w:val="1002"/>
        </w:numPr>
      </w:pPr>
      <w:hyperlink w:anchor="X6db4417e30180b443957a0157a97d8c5bd27db3">
        <w:r>
          <w:rPr>
            <w:rStyle w:val="Hyperlink"/>
          </w:rPr>
          <w:t xml:space="preserve">16a-transformer-base — Base Transformer and ChEMBL Transformers</w:t>
        </w:r>
      </w:hyperlink>
    </w:p>
    <w:p>
      <w:pPr>
        <w:pStyle w:val="Compact"/>
        <w:numPr>
          <w:ilvl w:val="0"/>
          <w:numId w:val="1002"/>
        </w:numPr>
      </w:pPr>
      <w:hyperlink w:anchor="X2eb9849dfbdb9a3e1d99c8c021d5b046dacbba0">
        <w:r>
          <w:rPr>
            <w:rStyle w:val="Hyperlink"/>
          </w:rPr>
          <w:t xml:space="preserve">16b-transformer-pub-other — Publication, UniProt, Other Transformers and Blocks</w:t>
        </w:r>
      </w:hyperlink>
    </w:p>
    <w:p>
      <w:pPr>
        <w:pStyle w:val="Compact"/>
        <w:numPr>
          <w:ilvl w:val="0"/>
          <w:numId w:val="1002"/>
        </w:numPr>
      </w:pPr>
      <w:hyperlink w:anchor="X95d5a1670fb1bae1099c74a776b0a15337980d2">
        <w:r>
          <w:rPr>
            <w:rStyle w:val="Hyperlink"/>
          </w:rPr>
          <w:t xml:space="preserve">17-security-pii-audit — Security, PII Hashing, and Audit Trail</w:t>
        </w:r>
      </w:hyperlink>
    </w:p>
    <w:p>
      <w:pPr>
        <w:pStyle w:val="Compact"/>
        <w:numPr>
          <w:ilvl w:val="0"/>
          <w:numId w:val="1002"/>
        </w:numPr>
      </w:pPr>
      <w:hyperlink w:anchor="X39f363dbe3996ddfe7385c8d0e9407cd0a3f11d">
        <w:r>
          <w:rPr>
            <w:rStyle w:val="Hyperlink"/>
          </w:rPr>
          <w:t xml:space="preserve">18-lock-checkpoint-shutdown — Locking, Checkpoint, and Graceful Shutdown</w:t>
        </w:r>
      </w:hyperlink>
    </w:p>
    <w:p>
      <w:pPr>
        <w:pStyle w:val="Compact"/>
        <w:numPr>
          <w:ilvl w:val="0"/>
          <w:numId w:val="1002"/>
        </w:numPr>
      </w:pPr>
      <w:hyperlink w:anchor="X898668cc371d5687bee0a6ffdb4aa12c4710058">
        <w:r>
          <w:rPr>
            <w:rStyle w:val="Hyperlink"/>
          </w:rPr>
          <w:t xml:space="preserve">18a-lock-system — Lock System</w:t>
        </w:r>
      </w:hyperlink>
    </w:p>
    <w:p>
      <w:pPr>
        <w:pStyle w:val="Compact"/>
        <w:numPr>
          <w:ilvl w:val="0"/>
          <w:numId w:val="1002"/>
        </w:numPr>
      </w:pPr>
      <w:hyperlink w:anchor="X269a2de74e5c259e2549d2d7cec809056b33277">
        <w:r>
          <w:rPr>
            <w:rStyle w:val="Hyperlink"/>
          </w:rPr>
          <w:t xml:space="preserve">18b-checkpoint-shutdown — Checkpoint and Shutdown System</w:t>
        </w:r>
      </w:hyperlink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01-high-level-hexagonal — High-Level Hexagonal Architecture</w:t>
      </w:r>
    </w:p>
    <w:p>
      <w:pPr>
        <w:pStyle w:val="CaptionedFigure"/>
      </w:pPr>
      <w:r>
        <w:drawing>
          <wp:inline>
            <wp:extent cx="5334000" cy="1810799"/>
            <wp:effectExtent b="0" l="0" r="0" t="0"/>
            <wp:docPr descr="01-high-level-hexagonal" title="" id="10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1-high-level-hexagona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01-high-level-hexagonal</w:t>
      </w:r>
    </w:p>
    <w:bookmarkStart w:id="12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«High-Level Hexagonal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Ports &amp; Adapters (Hexagonal) pattern across all layers.. Схема имеет плотность порядка 46 узлов и 29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External Systems, External APIs, interfaces layer, composition layer, application layer, domain layer (pure, no I/O). Показательные узлы для быстрого чтения: ChEMBL, PubMed, UniProt, PubChem, CrossRef, OpenAlex. Примечание: Decomposed into 01a, 01b, 01c sub-diagrams.</w:t>
      </w:r>
    </w:p>
    <w:bookmarkEnd w:id="12"/>
    <w:bookmarkStart w:id="16" w:name="метаданные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46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01a-hexagonal-overview — Hexagonal Overview</w:t>
      </w:r>
    </w:p>
    <w:p>
      <w:pPr>
        <w:pStyle w:val="CaptionedFigure"/>
      </w:pPr>
      <w:r>
        <w:drawing>
          <wp:inline>
            <wp:extent cx="5334000" cy="2934464"/>
            <wp:effectExtent b="0" l="0" r="0" t="0"/>
            <wp:docPr descr="01a-hexagonal-overview" title="" id="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1a-hexagonal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01a-hexagonal-overview</w:t>
      </w:r>
    </w:p>
    <w:bookmarkEnd w:id="16"/>
    <w:bookmarkStart w:id="17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Overview»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5 architectural layers, external systems, and main dependency directions.. Схема имеет плотность порядка 11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Interfaces Layer, Composition Layer, Application Layer, Domain Layer, Infrastructure Layer. Показательные узлы для быстрого чтения: CLI Commands (Click), Orchestration, Bootstrap / Assembly, Application Core, Port Protocols, Provider Adapters.</w:t>
      </w:r>
    </w:p>
    <w:bookmarkEnd w:id="17"/>
    <w:bookmarkStart w:id="21" w:name="метаданные-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01b-hexagonal-domain-app — Hexagonal Domain and Application</w:t>
      </w:r>
    </w:p>
    <w:p>
      <w:pPr>
        <w:pStyle w:val="CaptionedFigure"/>
      </w:pPr>
      <w:r>
        <w:drawing>
          <wp:inline>
            <wp:extent cx="5334000" cy="973247"/>
            <wp:effectExtent b="0" l="0" r="0" t="0"/>
            <wp:docPr descr="01b-hexagonal-domain-app" title="" id="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1b-hexagonal-domain-ap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01b-hexagonal-domain-app</w:t>
      </w:r>
    </w:p>
    <w:bookmarkEnd w:id="21"/>
    <w:bookmarkStart w:id="22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Domain and Application»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domain contracts and core application services that depend on them.. Схема имеет плотность порядка 13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Application Layer, Domain Layer. Показательные узлы для быстрого чтения: Core (Runner, Executor, Transformer, Writer), Services (DQ, Export, Health, Lifecycle), Composite Pipeline (Coordinator, Merger, FSM), Pipeline Transformers (per provider), PipelineObserver, Port Protocols.</w:t>
      </w:r>
    </w:p>
    <w:bookmarkEnd w:id="22"/>
    <w:bookmarkStart w:id="26" w:name="метаданные-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01c-hexagonal-infra-comp — Hexagonal Infrastructure and Composition</w:t>
      </w:r>
    </w:p>
    <w:p>
      <w:pPr>
        <w:pStyle w:val="CaptionedFigure"/>
      </w:pPr>
      <w:r>
        <w:drawing>
          <wp:inline>
            <wp:extent cx="5334000" cy="1449739"/>
            <wp:effectExtent b="0" l="0" r="0" t="0"/>
            <wp:docPr descr="01c-hexagonal-infra-comp" title="" id="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1c-hexagonal-infra-com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01c-hexagonal-infra-comp</w:t>
      </w:r>
    </w:p>
    <w:bookmarkEnd w:id="26"/>
    <w:bookmarkStart w:id="27" w:name="описание-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Infrastructure and Composition»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infrastructure adapters and composition-root wiring points.. Схема имеет плотность порядка 14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Composition Layer, Infrastructure Layer, Domain Layer. Показательные узлы для быстрого чтения: Bootstrap / Assembly, Factories, Provider Registry, Runtime Builders, HTTP Adapters, Storage.</w:t>
      </w:r>
    </w:p>
    <w:bookmarkEnd w:id="27"/>
    <w:bookmarkStart w:id="31" w:name="метаданные-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01d-hexagonal-overview-rounded — Hexagonal Overview (Rounded Nodes)</w:t>
      </w:r>
    </w:p>
    <w:p>
      <w:pPr>
        <w:pStyle w:val="CaptionedFigure"/>
      </w:pPr>
      <w:r>
        <w:drawing>
          <wp:inline>
            <wp:extent cx="5334000" cy="2934464"/>
            <wp:effectExtent b="0" l="0" r="0" t="0"/>
            <wp:docPr descr="01d-hexagonal-overview-rounded" title="" id="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1d-hexagonal-overview-round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01d-hexagonal-overview-rounded</w:t>
      </w:r>
    </w:p>
    <w:bookmarkEnd w:id="31"/>
    <w:bookmarkStart w:id="32" w:name="описание-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Overview (Rounded Nodes)»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5 architectural layers, external systems, and main dependency directions.. Схема имеет плотность порядка 11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Interfaces Layer, Composition Layer, Application Layer, Domain Layer, Infrastructure Layer. Показательные узлы для быстрого чтения: CLI Commands (Click), Orchestration, Bootstrap / Assembly, Application Core, Port Protocols, Provider Adapters.</w:t>
      </w:r>
    </w:p>
    <w:bookmarkEnd w:id="32"/>
    <w:bookmarkStart w:id="36" w:name="метаданные-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2026-03-01</w:t>
      </w:r>
    </w:p>
    <w:p>
      <w:pPr>
        <w:pStyle w:val="Compact"/>
        <w:numPr>
          <w:ilvl w:val="0"/>
          <w:numId w:val="100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02-layer-dependency-matrix — Layer Dependency Matrix (ARCH-001)</w:t>
      </w:r>
    </w:p>
    <w:p>
      <w:pPr>
        <w:pStyle w:val="CaptionedFigure"/>
      </w:pPr>
      <w:r>
        <w:drawing>
          <wp:inline>
            <wp:extent cx="5334000" cy="7871218"/>
            <wp:effectExtent b="0" l="0" r="0" t="0"/>
            <wp:docPr descr="02-layer-dependency-matrix" title="" id="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2-layer-dependency-matri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02-layer-dependency-matrix</w:t>
      </w:r>
    </w:p>
    <w:bookmarkEnd w:id="36"/>
    <w:bookmarkStart w:id="37" w:name="описание-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«Layer Dependency Matrix (ARCH-001)»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Enforced import boundaries between architectural layers.. Схема имеет плотность порядка 5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Legend, Architectural Layers. Показательные узлы для быстрого чтения: ✅ Allowed, ❌ Forbidden, domain (pure business logic, no I/O, no frameworks), application (use cases, orchestration, transformers), infrastructure (adapters, storage, observability), composition (DI wiring, factories, bootstrap).</w:t>
      </w:r>
    </w:p>
    <w:bookmarkEnd w:id="37"/>
    <w:bookmarkStart w:id="41" w:name="метаданные-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5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03-medallion-data-flow — Medallion Architecture Data Flow (Bronze → Silver → Gold)</w:t>
      </w:r>
    </w:p>
    <w:p>
      <w:pPr>
        <w:pStyle w:val="CaptionedFigure"/>
      </w:pPr>
      <w:r>
        <w:drawing>
          <wp:inline>
            <wp:extent cx="5334000" cy="856051"/>
            <wp:effectExtent b="0" l="0" r="0" t="0"/>
            <wp:docPr descr="03-medallion-data-flow" title="" id="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3-medallion-data-flo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</w:t>
      </w:r>
    </w:p>
    <w:bookmarkEnd w:id="41"/>
    <w:bookmarkStart w:id="42" w:name="описание-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Data Flow (Bronze → Silver → Gold)»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data flows through the three medallion layers.. Схема имеет плотность порядка 36 узлов и 31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External Data Sources, Data Ingestion, Bronze Layer (Raw), Transformation, Silver Layer (Normalized), Gold Transformation. Показательные узлы для быстрого чтения: Semantic Scholar API, DataSourcePort fetch() / fetch_filtered(), RateLimiter (TokenBucket), CircuitBreaker, Retry Logic, BronzeWriter. Примечание: Canonical medallion flow — at threshold boundary.</w:t>
      </w:r>
    </w:p>
    <w:bookmarkEnd w:id="42"/>
    <w:bookmarkStart w:id="46" w:name="метаданные-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36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03a-medallion-layers-overview — Medallion Layers Overview</w:t>
      </w:r>
    </w:p>
    <w:p>
      <w:pPr>
        <w:pStyle w:val="CaptionedFigure"/>
      </w:pPr>
      <w:r>
        <w:drawing>
          <wp:inline>
            <wp:extent cx="5334000" cy="454741"/>
            <wp:effectExtent b="0" l="0" r="0" t="0"/>
            <wp:docPr descr="03a-medallion-layers-overview" title="" id="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3a-medallion-layers-overvie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03a-medallion-layers-overview</w:t>
      </w:r>
    </w:p>
    <w:bookmarkEnd w:id="46"/>
    <w:bookmarkStart w:id="47" w:name="описание-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Layers Overview»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Compact decomposition view for 03-medallion-data-flow.mmd (layer-level semantics). Схема имеет плотность порядка 12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Ingestion, Processing, Serving. Показательные узлы для быстрого чтения: Provider APIs, Bronze Layer</w:t>
      </w:r>
      <w:r>
        <w:t xml:space="preserve">JSON, Normalize + Validate, Silver Layer</w:t>
      </w:r>
      <w:r>
        <w:t xml:space="preserve">Tables, DQ Checks, Quarantine. Связанный ADR: ADR-002, ADR-040.</w:t>
      </w:r>
    </w:p>
    <w:bookmarkEnd w:id="47"/>
    <w:bookmarkStart w:id="51" w:name="метаданные-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pPr>
        <w:pStyle w:val="Compact"/>
        <w:numPr>
          <w:ilvl w:val="0"/>
          <w:numId w:val="1010"/>
        </w:numPr>
      </w:pPr>
      <w:r>
        <w:t xml:space="preserve">ADR:</w:t>
      </w:r>
      <w:r>
        <w:t xml:space="preserve"> </w:t>
      </w:r>
      <w:r>
        <w:rPr>
          <w:rStyle w:val="VerbatimChar"/>
        </w:rPr>
        <w:t xml:space="preserve">ADR-002, ADR-040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04-pipeline-execution-flow — Pipeline Execution Lifecycle</w:t>
      </w:r>
    </w:p>
    <w:p>
      <w:pPr>
        <w:pStyle w:val="CaptionedFigure"/>
      </w:pPr>
      <w:r>
        <w:drawing>
          <wp:inline>
            <wp:extent cx="5334000" cy="4756202"/>
            <wp:effectExtent b="0" l="0" r="0" t="0"/>
            <wp:docPr descr="04-pipeline-execution-flow" title="" id="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4-pipeline-execution-flo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04-pipeline-execution-flow</w:t>
      </w:r>
    </w:p>
    <w:bookmarkEnd w:id="51"/>
    <w:bookmarkStart w:id="52" w:name="описание-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Execution Lifecycle» из architecture-набора детализирует конкретный архитектурный компонент или подсистему BioETL. Она представлена в формате диаграмма последовательности (sequence) и служит ориентиром на уровне детализации «System / Component». В комментариях исходника зафиксирован фокус диаграммы: Sequence of phases in a single pipeline run.. Схема имеет плотность порядка 12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</w:t>
      </w:r>
    </w:p>
    <w:bookmarkEnd w:id="52"/>
    <w:bookmarkStart w:id="56" w:name="метаданные-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1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05-provider-adapter-hierarchy — Provider Adapter Hierarchy</w:t>
      </w:r>
    </w:p>
    <w:p>
      <w:pPr>
        <w:pStyle w:val="CaptionedFigure"/>
      </w:pPr>
      <w:r>
        <w:drawing>
          <wp:inline>
            <wp:extent cx="5334000" cy="1241956"/>
            <wp:effectExtent b="0" l="0" r="0" t="0"/>
            <wp:docPr descr="05-provider-adapter-hierarchy" title="" id="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5-provider-adapter-hierarch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05-provider-adapter-hierarchy</w:t>
      </w:r>
    </w:p>
    <w:bookmarkEnd w:id="56"/>
    <w:bookmarkStart w:id="57" w:name="описание-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«Provider Adapter Hierarchy»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each provider adapter inherits from base classes and implements DataSourcePort.. Схема имеет плотность порядка 27 узлов и 24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Mixins, Base Adapters, ChEMBL, PubMed, UniProt. Показательные узлы для быстрого чтения: DataSourcePort (Protocol), HealthCheckPort (Protocol), HealthCheckMixin, HealthCheckProviderMixin, NotSupportedMultiFilterMixin, DelegatingFallbackMixin. Примечание: Decomposed into 05a, 05b sub-diagrams.</w:t>
      </w:r>
    </w:p>
    <w:bookmarkEnd w:id="57"/>
    <w:bookmarkStart w:id="61" w:name="метаданные-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05a-adapter-hierarchy-base — Adapter Hierarchy: Base Types</w:t>
      </w:r>
    </w:p>
    <w:p>
      <w:pPr>
        <w:pStyle w:val="CaptionedFigure"/>
      </w:pPr>
      <w:r>
        <w:drawing>
          <wp:inline>
            <wp:extent cx="5334000" cy="1369200"/>
            <wp:effectExtent b="0" l="0" r="0" t="0"/>
            <wp:docPr descr="05a-adapter-hierarchy-base" title="" id="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5a-adapter-hierarchy-bas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05a-adapter-hierarchy-base</w:t>
      </w:r>
    </w:p>
    <w:bookmarkEnd w:id="61"/>
    <w:bookmarkStart w:id="62" w:name="описание-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«Adapter Hierarchy: Base Types»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core ports, base adapters, reusable mixins, and adapter decorators.. Схема имеет плотность порядка 12 узлов и 8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DataSourcePort, HealthCheckPort, HealthCheckProviderMixin, NotSupportedMultiFilterMixin, FilterableStubMixin, PaginatedFetcherMixin.</w:t>
      </w:r>
    </w:p>
    <w:bookmarkEnd w:id="62"/>
    <w:bookmarkStart w:id="66" w:name="метаданные-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1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05b-adapter-hierarchy-providers — Adapter Hierarchy: Provider Implementations</w:t>
      </w:r>
    </w:p>
    <w:p>
      <w:pPr>
        <w:pStyle w:val="CaptionedFigure"/>
      </w:pPr>
      <w:r>
        <w:drawing>
          <wp:inline>
            <wp:extent cx="5334000" cy="600845"/>
            <wp:effectExtent b="0" l="0" r="0" t="0"/>
            <wp:docPr descr="05b-adapter-hierarchy-providers" title="" id="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5b-adapter-hierarchy-provider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05b-adapter-hierarchy-providers</w:t>
      </w:r>
    </w:p>
    <w:bookmarkEnd w:id="66"/>
    <w:bookmarkStart w:id="67" w:name="описание-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«Adapter Hierarchy: Provider Implementations»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concrete provider adapters and provider-specific mixins.. Схема имеет плотность порядка 15 узлов и 12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Infrastructure Layer. Показательные узлы для быстрого чтения: BaseHttpAdapter, BaseSyncAdapter, ChemblAdapter, PubMedAdapter, UniProtAdapter, CrossRefAdapter.</w:t>
      </w:r>
    </w:p>
    <w:bookmarkEnd w:id="67"/>
    <w:bookmarkStart w:id="71" w:name="метаданные-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1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06-storage-layer — Storage Layer Components</w:t>
      </w:r>
    </w:p>
    <w:p>
      <w:pPr>
        <w:pStyle w:val="CaptionedFigure"/>
      </w:pPr>
      <w:r>
        <w:drawing>
          <wp:inline>
            <wp:extent cx="5334000" cy="4724982"/>
            <wp:effectExtent b="0" l="0" r="0" t="0"/>
            <wp:docPr descr="06-storage-layer" title="" id="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6-storage-laye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06-storage-layer</w:t>
      </w:r>
    </w:p>
    <w:bookmarkEnd w:id="71"/>
    <w:bookmarkStart w:id="72" w:name="описание-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Layer Components»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Bronze/Silver/Gold writers, metadata sidecar zones, Delta Lake, and validation.. Схема имеет плотность порядка 23 узлов и 27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Port, Storage Writers, Bronze Storage, Silver Storage, Gold Storage, Delta Reader. Показательные узлы для быстрого чтения: StoragePort (Protocol), AtomicWriteGroup ━━━━━━━━━━━━━━━━━ Atomic multi-file writes with rollback, ArrowDataConverter (records → PyArrow), RetentionPolicy (vacuum/retention), MetadataWriter write_bronze / write_silver / write_gold, CsvExporter (Delta → CSV export). Примечание: Decomposed into 06a-storage-writers, 06b-storage-support.</w:t>
      </w:r>
    </w:p>
    <w:bookmarkEnd w:id="72"/>
    <w:bookmarkStart w:id="76" w:name="метаданные-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23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06a-storage-writers — Storage Writers</w:t>
      </w:r>
    </w:p>
    <w:p>
      <w:pPr>
        <w:pStyle w:val="CaptionedFigure"/>
      </w:pPr>
      <w:r>
        <w:drawing>
          <wp:inline>
            <wp:extent cx="5334000" cy="5572306"/>
            <wp:effectExtent b="0" l="0" r="0" t="0"/>
            <wp:docPr descr="06a-storage-writers" title="" id="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6a-storage-writer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06a-storage-writers</w:t>
      </w:r>
    </w:p>
    <w:bookmarkEnd w:id="76"/>
    <w:bookmarkStart w:id="77" w:name="описание-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Writers»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Bronze/Silver/Gold writers with Delta Lake base class, port contract, and file system layout.. Схема имеет плотность порядка 10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Port, Bronze Storage, Silver Storage, Gold Storage, Delta Reader, File System Layout. Показательные узлы для быстрого чтения: StoragePort (Protocol), BronzeWriter write_bronze() / aclose(), AtomicWriteGroup atomic multi-file writes, BaseDeltaWriter get_table_path() / clear(), SilverWriter write_silver() / merge_silver(), GoldWriter write_gold() / clear_gold().</w:t>
      </w:r>
    </w:p>
    <w:bookmarkEnd w:id="77"/>
    <w:bookmarkStart w:id="81" w:name="метаданные-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06b-storage-support — Storage Support Components</w:t>
      </w:r>
    </w:p>
    <w:p>
      <w:pPr>
        <w:pStyle w:val="CaptionedFigure"/>
      </w:pPr>
      <w:r>
        <w:drawing>
          <wp:inline>
            <wp:extent cx="5334000" cy="497260"/>
            <wp:effectExtent b="0" l="0" r="0" t="0"/>
            <wp:docPr descr="06b-storage-support" title="" id="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6b-storage-support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06b-storage-support</w:t>
      </w:r>
    </w:p>
    <w:bookmarkEnd w:id="81"/>
    <w:bookmarkStart w:id="82" w:name="описание-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Support Components»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Support utilities, metadata write-preparation zones, validators, and metadata builders for the storage layer.. Схема имеет плотность порядка 14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Support Components, Validation, Metadata Builders. Показательные узлы для быстрого чтения: ArrowDataConverter records → PyArrow, RetentionPolicy vacuum / retention, MetadataWriter layer-specific metadata writes, metadata_writer_operations target + YAML + retry telemetry, CsvExporter Delta → CSV export, DQReportWriter DQ reports JSON.</w:t>
      </w:r>
    </w:p>
    <w:bookmarkEnd w:id="82"/>
    <w:bookmarkStart w:id="86" w:name="метаданные-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07-dq-system — Data Quality (DQ) System</w:t>
      </w:r>
    </w:p>
    <w:p>
      <w:pPr>
        <w:pStyle w:val="CaptionedFigure"/>
      </w:pPr>
      <w:r>
        <w:drawing>
          <wp:inline>
            <wp:extent cx="5334000" cy="2588471"/>
            <wp:effectExtent b="0" l="0" r="0" t="0"/>
            <wp:docPr descr="07-dq-system" title="" id="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7-dq-system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07-dq-system</w:t>
      </w:r>
    </w:p>
    <w:bookmarkEnd w:id="86"/>
    <w:bookmarkStart w:id="87" w:name="описание-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 Quality (DQ)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DQ monitoring, analysis, and reporting across all medallion layers.. Схема имеет плотность порядка 22 узлов и 24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Application Services, Application DQ Analysis, Pipeline Integration, Domain Value Objects, Infrastructure Implementations. Показательные узлы для быстрого чтения: DQMonitorPort, BronzeDQAnalyzerPort, SilverDQAnalyzerPort, GoldDQAnalyzerPort, DQReportWriterPort, DataQualityService ——– + evaluate(context, executor). Примечание: Decomposed into 07a-dq-analysis, 07b-dq-pipeline.</w:t>
      </w:r>
    </w:p>
    <w:bookmarkEnd w:id="87"/>
    <w:bookmarkStart w:id="91" w:name="метаданные-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22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07a-dq-analysis — DQ Analysis Services</w:t>
      </w:r>
    </w:p>
    <w:p>
      <w:pPr>
        <w:pStyle w:val="CaptionedFigure"/>
      </w:pPr>
      <w:r>
        <w:drawing>
          <wp:inline>
            <wp:extent cx="5334000" cy="2953026"/>
            <wp:effectExtent b="0" l="0" r="0" t="0"/>
            <wp:docPr descr="07a-dq-analysis" title="" id="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7a-dq-analysi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07a-dq-analysis</w:t>
      </w:r>
    </w:p>
    <w:bookmarkEnd w:id="91"/>
    <w:bookmarkStart w:id="92" w:name="описание-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«DQ Analysis Services»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Domain ports, application services, analyzers, and anomaly detection for Data Quality.. Схема имеет плотность порядка 12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Application Services, DQ Analyzers, Anomaly Detection. Показательные узлы для быстрого чтения: DQMonitorPort, BronzeDQAnalyzerPort, SilverDQAnalyzerPort, GoldDQAnalyzerPort, DQReportWriterPort, DataQualityService evaluate(context, executor).</w:t>
      </w:r>
    </w:p>
    <w:bookmarkEnd w:id="92"/>
    <w:bookmarkStart w:id="96" w:name="метаданные-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07b-dq-pipeline — DQ Pipeline Integration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07b-dq-pipeline" title="" id="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7b-dq-pipelin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07b-dq-pipeline</w:t>
      </w:r>
    </w:p>
    <w:bookmarkEnd w:id="96"/>
    <w:bookmarkStart w:id="97" w:name="описание-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«DQ Pipeline Integration»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Pipeline DQ checks, domain value objects, and infrastructure config/report writers.. Схема имеет плотность порядка 10 узлов и 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Pipeline Integration, Domain Value Objects, Infrastructure Implementations. Показательные узлы для быстрого чтения: BatchTransformer _check_dq_thresholds(), QuarantineManager quarantines failed records, ErrorClassifier recoverable vs fatal, DQMetrics null_rate / duplicate_rate, DQResult passed / error_rate, DQReport layer / table_name / results.</w:t>
      </w:r>
    </w:p>
    <w:bookmarkEnd w:id="97"/>
    <w:bookmarkStart w:id="101" w:name="метаданные-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08-composite-pipeline — Composite Pipeline Architecture</w:t>
      </w:r>
    </w:p>
    <w:p>
      <w:pPr>
        <w:pStyle w:val="CaptionedFigure"/>
      </w:pPr>
      <w:r>
        <w:drawing>
          <wp:inline>
            <wp:extent cx="5334000" cy="3817574"/>
            <wp:effectExtent b="0" l="0" r="0" t="0"/>
            <wp:docPr descr="08-composite-pipeline" title="" id="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8-composite-pipelin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08-composite-pipeline</w:t>
      </w:r>
    </w:p>
    <w:bookmarkEnd w:id="101"/>
    <w:bookmarkStart w:id="102" w:name="описание-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seed → dependencies → enrichers (parallel) → merge flow.. Схема имеет плотность порядка 33 узлов и 34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Composite Configuration, CompositePipelineRunner, State Machine, Execution Components, Dependencies (Sequential), Enrichers (Parallel Fan-Out). Показательные узлы для быстрого чтения: CompositeConfig, SeedConfig, DependencyConfig, EnricherConfig, MergeConfig, Config overview seed + dependencies enrichers + merge. Примечание: Decomposed into 08a-composite-config, 08b-composite-execution.</w:t>
      </w:r>
    </w:p>
    <w:bookmarkEnd w:id="102"/>
    <w:bookmarkStart w:id="106" w:name="метаданные-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33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08a-composite-config — Composite Pipeline Configuration &amp; FSM</w:t>
      </w:r>
    </w:p>
    <w:p>
      <w:pPr>
        <w:pStyle w:val="CaptionedFigure"/>
      </w:pPr>
      <w:r>
        <w:drawing>
          <wp:inline>
            <wp:extent cx="5334000" cy="2028078"/>
            <wp:effectExtent b="0" l="0" r="0" t="0"/>
            <wp:docPr descr="08a-composite-config" title="" id="1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8a-composite-config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08a-composite-config</w:t>
      </w:r>
    </w:p>
    <w:bookmarkEnd w:id="106"/>
    <w:bookmarkStart w:id="107" w:name="описание-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Configuration &amp; FSM»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Config hierarchy (CompositeConfig → sub-configs) and execution state machine.. Схема имеет плотность порядка 13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Composite Configuration, State Machine. Показательные узлы для быстрого чтения: CompositeConfig name / seed / deps / enrichers / merge, SeedConfig, DependencyConfig, EnricherConfig, MergeConfig, Config Details: seed → deps → enrichers → merge.</w:t>
      </w:r>
    </w:p>
    <w:bookmarkEnd w:id="107"/>
    <w:bookmarkStart w:id="111" w:name="метаданные-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08b-composite-execution — Composite Pipeline Execution</w:t>
      </w:r>
    </w:p>
    <w:p>
      <w:pPr>
        <w:pStyle w:val="CaptionedFigure"/>
      </w:pPr>
      <w:r>
        <w:drawing>
          <wp:inline>
            <wp:extent cx="5334000" cy="3989151"/>
            <wp:effectExtent b="0" l="0" r="0" t="0"/>
            <wp:docPr descr="08b-composite-execution" title="" id="1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8b-composite-execution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08b-composite-execution</w:t>
      </w:r>
    </w:p>
    <w:bookmarkEnd w:id="111"/>
    <w:bookmarkStart w:id="112" w:name="описание-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Execution»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Runner orchestration: seed → deps → enrichers (parallel) → merge, with checkpointing and cross-validation.. Схема имеет плотность порядка 20 узлов и 20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CompositePipelineRunner, Preflight, Execution Components, Dependencies (Sequential), Enrichers (Parallel Fan-Out), Merge Phase. Показательные узлы для быстрого чтения: CompositePipelineRunner orchestrates full execution, PreflightValidator, Seed Pipeline, DependencyCoordinator, Dependency 1, EnrichmentCoordinator.</w:t>
      </w:r>
    </w:p>
    <w:bookmarkEnd w:id="112"/>
    <w:bookmarkStart w:id="116" w:name="метаданные-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09-observability-stack — Observability Stack</w:t>
      </w:r>
    </w:p>
    <w:p>
      <w:pPr>
        <w:pStyle w:val="CaptionedFigure"/>
      </w:pPr>
      <w:r>
        <w:drawing>
          <wp:inline>
            <wp:extent cx="5334000" cy="3594272"/>
            <wp:effectExtent b="0" l="0" r="0" t="0"/>
            <wp:docPr descr="09-observability-stack" title="" id="1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9-observability-stack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09-observability-stack</w:t>
      </w:r>
    </w:p>
    <w:bookmarkEnd w:id="116"/>
    <w:bookmarkStart w:id="117" w:name="описание-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 Stack»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Logging, Metrics, Tracing architecture.. Схема имеет плотность порядка 24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Application Observability, Infrastructure: Logging, Infrastructure: Metrics, Infrastructure: Tracing, Infrastructure: Anomaly Detection. Показательные узлы для быстрого чтения: LoggerPort (Protocol) bind + info/warn/error/debug/exception, MetricsPort (Protocol) observe_histogram + increment_counter set_gauge + close, TracingPort (Protocol) get_tracer + close, DQMonitorPort (Protocol) add_metric + check_quality update_baseline, PipelineObserver logger + metrics + tracing hooks, BatchMetricsRecorderService track size/processed/error/quarantine. Примечание: Decomposed into 09a-observability-app, 09b-observability-infra.</w:t>
      </w:r>
    </w:p>
    <w:bookmarkEnd w:id="117"/>
    <w:bookmarkStart w:id="121" w:name="метаданные-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24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09a-observability-app — Observability: Application Layer</w:t>
      </w:r>
    </w:p>
    <w:p>
      <w:pPr>
        <w:pStyle w:val="CaptionedFigure"/>
      </w:pPr>
      <w:r>
        <w:drawing>
          <wp:inline>
            <wp:extent cx="5334000" cy="1629710"/>
            <wp:effectExtent b="0" l="0" r="0" t="0"/>
            <wp:docPr descr="09a-observability-app" title="" id="1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9a-observability-app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09a-observability-app</w:t>
      </w:r>
    </w:p>
    <w:bookmarkEnd w:id="121"/>
    <w:bookmarkStart w:id="122" w:name="описание-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«Observability: Application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Application-level observability: ports, pipeline observer, batch metrics, adapter metrics.. Схема имеет плотность порядка 8 узлов и 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Application Observability, Adapter-Level Metrics. Показательные узлы для быстрого чтения: LoggerPort (Protocol), MetricsPort (Protocol), TracingPort (Protocol), DQMonitorPort (Protocol), PipelineObserver, BatchMetricsRecorderService.</w:t>
      </w:r>
    </w:p>
    <w:bookmarkEnd w:id="122"/>
    <w:bookmarkStart w:id="126" w:name="метаданные-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8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09b-observability-infra — Observability: Infrastructure Layer</w:t>
      </w:r>
    </w:p>
    <w:p>
      <w:pPr>
        <w:pStyle w:val="CaptionedFigure"/>
      </w:pPr>
      <w:r>
        <w:drawing>
          <wp:inline>
            <wp:extent cx="5334000" cy="1990725"/>
            <wp:effectExtent b="0" l="0" r="0" t="0"/>
            <wp:docPr descr="09b-observability-infra" title="" id="1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09b-observability-infr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09b-observability-infra</w:t>
      </w:r>
    </w:p>
    <w:bookmarkEnd w:id="126"/>
    <w:bookmarkStart w:id="127" w:name="описание-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«Observability: Infrastructure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Infrastructure implementations: logging, metrics, tracing, anomaly detection, external systems.. Схема имеет плотность порядка 13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Infrastructure: Logging, Infrastructure: Metrics, Infrastructure: Tracing, Infrastructure: Anomaly Detection, External Systems. Показательные узлы для быстрого чтения: UnifiedLogger (impl LoggerPort), MetricsCollector (impl MetricsPort), PrometheusMetrics (impl MetricsPort), MetricsServerAdapter, NoOpMetrics, OpenTelemetryTracer (impl TracingPort).</w:t>
      </w:r>
    </w:p>
    <w:bookmarkEnd w:id="127"/>
    <w:bookmarkStart w:id="131" w:name="метаданные-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10-resilience-patterns — Resilience Patterns</w:t>
      </w:r>
    </w:p>
    <w:p>
      <w:pPr>
        <w:pStyle w:val="CaptionedFigure"/>
      </w:pPr>
      <w:r>
        <w:drawing>
          <wp:inline>
            <wp:extent cx="5334000" cy="2527340"/>
            <wp:effectExtent b="0" l="0" r="0" t="0"/>
            <wp:docPr descr="10-resilience-patterns" title="" id="1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0-resilience-patterns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10-resilience-patterns</w:t>
      </w:r>
    </w:p>
    <w:bookmarkEnd w:id="131"/>
    <w:bookmarkStart w:id="132" w:name="описание-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«Resilience Patterns»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Circuit Breaker, Rate Limiter, Retry, Health Check patterns.. Схема имеет плотность порядка 15 узлов и 13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Circuit Breaker Pattern, State Machine, Rate Limiter (Token Bucket), Provider Rate Limits, Retry Logic. Показательные узлы для быстрого чтения: CircuitBreakerPort (Protocol) ——– + get_state() + call(fn), RateLimiterPort (Protocol) ——– + acquire(tokens) + try_acquire(), HealthCheckPort (Protocol) ——– + check_health(), CircuitBreaker ——– provider failure_threshold recovery_timeout, CLOSED (normal operation), OPEN (fail fast).</w:t>
      </w:r>
    </w:p>
    <w:bookmarkEnd w:id="132"/>
    <w:bookmarkStart w:id="136" w:name="метаданные-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11-configuration-system — Configuration System</w:t>
      </w:r>
    </w:p>
    <w:p>
      <w:pPr>
        <w:pStyle w:val="CaptionedFigure"/>
      </w:pPr>
      <w:r>
        <w:drawing>
          <wp:inline>
            <wp:extent cx="5334000" cy="2169468"/>
            <wp:effectExtent b="0" l="0" r="0" t="0"/>
            <wp:docPr descr="11-configuration-system" title="" id="1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1-configuration-system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11-configuration-system</w:t>
      </w:r>
    </w:p>
    <w:bookmarkEnd w:id="136"/>
    <w:bookmarkStart w:id="137" w:name="описание-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YAML configs are loaded, validated, and used across the system.. Схема имеет плотность порядка 27 узлов и 25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YAML Config Files, Infrastructure Config Loaders, Infrastructure Schemas (Pydantic), Domain Configuration, Composite Domain Config, Application Config. Показательные узлы для быстрого чтения: configs/base/</w:t>
      </w:r>
      <w:r>
        <w:rPr>
          <w:i/>
          <w:iCs/>
        </w:rPr>
        <w:t xml:space="preserve">.yaml pipeline and quality defaults, configs/providers/</w:t>
      </w:r>
      <w:r>
        <w:t xml:space="preserve">.yaml source plus provider defaults, configs/entities/</w:t>
      </w:r>
      <w:r>
        <w:rPr>
          <w:i/>
          <w:iCs/>
        </w:rPr>
        <w:t xml:space="preserve">/</w:t>
      </w:r>
      <w:r>
        <w:t xml:space="preserve">.yaml unified entity configs, configs/composites/*.yaml composite configs, PipelineConfigLoader load(path) -&gt; PipelineConfig, DQConfigLoader load(path) -&gt; DQConfig. Примечание: Decomposed into 11a-config-loading, 11b-config-domain.</w:t>
      </w:r>
    </w:p>
    <w:bookmarkEnd w:id="137"/>
    <w:bookmarkStart w:id="141" w:name="метаданные-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11a-config-loading — Configuration: Loading Pipeline</w:t>
      </w:r>
    </w:p>
    <w:p>
      <w:pPr>
        <w:pStyle w:val="CaptionedFigure"/>
      </w:pPr>
      <w:r>
        <w:drawing>
          <wp:inline>
            <wp:extent cx="5334000" cy="1809399"/>
            <wp:effectExtent b="0" l="0" r="0" t="0"/>
            <wp:docPr descr="11a-config-loading" title="" id="1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1a-config-loading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11a-config-loading</w:t>
      </w:r>
    </w:p>
    <w:bookmarkEnd w:id="141"/>
    <w:bookmarkStart w:id="142" w:name="описание-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«Configuration: Loading Pipeline»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YAML files, config loaders, and infrastructure schemas (Pydantic validation).. Схема имеет плотность порядка 11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YAML Config Files, Infrastructure Config Loaders, Infrastructure Schemas (Pydantic). Показательные узлы для быстрого чтения: configs/base/</w:t>
      </w:r>
      <w:r>
        <w:rPr>
          <w:i/>
          <w:iCs/>
        </w:rPr>
        <w:t xml:space="preserve">.yaml, configs/providers/</w:t>
      </w:r>
      <w:r>
        <w:t xml:space="preserve">.yaml, configs/entities/</w:t>
      </w:r>
      <w:r>
        <w:rPr>
          <w:i/>
          <w:iCs/>
        </w:rPr>
        <w:t xml:space="preserve">/</w:t>
      </w:r>
      <w:r>
        <w:t xml:space="preserve">.yaml, configs/composites/*.yaml, BaseConfigLoader, PipelineConfigLoader.</w:t>
      </w:r>
    </w:p>
    <w:bookmarkEnd w:id="142"/>
    <w:bookmarkStart w:id="146" w:name="метаданные-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11b-config-domain — Configuration: Domain &amp; Application Config</w:t>
      </w:r>
    </w:p>
    <w:p>
      <w:pPr>
        <w:pStyle w:val="CaptionedFigure"/>
      </w:pPr>
      <w:r>
        <w:drawing>
          <wp:inline>
            <wp:extent cx="5334000" cy="461170"/>
            <wp:effectExtent b="0" l="0" r="0" t="0"/>
            <wp:docPr descr="11b-config-domain" title="" id="1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1b-config-domain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11b-config-domain</w:t>
      </w:r>
    </w:p>
    <w:bookmarkEnd w:id="146"/>
    <w:bookmarkStart w:id="147" w:name="описание-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«Configuration: Domain &amp; Application Config»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Domain config objects, composite config, application config, and infrastructure settings.. Схема имеет плотность порядка 16 узлов и 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Infrastructure Schemas, Domain Configuration, Composite Domain Config, Application Config, Infrastructure Settings. Показательные узлы для быстрого чтения: ApiConfig, SourceConfig, CircuitBreakerConfig, PipelineContractPolicy, PipelineConfig, TableConfig.</w:t>
      </w:r>
    </w:p>
    <w:bookmarkEnd w:id="147"/>
    <w:bookmarkStart w:id="151" w:name="метаданные-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12-bootstrap-di-container — Bootstrap / DI Container (Composition Root)</w:t>
      </w:r>
    </w:p>
    <w:p>
      <w:pPr>
        <w:pStyle w:val="CaptionedFigure"/>
      </w:pPr>
      <w:r>
        <w:drawing>
          <wp:inline>
            <wp:extent cx="5334000" cy="5877786"/>
            <wp:effectExtent b="0" l="0" r="0" t="0"/>
            <wp:docPr descr="12-bootstrap-di-container" title="" id="1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2-bootstrap-di-container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12-bootstrap-di-container</w:t>
      </w:r>
    </w:p>
    <w:bookmarkEnd w:id="151"/>
    <w:bookmarkStart w:id="152" w:name="описание-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 / DI Container (Composition Root)»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current narrow public APIs plus retained broad seam used to assemble runtime and admin services.. Схема имеет плотность порядка 20 узлов и 31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Public composition seams, Internal composition modules, Registries + factories, Runtime bootstrap, CLI/bootstrap services, Created collaborators. Показательные узлы для быстрого чтения: Entry callers CLI + tests/scripts + future API, composition.execution_api preferred execution seam, composition.services_api preferred services seam, composition.resources_api preferred resource seam, composition.entrypoints retained broad facade, composition.bootstrap runtime / cli / assembly. Примечание: Decomposed into 12a, 12b sub-diagrams.</w:t>
      </w:r>
    </w:p>
    <w:bookmarkEnd w:id="152"/>
    <w:bookmarkStart w:id="156" w:name="метаданные-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12a-bootstrap-factories — Bootstrap: Registries, Public APIs, and Factory Seams</w:t>
      </w:r>
    </w:p>
    <w:p>
      <w:pPr>
        <w:pStyle w:val="CaptionedFigure"/>
      </w:pPr>
      <w:r>
        <w:drawing>
          <wp:inline>
            <wp:extent cx="5334000" cy="2611348"/>
            <wp:effectExtent b="0" l="0" r="0" t="0"/>
            <wp:docPr descr="12a-bootstrap-factories" title="" id="1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2a-bootstrap-factories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12a-bootstrap-factories</w:t>
      </w:r>
    </w:p>
    <w:bookmarkEnd w:id="156"/>
    <w:bookmarkStart w:id="157" w:name="описание-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«Bootstrap: Registries, Public APIs, and Factory Seams»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Focuses on current public composition APIs, registries, provider wiring, and canonical factory seams.. Схема имеет плотность порядка 11 узлов и 12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Registries + factories. Показательные узлы для быстрого чтения: composition.execution_api, composition.services_api, composition.resources_api, composition.entrypoints retained broad seam, composition.bootstrap, ProviderRegistry.</w:t>
      </w:r>
    </w:p>
    <w:bookmarkEnd w:id="157"/>
    <w:bookmarkStart w:id="161" w:name="метаданные-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12b-bootstrap-wiring — Bootstrap: Runtime and Admin Wiring</w:t>
      </w:r>
    </w:p>
    <w:p>
      <w:pPr>
        <w:pStyle w:val="CaptionedFigure"/>
      </w:pPr>
      <w:r>
        <w:drawing>
          <wp:inline>
            <wp:extent cx="5334000" cy="4223051"/>
            <wp:effectExtent b="0" l="0" r="0" t="0"/>
            <wp:docPr descr="12b-bootstrap-wiring" title="" id="1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2b-bootstrap-wiring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12b-bootstrap-wiring</w:t>
      </w:r>
    </w:p>
    <w:bookmarkEnd w:id="161"/>
    <w:bookmarkStart w:id="162" w:name="описание-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«Bootstrap: Runtime and Admin Wiring»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how narrow public composition APIs and the retained broad seam expose runtime/admin assembly outputs.. Схема имеет плотность порядка 19 узлов и 24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Public composition APIs, Composition bootstrap, Infrastructure collaborators, Created services. Показательные узлы для быстрого чтения: execution_api, services_api, resources_api, entrypoints retained broad seam, bootstrap.runtime, bootstrap.cli.</w:t>
      </w:r>
    </w:p>
    <w:bookmarkEnd w:id="162"/>
    <w:bookmarkStart w:id="166" w:name="метаданные-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13-port-protocol-contracts — Port/Protocol Contracts (Full Map)</w:t>
      </w:r>
    </w:p>
    <w:p>
      <w:pPr>
        <w:pStyle w:val="CaptionedFigure"/>
      </w:pPr>
      <w:r>
        <w:drawing>
          <wp:inline>
            <wp:extent cx="5334000" cy="23247900"/>
            <wp:effectExtent b="0" l="0" r="0" t="0"/>
            <wp:docPr descr="13-port-protocol-contracts" title="" id="1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-port-protocol-contracts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</w:t>
      </w:r>
    </w:p>
    <w:bookmarkEnd w:id="166"/>
    <w:bookmarkStart w:id="167" w:name="описание-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«Port/Protocol Contracts (Full Map)»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All domain Ports and their infrastructure implementations.. Схема имеет плотность порядка 68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 (Protocols), Infrastructure Implementations, Application Implementations. Показательные узлы для быстрого чтения: DataSourcePort, FilterableDataSourcePort, StoragePort, LockPort, CheckpointPort, QuarantinePort. Примечание: Decomposed into 13a, 13b, 13c, 13d sub-diagrams.</w:t>
      </w:r>
    </w:p>
    <w:bookmarkEnd w:id="167"/>
    <w:bookmarkStart w:id="171" w:name="метаданные-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68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13a-data-storage-ports — DataSource and Storage Ports</w:t>
      </w:r>
    </w:p>
    <w:p>
      <w:pPr>
        <w:pStyle w:val="CaptionedFigure"/>
      </w:pPr>
      <w:r>
        <w:drawing>
          <wp:inline>
            <wp:extent cx="5334000" cy="6991321"/>
            <wp:effectExtent b="0" l="0" r="0" t="0"/>
            <wp:docPr descr="13a-data-storage-ports" title="" id="16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a-data-storage-ports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13a-data-storage-ports</w:t>
      </w:r>
    </w:p>
    <w:bookmarkEnd w:id="171"/>
    <w:bookmarkStart w:id="172" w:name="описание-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«DataSource and Storage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All data acquisition and storage ports.. Схема имеет плотность порядка 20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Implementations. Показательные узлы для быстрого чтения: fa:fa-plug DataSourcePort, fa:fa-filter FilterableDataSourcePort, fa:fa-database StoragePort, fa:fa-book-open DeltaReaderPort, fa:fa-file-import InputFilterPort, ChemblAdapter.</w:t>
      </w:r>
    </w:p>
    <w:bookmarkEnd w:id="172"/>
    <w:bookmarkStart w:id="176" w:name="метаданные-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13a-port-contracts-data-sources — Port Contracts: Data Sources</w:t>
      </w:r>
    </w:p>
    <w:p>
      <w:pPr>
        <w:pStyle w:val="CaptionedFigure"/>
      </w:pPr>
      <w:r>
        <w:drawing>
          <wp:inline>
            <wp:extent cx="5334000" cy="6935070"/>
            <wp:effectExtent b="0" l="0" r="0" t="0"/>
            <wp:docPr descr="13a-port-contracts-data-sources" title="" id="17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a-port-contracts-data-sources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13a-port-contracts-data-sources</w:t>
      </w:r>
    </w:p>
    <w:bookmarkEnd w:id="176"/>
    <w:bookmarkStart w:id="177" w:name="описание-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Data Sources»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DataSourcePort and FilterableDataSourcePort implementations per provider.. Схема имеет плотность порядка 9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DataSourcePort, FilterableDataSourcePort, ChemblAdapter.</w:t>
      </w:r>
    </w:p>
    <w:bookmarkEnd w:id="177"/>
    <w:bookmarkStart w:id="181" w:name="метаданные-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3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13b-operational-ports — Operational and Observability Ports</w:t>
      </w:r>
    </w:p>
    <w:p>
      <w:pPr>
        <w:pStyle w:val="CaptionedFigure"/>
      </w:pPr>
      <w:r>
        <w:drawing>
          <wp:inline>
            <wp:extent cx="5334000" cy="7276681"/>
            <wp:effectExtent b="0" l="0" r="0" t="0"/>
            <wp:docPr descr="13b-operational-ports" title="" id="17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b-operational-ports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13b-operational-ports</w:t>
      </w:r>
    </w:p>
    <w:bookmarkEnd w:id="181"/>
    <w:bookmarkStart w:id="182" w:name="описание-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«Operational and Observability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Monitoring, logging, and operational control ports.. Схема имеет плотность порядка 25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Implementations. Показательные узлы для быстрого чтения: fa:fa-lock LockPort, fa:fa-flag CheckpointPort, fa:fa-list LoggerPort, fa:fa-chart-line MetricsPort, fa:fa-wave-square TracingPort, fa:fa-bolt CircuitBreakerPort. Примечание: Decomposed into 13e-operational-ports-domain, 13f-operational-ports-infra.</w:t>
      </w:r>
    </w:p>
    <w:bookmarkEnd w:id="182"/>
    <w:bookmarkStart w:id="186" w:name="метаданные-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25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13b-port-contracts-storage — Port Contracts: Storage</w:t>
      </w:r>
    </w:p>
    <w:p>
      <w:pPr>
        <w:pStyle w:val="CaptionedFigure"/>
      </w:pPr>
      <w:r>
        <w:drawing>
          <wp:inline>
            <wp:extent cx="5334000" cy="4928000"/>
            <wp:effectExtent b="0" l="0" r="0" t="0"/>
            <wp:docPr descr="13b-port-contracts-storage" title="" id="18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b-port-contracts-storage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13b-port-contracts-storage</w:t>
      </w:r>
    </w:p>
    <w:bookmarkEnd w:id="186"/>
    <w:bookmarkStart w:id="187" w:name="описание-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Storage»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StoragePort, DeltaReaderPort, and layer-specific MetadataWriterPort implementations.. Схема имеет плотность порядка 9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StoragePort, DeltaReaderPort, MetadataWriterPort write_bronze / write_silver / write_gold, BronzeWriter, DeltaReader, MetadataWriter atomic metadata sidecars.</w:t>
      </w:r>
    </w:p>
    <w:bookmarkEnd w:id="187"/>
    <w:bookmarkStart w:id="191" w:name="метаданные-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13c-port-contracts-observability — Port Contracts: Observability and Resilience</w:t>
      </w:r>
    </w:p>
    <w:p>
      <w:pPr>
        <w:pStyle w:val="CaptionedFigure"/>
      </w:pPr>
      <w:r>
        <w:drawing>
          <wp:inline>
            <wp:extent cx="5334000" cy="9122635"/>
            <wp:effectExtent b="0" l="0" r="0" t="0"/>
            <wp:docPr descr="13c-port-contracts-observability" title="" id="18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c-port-contracts-observabilit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2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13c-port-contracts-observability</w:t>
      </w:r>
    </w:p>
    <w:bookmarkEnd w:id="191"/>
    <w:bookmarkStart w:id="192" w:name="описание-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Observability and Resilience»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Logger/Metrics/Tracing ports plus resilience control ports.. Схема имеет плотность порядка 15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Layer. Показательные узлы для быстрого чтения: LoggerPort, MetricsPort, TracingPort, CircuitBreakerPort, RateLimiterPort, UnifiedLogger.</w:t>
      </w:r>
    </w:p>
    <w:bookmarkEnd w:id="192"/>
    <w:bookmarkStart w:id="196" w:name="метаданные-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3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13c-validation-dq-ports — Validation and Data Quality Ports</w:t>
      </w:r>
    </w:p>
    <w:p>
      <w:pPr>
        <w:pStyle w:val="CaptionedFigure"/>
      </w:pPr>
      <w:r>
        <w:drawing>
          <wp:inline>
            <wp:extent cx="5334000" cy="7126156"/>
            <wp:effectExtent b="0" l="0" r="0" t="0"/>
            <wp:docPr descr="13c-validation-dq-ports" title="" id="19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c-validation-dq-por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13c-validation-dq-ports</w:t>
      </w:r>
    </w:p>
    <w:bookmarkEnd w:id="196"/>
    <w:bookmarkStart w:id="197" w:name="описание-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«Validation and Data Quality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Ports for ensuring data correctness and quality reporting.. Схема имеет плотность порядка 20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Infrastructure, Application. Показательные узлы для быстрого чтения: SilverValidatorPort, GoldValidatorPort, BronzeDQ AnalyzerPort, SilverDQ AnalyzerPort, GoldDQ AnalyzerPort, DQReportWriterPort.</w:t>
      </w:r>
    </w:p>
    <w:bookmarkEnd w:id="197"/>
    <w:bookmarkStart w:id="201" w:name="метаданные-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13d-port-contracts-services — Port Contracts: Services and Controls</w:t>
      </w:r>
    </w:p>
    <w:p>
      <w:pPr>
        <w:pStyle w:val="CaptionedFigure"/>
      </w:pPr>
      <w:r>
        <w:drawing>
          <wp:inline>
            <wp:extent cx="5334000" cy="6537782"/>
            <wp:effectExtent b="0" l="0" r="0" t="0"/>
            <wp:docPr descr="13d-port-contracts-services" title="" id="19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d-port-contracts-services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13d-port-contracts-services</w:t>
      </w:r>
    </w:p>
    <w:bookmarkEnd w:id="201"/>
    <w:bookmarkStart w:id="202" w:name="описание-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Services and Controls»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control ports, data quality service ports, and related implementations.. Схема имеет плотность порядка 20 узлов и 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Layer, Infrastructure Layer, Application Layer, NoOp Implementations (fallback defaults). Показательные узлы для быстрого чтения: LockPort, CheckpointPort, QuarantinePort, AuditPort, PiiHasherPort, InputFilterPort.</w:t>
      </w:r>
    </w:p>
    <w:bookmarkEnd w:id="202"/>
    <w:bookmarkStart w:id="206" w:name="метаданные-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4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13e-operational-ports-domain — Domain Operational Ports</w:t>
      </w:r>
    </w:p>
    <w:p>
      <w:pPr>
        <w:pStyle w:val="CaptionedFigure"/>
      </w:pPr>
      <w:r>
        <w:drawing>
          <wp:inline>
            <wp:extent cx="5334000" cy="417139"/>
            <wp:effectExtent b="0" l="0" r="0" t="0"/>
            <wp:docPr descr="13e-operational-ports-domain" title="" id="20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e-operational-ports-domain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13e-operational-ports-domain</w:t>
      </w:r>
    </w:p>
    <w:bookmarkEnd w:id="206"/>
    <w:bookmarkStart w:id="207" w:name="описание-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Operational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Independent protocol definitions for operational concerns (lock, checkpoint, observability, shutdown).. Схема имеет плотность порядка 8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Operational Ports. Показательные узлы для быстрого чтения: fa:fa-lock LockPort, fa:fa-flag CheckpointPort, fa:fa-list LoggerPort, fa:fa-chart-line MetricsPort, fa:fa-wave-square TracingPort, fa:fa-bolt CircuitBreakerPort.</w:t>
      </w:r>
    </w:p>
    <w:bookmarkEnd w:id="207"/>
    <w:bookmarkStart w:id="211" w:name="метаданные-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8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13f-operational-ports-infra — Infrastructure Operational Implementations</w:t>
      </w:r>
    </w:p>
    <w:p>
      <w:pPr>
        <w:pStyle w:val="CaptionedFigure"/>
      </w:pPr>
      <w:r>
        <w:drawing>
          <wp:inline>
            <wp:extent cx="5334000" cy="486621"/>
            <wp:effectExtent b="0" l="0" r="0" t="0"/>
            <wp:docPr descr="13f-operational-ports-infra" title="" id="20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3f-operational-ports-infra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13f-operational-ports-infra</w:t>
      </w:r>
    </w:p>
    <w:bookmarkEnd w:id="211"/>
    <w:bookmarkStart w:id="212" w:name="описание-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«Infrastructure Operational Implementations»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Independent adapter implementations of operational ports.. Схема имеет плотность порядка 7 узлов;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Infrastructure Implementations. Показательные узлы для быстрого чтения: MemoryLock, LocalCheckpoint, UnifiedLogger, MetricsCollector, OpenTelemetryTracer, CircuitBreaker.</w:t>
      </w:r>
    </w:p>
    <w:bookmarkEnd w:id="212"/>
    <w:bookmarkStart w:id="216" w:name="метаданные-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7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14-cli-interface-layer — CLI / Interface Layer</w:t>
      </w:r>
    </w:p>
    <w:p>
      <w:pPr>
        <w:pStyle w:val="CaptionedFigure"/>
      </w:pPr>
      <w:r>
        <w:drawing>
          <wp:inline>
            <wp:extent cx="5334000" cy="1805781"/>
            <wp:effectExtent b="0" l="0" r="0" t="0"/>
            <wp:docPr descr="14-cli-interface-layer" title="" id="21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4-cli-interface-layer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14-cli-interface-layer</w:t>
      </w:r>
    </w:p>
    <w:bookmarkEnd w:id="216"/>
    <w:bookmarkStart w:id="217" w:name="описание-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 / Interface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current CLI routing through registry helpers, narrow composition APIs, and runtime/bootstrap services.. Схема имеет плотность порядка 17 узлов и 20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interfaces/cli, composition boundary, Created runtime services. Показательные узлы для быстрого чтения: Terminal user, cli.main Click group, registry_helpers fresh explicit PipelineRegistry, run / run-all, run-composite, health / export / quarantine / checkpoint config / lock / maintenance. Примечание: Decomposed into 14a-cli-commands, 14b-cli-routing.</w:t>
      </w:r>
    </w:p>
    <w:bookmarkEnd w:id="217"/>
    <w:bookmarkStart w:id="221" w:name="метаданные-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14a-cli-commands — CLI: Command Structure</w:t>
      </w:r>
    </w:p>
    <w:p>
      <w:pPr>
        <w:pStyle w:val="CaptionedFigure"/>
      </w:pPr>
      <w:r>
        <w:drawing>
          <wp:inline>
            <wp:extent cx="5334000" cy="2841355"/>
            <wp:effectExtent b="0" l="0" r="0" t="0"/>
            <wp:docPr descr="14a-cli-commands" title="" id="21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4a-cli-commands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14a-cli-commands</w:t>
      </w:r>
    </w:p>
    <w:bookmarkEnd w:id="221"/>
    <w:bookmarkStart w:id="222" w:name="описание-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«CLI: Command Structure»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Terminal entrypoint, main group, and the current command families registered in cli.main.. Схема имеет плотность порядка 12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cli.main command groups. Показательные узлы для быстрого чтения: Terminal, bioetl group, run / run-all, run-composite, health / export / quarantine checkpoint / config / lock, maintenance vacuum / vacuum-all / archive bronze-cleanup / cleanup-preview.</w:t>
      </w:r>
    </w:p>
    <w:bookmarkEnd w:id="222"/>
    <w:bookmarkStart w:id="226" w:name="метаданные-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4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14b-cli-routing — CLI: Routing to Composition Boundary</w:t>
      </w:r>
    </w:p>
    <w:p>
      <w:pPr>
        <w:pStyle w:val="CaptionedFigure"/>
      </w:pPr>
      <w:r>
        <w:drawing>
          <wp:inline>
            <wp:extent cx="5334000" cy="2458958"/>
            <wp:effectExtent b="0" l="0" r="0" t="0"/>
            <wp:docPr descr="14b-cli-routing" title="" id="22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4b-cli-routing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14b-cli-routing</w:t>
      </w:r>
    </w:p>
    <w:bookmarkEnd w:id="226"/>
    <w:bookmarkStart w:id="227" w:name="описание-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«CLI: Routing to Composition Boundary»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command families route through registry helpers and narrow composition APIs, while entrypoints remains a retained broad seam.. Схема имеет плотность порядка 14 узлов и 15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interfaces/cli helpers, composition boundary, Runtime services. Показательные узлы для быстрого чтения: run / run-all, run-composite, health / export / quarantine checkpoint / config / lock / maintenance, registry_helpers, execution_api, services_api.</w:t>
      </w:r>
    </w:p>
    <w:bookmarkEnd w:id="227"/>
    <w:bookmarkStart w:id="231" w:name="метаданные-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15-batch-executor-internals — BatchExecutor Internal Architecture</w:t>
      </w:r>
    </w:p>
    <w:p>
      <w:pPr>
        <w:pStyle w:val="CaptionedFigure"/>
      </w:pPr>
      <w:r>
        <w:drawing>
          <wp:inline>
            <wp:extent cx="5334000" cy="6008972"/>
            <wp:effectExtent b="0" l="0" r="0" t="0"/>
            <wp:docPr descr="15-batch-executor-internals" title="" id="22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5-batch-executor-internals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15-batch-executor-internals</w:t>
      </w:r>
    </w:p>
    <w:bookmarkEnd w:id="231"/>
    <w:bookmarkStart w:id="232" w:name="описание-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«BatchExecutor Internal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composition of BatchExecutor and its helper components.. Схема имеет плотность порядка 15 узлов и 14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BatchExecutor, Composed Helper Components, Data Flow Through Batch, TransformResult, Error Classification. Показательные узлы для быстрого чтения: QuarantineManager ——– quarantine failed records + quarantine_record(), CheckpointManagerService ——– offset checkpoints + load/save/delete, Raw API Records (dict[str, Any]), Silver Records (Delta Lake), TransformResult silver_records + gold_records quarantined_count + errors, ErrorClassifier ——– QUARANTINE / RETRY / FATAL.</w:t>
      </w:r>
    </w:p>
    <w:bookmarkEnd w:id="232"/>
    <w:bookmarkStart w:id="236" w:name="метаданные-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16-transformer-hierarchy — Transformer Hierarchy</w:t>
      </w:r>
    </w:p>
    <w:p>
      <w:pPr>
        <w:pStyle w:val="CaptionedFigure"/>
      </w:pPr>
      <w:r>
        <w:drawing>
          <wp:inline>
            <wp:extent cx="5334000" cy="1445768"/>
            <wp:effectExtent b="0" l="0" r="0" t="0"/>
            <wp:docPr descr="16-transformer-hierarchy" title="" id="23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6-transformer-hierarchy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</w:t>
      </w:r>
    </w:p>
    <w:bookmarkEnd w:id="236"/>
    <w:bookmarkStart w:id="237" w:name="описание-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«Transformer Hierarchy»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Template Method pattern, declarative publication blocks, and provider-specific helper seams.. Схема имеет плотность порядка 27 узлов и 10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Template Method Pattern, ChEMBL Transformers, Publication Transformers, UniProt Transformers, Other Transformers, Block + Helper Strategy. Показательные узлы для быстрого чтения: BaseChemblTransformer entity_class + primary_id_field _extract_business_data(), ActivityTransformer, PubMedPublicationTransformer cached XML root + extraction_blocks, UniProtProteinTransformer taxonomy/gene/feature extractors, IDMappingTransformer, PubChemCompoundTransformer. Примечание: Decomposed into 16a-transformer-base, 16b-transformer-pub-other.</w:t>
      </w:r>
    </w:p>
    <w:bookmarkEnd w:id="237"/>
    <w:bookmarkStart w:id="241" w:name="метаданные-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16a-transformer-base — Base Transformer and ChEMBL Transformers</w:t>
      </w:r>
    </w:p>
    <w:p>
      <w:pPr>
        <w:pStyle w:val="CaptionedFigure"/>
      </w:pPr>
      <w:r>
        <w:drawing>
          <wp:inline>
            <wp:extent cx="5334000" cy="729047"/>
            <wp:effectExtent b="0" l="0" r="0" t="0"/>
            <wp:docPr descr="16a-transformer-base" title="" id="23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6a-transformer-base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16a-transformer-base</w:t>
      </w:r>
    </w:p>
    <w:bookmarkEnd w:id="241"/>
    <w:bookmarkStart w:id="242" w:name="описание-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«Base Transformer and ChEMBL Transformers»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Template Method base class, ChEMBL provider transformers, and extractor root.. Схема имеет плотность порядка 17 узлов и 2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Template Method Pattern, ChEMBL Transformers, Extractor Root. Показательные узлы для быстрого чтения: BaseTransformer ABC, BaseChemblTransformer, ActivityTransformer, AssayTransformer, ApprovedProductTransformer, MechanismTransformer.</w:t>
      </w:r>
    </w:p>
    <w:bookmarkEnd w:id="242"/>
    <w:bookmarkStart w:id="246" w:name="метаданные-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16b-transformer-pub-other — Publication, UniProt, Other Transformers and Blocks</w:t>
      </w:r>
    </w:p>
    <w:p>
      <w:pPr>
        <w:pStyle w:val="CaptionedFigure"/>
      </w:pPr>
      <w:r>
        <w:drawing>
          <wp:inline>
            <wp:extent cx="5334000" cy="1676160"/>
            <wp:effectExtent b="0" l="0" r="0" t="0"/>
            <wp:docPr descr="16b-transformer-pub-other" title="" id="24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6b-transformer-pub-other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16b-transformer-pub-other</w:t>
      </w:r>
    </w:p>
    <w:bookmarkEnd w:id="246"/>
    <w:bookmarkStart w:id="247" w:name="описание-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«Publication, UniProt, Other Transformers and Blocks»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Provider-specific transformers, declarative PubMed blocks, and helper extractor seams.. Схема имеет плотность порядка 16 узлов и 5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Publication Transformers, UniProt Transformers, Other Transformers, Blocks + Helper Extractors. Показательные узлы для быстрого чтения: BasePublicationTransformer, PubMedPublicationTransformer, CrossRefPublicationTransformer, OpenAlexPublicationTransformer, SemanticScholarPublicationTransformer, UniProtProteinTransformer.</w:t>
      </w:r>
    </w:p>
    <w:bookmarkEnd w:id="247"/>
    <w:bookmarkStart w:id="251" w:name="метаданные-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5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17-security-pii-audit — Security, PII Hashing, and Audit Trail</w:t>
      </w:r>
    </w:p>
    <w:p>
      <w:pPr>
        <w:pStyle w:val="CaptionedFigure"/>
      </w:pPr>
      <w:r>
        <w:drawing>
          <wp:inline>
            <wp:extent cx="5334000" cy="6426403"/>
            <wp:effectExtent b="0" l="0" r="0" t="0"/>
            <wp:docPr descr="17-security-pii-audit" title="" id="24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7-security-pii-audit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17-security-pii-audit</w:t>
      </w:r>
    </w:p>
    <w:bookmarkEnd w:id="251"/>
    <w:bookmarkStart w:id="252" w:name="описание-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«Security, PII Hashing, and Audit Trail»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PII is handled and audit trail is maintained.. Схема имеет плотность порядка 16 узлов и 11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Domain Types, PII Hashing Flow, Infrastructure: PII Hasher, Infrastructure: Audit, Usage in Transformers. Показательные узлы для быстрого чтения: PiiHasherPort (Protocol) ——– + hash(value: str) -&gt; str, AuditPort (Protocol) ——– + log_write(entry) + get_entries(filters), AuditLayer ——– BRONZE / SILVER / GOLD, AuditOperation ——– WRITE / MERGE / APPEND DELETE / OVERWRITE, Raw PII Data (names, emails, affiliations), SHA256(lowercase(value) + salt).</w:t>
      </w:r>
    </w:p>
    <w:bookmarkEnd w:id="252"/>
    <w:bookmarkStart w:id="256" w:name="метаданные-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18-lock-checkpoint-shutdown — Locking, Checkpoint, and Graceful Shutdown</w:t>
      </w:r>
    </w:p>
    <w:p>
      <w:pPr>
        <w:pStyle w:val="CaptionedFigure"/>
      </w:pPr>
      <w:r>
        <w:drawing>
          <wp:inline>
            <wp:extent cx="5334000" cy="2862146"/>
            <wp:effectExtent b="0" l="0" r="0" t="0"/>
            <wp:docPr descr="18-lock-checkpoint-shutdown" title="" id="25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8-lock-checkpoint-shutdown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18-lock-checkpoint-shutdown</w:t>
      </w:r>
    </w:p>
    <w:bookmarkEnd w:id="256"/>
    <w:bookmarkStart w:id="257" w:name="описание-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«Locking, Checkpoint, and Graceful Shutdown»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Distinguishes general pipeline lifecycle from composite runtime specifics.. Схема имеет плотность порядка 20 узлов и 16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Domain Lock Types, Application: LockCoordinator, Application: Checkpoint Services, Application: Shutdown, Infrastructure: MemoryLock. Показательные узлы для быстрого чтения: LockPort (Protocol) acquire/release/heartbeat validate_owner + validate_token, CheckpointPort (Protocol) save/load/list/delete, CompositeCheckpointPort (composite phase checkpoints), ShutdownPort (Protocol), FencingToken + LockNotHeldError, LockCoordinator lock + run_id + shutdown_signal acquire/release/validate. Примечание: Decomposed into 18a-lock-system, 18b-checkpoint-shutdown.</w:t>
      </w:r>
    </w:p>
    <w:bookmarkEnd w:id="257"/>
    <w:bookmarkStart w:id="261" w:name="метаданные-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18a-lock-system — Lock System</w:t>
      </w:r>
    </w:p>
    <w:p>
      <w:pPr>
        <w:pStyle w:val="CaptionedFigure"/>
      </w:pPr>
      <w:r>
        <w:drawing>
          <wp:inline>
            <wp:extent cx="5334000" cy="5469037"/>
            <wp:effectExtent b="0" l="0" r="0" t="0"/>
            <wp:docPr descr="18a-lock-system" title="" id="259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8a-lock-system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18a-lock-system</w:t>
      </w:r>
    </w:p>
    <w:bookmarkEnd w:id="261"/>
    <w:bookmarkStart w:id="262" w:name="описание-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«Lock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Distinguishes the general LockCoordinator path from the composite runner’s direct LockPort path.. Схема имеет плотность порядка 10 узлов и 7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lock contracts, General pipeline lifecycle, Composite runtime path, Infrastructure. Показательные узлы для быстрого чтения: LockPort, FencingToken, LockNotHeldError, LockCoordinator, HeartbeatTask, CompositePipelineRunnerService.</w:t>
      </w:r>
    </w:p>
    <w:bookmarkEnd w:id="262"/>
    <w:bookmarkStart w:id="266" w:name="метаданные-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p>
      <w:pPr>
        <w:pStyle w:val="FirstParagraph"/>
      </w:pPr>
      <w:r>
        <w:t xml:space="preserve"> </w:t>
      </w:r>
      <w:r>
        <w:t xml:space="preserve">## 18b-checkpoint-shutdown — Checkpoint and Shutdown System</w:t>
      </w:r>
    </w:p>
    <w:p>
      <w:pPr>
        <w:pStyle w:val="CaptionedFigure"/>
      </w:pPr>
      <w:r>
        <w:drawing>
          <wp:inline>
            <wp:extent cx="5334000" cy="4307840"/>
            <wp:effectExtent b="0" l="0" r="0" t="0"/>
            <wp:docPr descr="18b-checkpoint-shutdown" title="" id="264" name="Picture"/>
            <a:graphic>
              <a:graphicData uri="http://schemas.openxmlformats.org/drawingml/2006/picture">
                <pic:pic>
                  <pic:nvPicPr>
                    <pic:cNvPr descr="file:///E:/g-drive/05_AI/github/BioactivityDataAcquisition2/docs/02-architecture/diagrams/architecture/png/18b-checkpoint-shutdown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18b-checkpoint-shutdown</w:t>
      </w:r>
    </w:p>
    <w:bookmarkEnd w:id="266"/>
    <w:bookmarkStart w:id="267" w:name="описание-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«Checkpoint and Shutdown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Separates general checkpoint/shutdown services from the composite checkpoint path.. Схема имеет плотность порядка 12 узлов и 9 связей; её удобно использовать как обзорный архитектурный срез для проверки влияния изменений, согласования интерфейсов и подготовки рефакторинга, но не как исчерпывающий каталог текущей кодовой поверхности. Ключевые блоки/подграфы: Domain ports, Application services, Infrastructure, Lifecycle integration. Показательные узлы для быстрого чтения: CheckpointPort, CompositeCheckpointPort, ShutdownPort, CheckpointManagerService, CompositeCheckpointService, ShutdownSignal / ShutdownReason.</w:t>
      </w:r>
    </w:p>
    <w:bookmarkEnd w:id="267"/>
    <w:bookmarkStart w:id="268" w:name="метаданные-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3" Target="media/rId153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3" Target="media/rId183.png" /><Relationship Type="http://schemas.openxmlformats.org/officeDocument/2006/relationships/image" Id="rId188" Target="media/rId188.png" /><Relationship Type="http://schemas.openxmlformats.org/officeDocument/2006/relationships/image" Id="rId193" Target="media/rId193.png" /><Relationship Type="http://schemas.openxmlformats.org/officeDocument/2006/relationships/image" Id="rId198" Target="media/rId198.png" /><Relationship Type="http://schemas.openxmlformats.org/officeDocument/2006/relationships/image" Id="rId203" Target="media/rId203.png" /><Relationship Type="http://schemas.openxmlformats.org/officeDocument/2006/relationships/image" Id="rId208" Target="media/rId208.png" /><Relationship Type="http://schemas.openxmlformats.org/officeDocument/2006/relationships/image" Id="rId213" Target="media/rId213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28" Target="media/rId228.png" /><Relationship Type="http://schemas.openxmlformats.org/officeDocument/2006/relationships/image" Id="rId233" Target="media/rId233.png" /><Relationship Type="http://schemas.openxmlformats.org/officeDocument/2006/relationships/image" Id="rId238" Target="media/rId238.png" /><Relationship Type="http://schemas.openxmlformats.org/officeDocument/2006/relationships/image" Id="rId243" Target="media/rId243.png" /><Relationship Type="http://schemas.openxmlformats.org/officeDocument/2006/relationships/image" Id="rId248" Target="media/rId248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263" Target="media/rId2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2026-03-24T06:27:49Z</dcterms:created>
  <dcterms:modified xsi:type="dcterms:W3CDTF">2026-03-24T06:27:49Z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