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A2C" w:rsidRPr="00454CBA" w:rsidRDefault="00857E7C" w:rsidP="000738F4">
      <w:pPr>
        <w:pStyle w:val="Header1"/>
      </w:pPr>
      <w:r w:rsidRPr="00454CBA">
        <w:t xml:space="preserve">РАЗРАБОТКА ИНГИБИТОРОВ </w:t>
      </w:r>
      <w:r>
        <w:t>QPCT</w:t>
      </w:r>
      <w:r w:rsidRPr="00454CBA">
        <w:t>/</w:t>
      </w:r>
      <w:r>
        <w:t>QPCTL</w:t>
      </w:r>
      <w:r w:rsidRPr="00454CBA">
        <w:t xml:space="preserve"> ДЛЯ ТЕРАПИИ ОНКОЛОГИЧЕСКИХ, ВОСПАЛИТЕЛЬНЫХ И ФИБРОТИЧЕСКИХ ЗАБОЛЕВАНИЙ</w:t>
      </w:r>
    </w:p>
    <w:p w:rsidR="00B01A2C" w:rsidRDefault="00454CBA">
      <w:pPr>
        <w:spacing w:after="20"/>
        <w:jc w:val="center"/>
      </w:pPr>
      <w:r>
        <w:rPr>
          <w:b/>
          <w:sz w:val="22"/>
        </w:rPr>
        <w:t xml:space="preserve"> </w:t>
      </w:r>
    </w:p>
    <w:tbl>
      <w:tblPr>
        <w:tblStyle w:val="TableCommon"/>
        <w:tblW w:w="9000" w:type="dxa"/>
        <w:tblLayout w:type="fixed"/>
        <w:tblLook w:val="04A0" w:firstRow="1" w:lastRow="0" w:firstColumn="1" w:lastColumn="0" w:noHBand="0" w:noVBand="1"/>
      </w:tblPr>
      <w:tblGrid>
        <w:gridCol w:w="2700"/>
        <w:gridCol w:w="6300"/>
      </w:tblGrid>
      <w:tr w:rsidR="00B01A2C" w:rsidRPr="00454CBA" w:rsidTr="00454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00" w:type="dxa"/>
          </w:tcPr>
          <w:p w:rsidR="00B01A2C" w:rsidRPr="00454CBA" w:rsidRDefault="00857E7C" w:rsidP="00454CBA">
            <w:pPr>
              <w:pStyle w:val="TableText"/>
              <w:rPr>
                <w:sz w:val="20"/>
              </w:rPr>
            </w:pPr>
            <w:r w:rsidRPr="00454CBA">
              <w:rPr>
                <w:sz w:val="20"/>
              </w:rPr>
              <w:t>Вопрос</w:t>
            </w:r>
          </w:p>
        </w:tc>
        <w:tc>
          <w:tcPr>
            <w:tcW w:w="6300" w:type="dxa"/>
          </w:tcPr>
          <w:p w:rsidR="00B01A2C" w:rsidRPr="00454CBA" w:rsidRDefault="00857E7C" w:rsidP="00454CBA">
            <w:pPr>
              <w:pStyle w:val="TableText"/>
              <w:rPr>
                <w:sz w:val="20"/>
              </w:rPr>
            </w:pPr>
            <w:r w:rsidRPr="00454CBA">
              <w:rPr>
                <w:sz w:val="20"/>
              </w:rPr>
              <w:t>Консолидированный ответ</w:t>
            </w:r>
          </w:p>
        </w:tc>
      </w:tr>
      <w:tr w:rsidR="00B01A2C" w:rsidRPr="00454CBA" w:rsidTr="00454CBA">
        <w:tc>
          <w:tcPr>
            <w:tcW w:w="27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 xml:space="preserve">Валидирована ли </w:t>
            </w:r>
            <w:r w:rsidRPr="00454CBA">
              <w:rPr>
                <w:sz w:val="20"/>
              </w:rPr>
              <w:t>мишень?</w:t>
            </w:r>
          </w:p>
        </w:tc>
        <w:tc>
          <w:tcPr>
            <w:tcW w:w="63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>Да - на уровне механизма, но неодинаково для разных показаний.</w:t>
            </w:r>
            <w:r w:rsidRPr="00454CBA">
              <w:rPr>
                <w:sz w:val="20"/>
              </w:rPr>
              <w:t xml:space="preserve"> Наиболее сильна причинная цепочка </w:t>
            </w:r>
            <w:r w:rsidRPr="00454CBA">
              <w:rPr>
                <w:sz w:val="20"/>
              </w:rPr>
              <w:t>QPCTL</w:t>
            </w:r>
            <w:r w:rsidRPr="00454CBA">
              <w:rPr>
                <w:sz w:val="20"/>
              </w:rPr>
              <w:t xml:space="preserve"> → </w:t>
            </w:r>
            <w:r w:rsidRPr="00454CBA">
              <w:rPr>
                <w:sz w:val="20"/>
              </w:rPr>
              <w:t>N</w:t>
            </w:r>
            <w:r w:rsidRPr="00454CBA">
              <w:rPr>
                <w:sz w:val="20"/>
              </w:rPr>
              <w:t xml:space="preserve">-концевая пироглутамилизация </w:t>
            </w:r>
            <w:r w:rsidRPr="00454CBA">
              <w:rPr>
                <w:sz w:val="20"/>
              </w:rPr>
              <w:t>CD</w:t>
            </w:r>
            <w:r w:rsidRPr="00454CBA">
              <w:rPr>
                <w:sz w:val="20"/>
              </w:rPr>
              <w:t xml:space="preserve">47 → связывание </w:t>
            </w:r>
            <w:r w:rsidRPr="00454CBA">
              <w:rPr>
                <w:sz w:val="20"/>
              </w:rPr>
              <w:t>SIRPα</w:t>
            </w:r>
            <w:r w:rsidRPr="00454CBA">
              <w:rPr>
                <w:sz w:val="20"/>
              </w:rPr>
              <w:t xml:space="preserve"> → подавление фагоцитоза. Для </w:t>
            </w:r>
            <w:r w:rsidRPr="00454CBA">
              <w:rPr>
                <w:sz w:val="20"/>
              </w:rPr>
              <w:t>QPCT</w:t>
            </w:r>
            <w:r w:rsidRPr="00454CBA">
              <w:rPr>
                <w:sz w:val="20"/>
              </w:rPr>
              <w:t>/</w:t>
            </w:r>
            <w:r w:rsidRPr="00454CBA">
              <w:rPr>
                <w:sz w:val="20"/>
              </w:rPr>
              <w:t>QPCTL</w:t>
            </w:r>
            <w:r w:rsidRPr="00454CBA">
              <w:rPr>
                <w:sz w:val="20"/>
              </w:rPr>
              <w:t>-зависимой стабилизации хемокинов и рекрутирования</w:t>
            </w:r>
            <w:r w:rsidRPr="00454CBA">
              <w:rPr>
                <w:sz w:val="20"/>
              </w:rPr>
              <w:t xml:space="preserve"> моноцитов доказательства убедительны в доклинических моделях. </w:t>
            </w:r>
          </w:p>
        </w:tc>
      </w:tr>
      <w:tr w:rsidR="00B01A2C" w:rsidRPr="00454CBA" w:rsidTr="00454CBA">
        <w:tc>
          <w:tcPr>
            <w:tcW w:w="27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 xml:space="preserve">Доказана ли клиническая эффективность ингибиторов </w:t>
            </w:r>
            <w:r w:rsidRPr="00454CBA">
              <w:rPr>
                <w:sz w:val="20"/>
              </w:rPr>
              <w:t>QPCT</w:t>
            </w:r>
            <w:r w:rsidRPr="00454CBA">
              <w:rPr>
                <w:sz w:val="20"/>
              </w:rPr>
              <w:t>/</w:t>
            </w:r>
            <w:r w:rsidRPr="00454CBA">
              <w:rPr>
                <w:sz w:val="20"/>
              </w:rPr>
              <w:t>QPCTL</w:t>
            </w:r>
            <w:r w:rsidRPr="00454CBA">
              <w:rPr>
                <w:sz w:val="20"/>
              </w:rPr>
              <w:t>?</w:t>
            </w:r>
          </w:p>
        </w:tc>
        <w:tc>
          <w:tcPr>
            <w:tcW w:w="63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>Нет.</w:t>
            </w:r>
            <w:r w:rsidRPr="00454CBA">
              <w:rPr>
                <w:sz w:val="20"/>
              </w:rPr>
              <w:t xml:space="preserve"> </w:t>
            </w:r>
            <w:r w:rsidRPr="00454CBA">
              <w:rPr>
                <w:sz w:val="20"/>
              </w:rPr>
              <w:t>ISM</w:t>
            </w:r>
            <w:r w:rsidRPr="00454CBA">
              <w:rPr>
                <w:sz w:val="20"/>
              </w:rPr>
              <w:t xml:space="preserve">8207 находится в исследовании фазы </w:t>
            </w:r>
            <w:r w:rsidRPr="00454CBA">
              <w:rPr>
                <w:sz w:val="20"/>
              </w:rPr>
              <w:t>I</w:t>
            </w:r>
            <w:r w:rsidRPr="00454CBA">
              <w:rPr>
                <w:sz w:val="20"/>
              </w:rPr>
              <w:t xml:space="preserve"> без опубликованных результатов эффективности. Вароглутамстат имеет наиболее продолжительный опыт применения у человека, но почечные наблюдения остаются исследовательскими, а программы при болезни Альцгеймера не дали</w:t>
            </w:r>
            <w:r w:rsidRPr="00454CBA">
              <w:rPr>
                <w:sz w:val="20"/>
              </w:rPr>
              <w:t xml:space="preserve"> убедительного подтверждения клинической эффективности.</w:t>
            </w:r>
          </w:p>
        </w:tc>
      </w:tr>
      <w:tr w:rsidR="00B01A2C" w:rsidRPr="00454CBA" w:rsidTr="00454CBA">
        <w:tc>
          <w:tcPr>
            <w:tcW w:w="27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>Какой актив наиболее информативен для онкологии?</w:t>
            </w:r>
          </w:p>
        </w:tc>
        <w:tc>
          <w:tcPr>
            <w:tcW w:w="63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>QP</w:t>
            </w:r>
            <w:r w:rsidRPr="00454CBA">
              <w:rPr>
                <w:sz w:val="20"/>
              </w:rPr>
              <w:t>5038</w:t>
            </w:r>
            <w:r w:rsidRPr="00454CBA">
              <w:rPr>
                <w:sz w:val="20"/>
              </w:rPr>
              <w:t xml:space="preserve"> - наиболее полно охарактеризованный инструментальный ингибитор с наномолярной ферментативной и клеточной активностью, подтверждением снижения </w:t>
            </w:r>
            <w:r w:rsidRPr="00454CBA">
              <w:rPr>
                <w:sz w:val="20"/>
              </w:rPr>
              <w:t>p</w:t>
            </w:r>
            <w:r w:rsidRPr="00454CBA">
              <w:rPr>
                <w:sz w:val="20"/>
              </w:rPr>
              <w:t>E</w:t>
            </w:r>
            <w:r w:rsidRPr="00454CBA">
              <w:rPr>
                <w:sz w:val="20"/>
              </w:rPr>
              <w:t>-</w:t>
            </w:r>
            <w:r w:rsidRPr="00454CBA">
              <w:rPr>
                <w:sz w:val="20"/>
              </w:rPr>
              <w:t>CD</w:t>
            </w:r>
            <w:r w:rsidRPr="00454CBA">
              <w:rPr>
                <w:sz w:val="20"/>
              </w:rPr>
              <w:t xml:space="preserve">47 и усилением фагоцитоза. </w:t>
            </w:r>
            <w:r w:rsidR="00454CBA" w:rsidRPr="00454CBA">
              <w:rPr>
                <w:sz w:val="20"/>
              </w:rPr>
              <w:t>О</w:t>
            </w:r>
            <w:r w:rsidRPr="00454CBA">
              <w:rPr>
                <w:sz w:val="20"/>
              </w:rPr>
              <w:t xml:space="preserve">н является двойным ингибитором </w:t>
            </w:r>
            <w:r w:rsidRPr="00454CBA">
              <w:rPr>
                <w:sz w:val="20"/>
              </w:rPr>
              <w:t>QPCTL</w:t>
            </w:r>
            <w:r w:rsidRPr="00454CBA">
              <w:rPr>
                <w:sz w:val="20"/>
              </w:rPr>
              <w:t>/</w:t>
            </w:r>
            <w:r w:rsidRPr="00454CBA">
              <w:rPr>
                <w:sz w:val="20"/>
              </w:rPr>
              <w:t>QPCT</w:t>
            </w:r>
            <w:r w:rsidRPr="00454CBA">
              <w:rPr>
                <w:sz w:val="20"/>
              </w:rPr>
              <w:t xml:space="preserve"> и не имеет достаточного количественного пакета </w:t>
            </w:r>
            <w:r w:rsidRPr="00454CBA">
              <w:rPr>
                <w:sz w:val="20"/>
              </w:rPr>
              <w:t>PK</w:t>
            </w:r>
            <w:r w:rsidRPr="00454CBA">
              <w:rPr>
                <w:sz w:val="20"/>
              </w:rPr>
              <w:t>/</w:t>
            </w:r>
            <w:r w:rsidRPr="00454CBA">
              <w:rPr>
                <w:sz w:val="20"/>
              </w:rPr>
              <w:t>PD</w:t>
            </w:r>
            <w:r w:rsidRPr="00454CBA">
              <w:rPr>
                <w:sz w:val="20"/>
              </w:rPr>
              <w:t xml:space="preserve"> и безопасности для статуса кандидата в разработку.</w:t>
            </w:r>
          </w:p>
        </w:tc>
      </w:tr>
      <w:tr w:rsidR="00B01A2C" w:rsidRPr="00454CBA" w:rsidTr="00454CBA">
        <w:tc>
          <w:tcPr>
            <w:tcW w:w="27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>Какой актив наиболее информативен для воспаления и фиброза?</w:t>
            </w:r>
          </w:p>
        </w:tc>
        <w:tc>
          <w:tcPr>
            <w:tcW w:w="63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sz w:val="20"/>
              </w:rPr>
            </w:pPr>
            <w:r w:rsidRPr="00454CBA">
              <w:rPr>
                <w:sz w:val="20"/>
              </w:rPr>
              <w:t>PQ</w:t>
            </w:r>
            <w:r w:rsidRPr="00454CBA">
              <w:rPr>
                <w:sz w:val="20"/>
              </w:rPr>
              <w:t>529</w:t>
            </w:r>
            <w:r w:rsidRPr="00454CBA">
              <w:rPr>
                <w:sz w:val="20"/>
              </w:rPr>
              <w:t xml:space="preserve"> - наиболее содержательный доклинический пример для почечного воспаления; </w:t>
            </w:r>
            <w:r w:rsidRPr="00454CBA">
              <w:rPr>
                <w:sz w:val="20"/>
              </w:rPr>
              <w:t>вароглутамстат</w:t>
            </w:r>
            <w:r w:rsidRPr="00454CBA">
              <w:rPr>
                <w:sz w:val="20"/>
              </w:rPr>
              <w:t xml:space="preserve"> - источник человеческих </w:t>
            </w:r>
            <w:r w:rsidRPr="00454CBA">
              <w:rPr>
                <w:sz w:val="20"/>
              </w:rPr>
              <w:t>PK</w:t>
            </w:r>
            <w:r w:rsidRPr="00454CBA">
              <w:rPr>
                <w:sz w:val="20"/>
              </w:rPr>
              <w:t>/</w:t>
            </w:r>
            <w:r w:rsidRPr="00454CBA">
              <w:rPr>
                <w:sz w:val="20"/>
              </w:rPr>
              <w:t>PD</w:t>
            </w:r>
            <w:r w:rsidRPr="00454CBA">
              <w:rPr>
                <w:sz w:val="20"/>
              </w:rPr>
              <w:t xml:space="preserve"> и предварительных почечных наблюдений. Ни один из них пока не доказывает клиническое обращение фиброза.</w:t>
            </w:r>
          </w:p>
        </w:tc>
      </w:tr>
    </w:tbl>
    <w:p w:rsidR="00454CBA" w:rsidRDefault="00454CBA">
      <w:pPr>
        <w:pStyle w:val="Heading1"/>
        <w:rPr>
          <w:lang w:val="ru-RU"/>
        </w:rPr>
      </w:pPr>
    </w:p>
    <w:p w:rsidR="00454CBA" w:rsidRDefault="00454CBA">
      <w:pPr>
        <w:rPr>
          <w:rFonts w:cstheme="majorBidi"/>
          <w:b/>
          <w:bCs/>
          <w:color w:val="8C1D40"/>
          <w:szCs w:val="28"/>
        </w:rPr>
      </w:pPr>
      <w:r>
        <w:br w:type="page"/>
      </w:r>
    </w:p>
    <w:p w:rsidR="00B01A2C" w:rsidRPr="00454CBA" w:rsidRDefault="00857E7C" w:rsidP="00454CBA">
      <w:pPr>
        <w:pStyle w:val="Header2"/>
      </w:pPr>
      <w:r w:rsidRPr="00454CBA">
        <w:lastRenderedPageBreak/>
        <w:t>РЕЗЮМЕ</w:t>
      </w:r>
    </w:p>
    <w:p w:rsidR="00B01A2C" w:rsidRPr="00454CBA" w:rsidRDefault="00857E7C" w:rsidP="00454CBA">
      <w:pPr>
        <w:pStyle w:val="ReportBody"/>
      </w:pPr>
      <w:r w:rsidRPr="00454CBA">
        <w:t xml:space="preserve">Глутаминилциклаза </w:t>
      </w:r>
      <w:r w:rsidRPr="00454CBA">
        <w:t>QPCT</w:t>
      </w:r>
      <w:r w:rsidRPr="00454CBA">
        <w:t xml:space="preserve"> и её изофермент </w:t>
      </w:r>
      <w:r w:rsidRPr="00454CBA">
        <w:t>QPCTL</w:t>
      </w:r>
      <w:r w:rsidRPr="00454CBA">
        <w:t xml:space="preserve"> катализируют образование </w:t>
      </w:r>
      <w:r w:rsidRPr="00454CBA">
        <w:t>N</w:t>
      </w:r>
      <w:r w:rsidRPr="00454CBA">
        <w:t>-концевого пи</w:t>
      </w:r>
      <w:r w:rsidRPr="00454CBA">
        <w:t>роглутамата (</w:t>
      </w:r>
      <w:r w:rsidRPr="00454CBA">
        <w:t>pE</w:t>
      </w:r>
      <w:r w:rsidRPr="00454CBA">
        <w:t>) в белках и пептидах. Эта модификация может менять стабильность субстрата, его взаимодействие с рецепторами и биологическую функцию. Современная аргументация в пользу лекарственной разработки опирается на две разные биологические оси. Перва</w:t>
      </w:r>
      <w:r w:rsidRPr="00454CBA">
        <w:t xml:space="preserve">я - </w:t>
      </w:r>
      <w:r w:rsidRPr="00454CBA">
        <w:t>QPCTL</w:t>
      </w:r>
      <w:r w:rsidRPr="00454CBA">
        <w:t xml:space="preserve">-зависимая пироглутамилизация </w:t>
      </w:r>
      <w:r w:rsidRPr="00454CBA">
        <w:t>CD</w:t>
      </w:r>
      <w:r w:rsidRPr="00454CBA">
        <w:t xml:space="preserve">47, необходимая для полноценного связывания с </w:t>
      </w:r>
      <w:r w:rsidRPr="00454CBA">
        <w:t>SIRPα</w:t>
      </w:r>
      <w:r w:rsidRPr="00454CBA">
        <w:t xml:space="preserve"> и формирования сигнала «не поглощай меня». Вторая - </w:t>
      </w:r>
      <w:r w:rsidRPr="00454CBA">
        <w:t>QPCT</w:t>
      </w:r>
      <w:r w:rsidRPr="00454CBA">
        <w:t>/</w:t>
      </w:r>
      <w:r w:rsidRPr="00454CBA">
        <w:t>QPCTL</w:t>
      </w:r>
      <w:r w:rsidRPr="00454CBA">
        <w:t xml:space="preserve">-зависимая стабилизация отдельных хемокинов, прежде всего </w:t>
      </w:r>
      <w:r w:rsidRPr="00454CBA">
        <w:t>CCL</w:t>
      </w:r>
      <w:r w:rsidRPr="00454CBA">
        <w:t xml:space="preserve">2, </w:t>
      </w:r>
      <w:r w:rsidRPr="00454CBA">
        <w:t>CCL</w:t>
      </w:r>
      <w:r w:rsidRPr="00454CBA">
        <w:t xml:space="preserve">7 и </w:t>
      </w:r>
      <w:r w:rsidRPr="00454CBA">
        <w:t>CX</w:t>
      </w:r>
      <w:r w:rsidRPr="00454CBA">
        <w:t>3</w:t>
      </w:r>
      <w:r w:rsidRPr="00454CBA">
        <w:t>CL</w:t>
      </w:r>
      <w:r w:rsidRPr="00454CBA">
        <w:t>1, с последующим влиянием</w:t>
      </w:r>
      <w:r w:rsidRPr="00454CBA">
        <w:t xml:space="preserve"> на миграцию моноцитов и тканевое воспаление [1-5]. Эти оси нельзя считать взаимозаменяемыми: для каждой требуются собственные биомаркеры, модель заболевания и критерии эффективности.</w:t>
      </w:r>
    </w:p>
    <w:p w:rsidR="00B01A2C" w:rsidRPr="00454CBA" w:rsidRDefault="00857E7C" w:rsidP="00454CBA">
      <w:pPr>
        <w:pStyle w:val="ReportBody"/>
      </w:pPr>
      <w:r w:rsidRPr="00454CBA">
        <w:t>В онкологии генетические исследования создают сильную причинную основу д</w:t>
      </w:r>
      <w:r w:rsidRPr="00454CBA">
        <w:t xml:space="preserve">ля </w:t>
      </w:r>
      <w:r w:rsidRPr="00454CBA">
        <w:t>QPCTL</w:t>
      </w:r>
      <w:r w:rsidRPr="00454CBA">
        <w:t xml:space="preserve"> как регулятора </w:t>
      </w:r>
      <w:r w:rsidRPr="00454CBA">
        <w:t>pE</w:t>
      </w:r>
      <w:r w:rsidRPr="00454CBA">
        <w:t>-</w:t>
      </w:r>
      <w:r w:rsidRPr="00454CBA">
        <w:t>CD</w:t>
      </w:r>
      <w:r w:rsidRPr="00454CBA">
        <w:t xml:space="preserve">47. Потеря или фармакологическое подавление </w:t>
      </w:r>
      <w:r w:rsidRPr="00454CBA">
        <w:t>QPCTL</w:t>
      </w:r>
      <w:r w:rsidRPr="00454CBA">
        <w:t xml:space="preserve"> уменьшает распознавание </w:t>
      </w:r>
      <w:r w:rsidRPr="00454CBA">
        <w:t>CD</w:t>
      </w:r>
      <w:r w:rsidRPr="00454CBA">
        <w:t xml:space="preserve">47 </w:t>
      </w:r>
      <w:r w:rsidRPr="00454CBA">
        <w:t>pE</w:t>
      </w:r>
      <w:r w:rsidRPr="00454CBA">
        <w:t xml:space="preserve">-чувствительными реагентами и связывание </w:t>
      </w:r>
      <w:r w:rsidRPr="00454CBA">
        <w:t>SIRPα</w:t>
      </w:r>
      <w:r w:rsidRPr="00454CBA">
        <w:t xml:space="preserve">, при этом общий поверхностный </w:t>
      </w:r>
      <w:r w:rsidRPr="00454CBA">
        <w:t>CD</w:t>
      </w:r>
      <w:r w:rsidRPr="00454CBA">
        <w:t xml:space="preserve">47 может сохраняться. Это позволяет ослабить макрофагальный </w:t>
      </w:r>
      <w:r w:rsidRPr="00454CBA">
        <w:t>checkpo</w:t>
      </w:r>
      <w:r w:rsidRPr="00454CBA">
        <w:t>int</w:t>
      </w:r>
      <w:r w:rsidRPr="00454CBA">
        <w:t xml:space="preserve"> без прямого связывания терапе</w:t>
      </w:r>
      <w:bookmarkStart w:id="0" w:name="_GoBack"/>
      <w:bookmarkEnd w:id="0"/>
      <w:r w:rsidRPr="00454CBA">
        <w:t xml:space="preserve">втического агента с огромным периферическим пулом </w:t>
      </w:r>
      <w:r w:rsidRPr="00454CBA">
        <w:t>CD</w:t>
      </w:r>
      <w:r w:rsidRPr="00454CBA">
        <w:t xml:space="preserve">47. Однако предполагаемые преимущества перед антителами к </w:t>
      </w:r>
      <w:r w:rsidRPr="00454CBA">
        <w:t>CD</w:t>
      </w:r>
      <w:r w:rsidRPr="00454CBA">
        <w:t>47 - меньший антигенный «сток», меньшая анемия и возможность перорального применения - пока остаются гипотезами</w:t>
      </w:r>
      <w:r w:rsidRPr="00454CBA">
        <w:t xml:space="preserve">. Негативные результаты поздних программ прямой блокады </w:t>
      </w:r>
      <w:r w:rsidRPr="00454CBA">
        <w:t>CD</w:t>
      </w:r>
      <w:r w:rsidRPr="00454CBA">
        <w:t xml:space="preserve">47 повышают планку доказательности для нового механизма, хотя сами по себе не опровергают </w:t>
      </w:r>
      <w:r w:rsidRPr="00454CBA">
        <w:t>QPCTL</w:t>
      </w:r>
      <w:r w:rsidRPr="00454CBA">
        <w:t xml:space="preserve"> [1, 2, 24-26].</w:t>
      </w:r>
    </w:p>
    <w:p w:rsidR="00B01A2C" w:rsidRPr="00454CBA" w:rsidRDefault="00857E7C" w:rsidP="00454CBA">
      <w:pPr>
        <w:pStyle w:val="ReportBody"/>
      </w:pPr>
      <w:r w:rsidRPr="00454CBA">
        <w:t>QP</w:t>
      </w:r>
      <w:r w:rsidRPr="00454CBA">
        <w:t>5038 является наиболее убедительным опубликованным химическим доказательством принцип</w:t>
      </w:r>
      <w:r w:rsidRPr="00454CBA">
        <w:t xml:space="preserve">а. Для него заявлены </w:t>
      </w:r>
      <w:r w:rsidRPr="00454CBA">
        <w:t>IC</w:t>
      </w:r>
      <w:r w:rsidRPr="00454CBA">
        <w:t xml:space="preserve">50 3,8 ± 0,7 нМ против </w:t>
      </w:r>
      <w:r w:rsidRPr="00454CBA">
        <w:t>QPCTL</w:t>
      </w:r>
      <w:r w:rsidRPr="00454CBA">
        <w:t xml:space="preserve"> и около 4,0 ± 0,8 нМ против </w:t>
      </w:r>
      <w:r w:rsidRPr="00454CBA">
        <w:t>QPCT</w:t>
      </w:r>
      <w:r w:rsidRPr="00454CBA">
        <w:t xml:space="preserve">, клеточное снижение </w:t>
      </w:r>
      <w:r w:rsidRPr="00454CBA">
        <w:t>pE</w:t>
      </w:r>
      <w:r w:rsidRPr="00454CBA">
        <w:t>-</w:t>
      </w:r>
      <w:r w:rsidRPr="00454CBA">
        <w:t>CD</w:t>
      </w:r>
      <w:r w:rsidRPr="00454CBA">
        <w:t xml:space="preserve">47 с </w:t>
      </w:r>
      <w:r w:rsidRPr="00454CBA">
        <w:t>IC</w:t>
      </w:r>
      <w:r w:rsidRPr="00454CBA">
        <w:t xml:space="preserve">50 3,3 ± 0,5 нМ и подавление связывания </w:t>
      </w:r>
      <w:r w:rsidRPr="00454CBA">
        <w:t>SIRPα</w:t>
      </w:r>
      <w:r w:rsidRPr="00454CBA">
        <w:t>-</w:t>
      </w:r>
      <w:r w:rsidRPr="00454CBA">
        <w:t>Fc</w:t>
      </w:r>
      <w:r w:rsidRPr="00454CBA">
        <w:t xml:space="preserve"> с </w:t>
      </w:r>
      <w:r w:rsidRPr="00454CBA">
        <w:t>IC</w:t>
      </w:r>
      <w:r w:rsidRPr="00454CBA">
        <w:t xml:space="preserve">50 8,5 ± 4,9 нМ [6]. Сохранение общего поверхностного </w:t>
      </w:r>
      <w:r w:rsidRPr="00454CBA">
        <w:t>CD</w:t>
      </w:r>
      <w:r w:rsidRPr="00454CBA">
        <w:t xml:space="preserve">47 при снижении </w:t>
      </w:r>
      <w:r w:rsidRPr="00454CBA">
        <w:t>pE</w:t>
      </w:r>
      <w:r w:rsidRPr="00454CBA">
        <w:t xml:space="preserve">-зависимого </w:t>
      </w:r>
      <w:r w:rsidRPr="00454CBA">
        <w:t xml:space="preserve">сигнала согласуется с ожидаемым механизмом. Вместе с тем функциональные опыты проводились при 10 мкМ и длительной экспозиции, а противоопухолевый эффект </w:t>
      </w:r>
      <w:r w:rsidRPr="00454CBA">
        <w:t>in</w:t>
      </w:r>
      <w:r w:rsidRPr="00454CBA">
        <w:t xml:space="preserve"> </w:t>
      </w:r>
      <w:r w:rsidRPr="00454CBA">
        <w:t>vivo</w:t>
      </w:r>
      <w:r w:rsidRPr="00454CBA">
        <w:t xml:space="preserve"> наиболее заметен в комбинации с </w:t>
      </w:r>
      <w:r w:rsidRPr="00454CBA">
        <w:t>anti</w:t>
      </w:r>
      <w:r w:rsidRPr="00454CBA">
        <w:t>-</w:t>
      </w:r>
      <w:r w:rsidRPr="00454CBA">
        <w:t>PD</w:t>
      </w:r>
      <w:r w:rsidRPr="00454CBA">
        <w:t>-1. Отсутствуют достаточные данные о несвязанной концент</w:t>
      </w:r>
      <w:r w:rsidRPr="00454CBA">
        <w:t xml:space="preserve">рации в опухоли, временной связи «экспозиция - </w:t>
      </w:r>
      <w:r w:rsidRPr="00454CBA">
        <w:t>pE</w:t>
      </w:r>
      <w:r w:rsidRPr="00454CBA">
        <w:t>-</w:t>
      </w:r>
      <w:r w:rsidRPr="00454CBA">
        <w:t>CD</w:t>
      </w:r>
      <w:r w:rsidRPr="00454CBA">
        <w:t xml:space="preserve">47 - фагоцитоз», генетической эпистазе </w:t>
      </w:r>
      <w:r w:rsidRPr="00454CBA">
        <w:t>in</w:t>
      </w:r>
      <w:r w:rsidRPr="00454CBA">
        <w:t xml:space="preserve"> </w:t>
      </w:r>
      <w:r w:rsidRPr="00454CBA">
        <w:t>vivo</w:t>
      </w:r>
      <w:r w:rsidRPr="00454CBA">
        <w:t xml:space="preserve"> и терапевтическом окне. </w:t>
      </w:r>
      <w:r w:rsidRPr="00454CBA">
        <w:t>QP</w:t>
      </w:r>
      <w:r w:rsidRPr="00454CBA">
        <w:t xml:space="preserve">5038 следует считать сильным инструментом и ранним </w:t>
      </w:r>
      <w:r w:rsidRPr="00454CBA">
        <w:t>lead</w:t>
      </w:r>
      <w:r w:rsidRPr="00454CBA">
        <w:t>, но не готовым кандидатом.</w:t>
      </w:r>
    </w:p>
    <w:p w:rsidR="00B01A2C" w:rsidRPr="00454CBA" w:rsidRDefault="00857E7C" w:rsidP="00454CBA">
      <w:pPr>
        <w:pStyle w:val="ReportBody"/>
      </w:pPr>
      <w:r w:rsidRPr="00454CBA">
        <w:t>ISM</w:t>
      </w:r>
      <w:r w:rsidRPr="00454CBA">
        <w:t>8207 является единственным идентифицированным</w:t>
      </w:r>
      <w:r w:rsidRPr="00454CBA">
        <w:t xml:space="preserve"> пероральным ингибитором </w:t>
      </w:r>
      <w:r w:rsidRPr="00454CBA">
        <w:t>QPCTL</w:t>
      </w:r>
      <w:r w:rsidRPr="00454CBA">
        <w:t xml:space="preserve"> в активной клинической разработке. Публично заявлены субнаномолярная ферментативная активность и клеточное подавление связывания </w:t>
      </w:r>
      <w:r w:rsidRPr="00454CBA">
        <w:t>SIRPα</w:t>
      </w:r>
      <w:r w:rsidRPr="00454CBA">
        <w:t xml:space="preserve">; структура, полный профиль </w:t>
      </w:r>
      <w:r w:rsidRPr="00454CBA">
        <w:t>QPCT</w:t>
      </w:r>
      <w:r w:rsidRPr="00454CBA">
        <w:t>/</w:t>
      </w:r>
      <w:r w:rsidRPr="00454CBA">
        <w:t>QPCTL</w:t>
      </w:r>
      <w:r w:rsidRPr="00454CBA">
        <w:t>-селективности, человеческая фармакокинетика, фармако</w:t>
      </w:r>
      <w:r w:rsidRPr="00454CBA">
        <w:t xml:space="preserve">динамика и результаты лечения не раскрыты [19, 20]. Исследование </w:t>
      </w:r>
      <w:r w:rsidRPr="00454CBA">
        <w:t>NCT</w:t>
      </w:r>
      <w:r w:rsidRPr="00454CBA">
        <w:t xml:space="preserve">06445517 фазы </w:t>
      </w:r>
      <w:r w:rsidRPr="00454CBA">
        <w:t>I</w:t>
      </w:r>
      <w:r w:rsidRPr="00454CBA">
        <w:t xml:space="preserve"> у пациентов с распространёнными солидными опухолями и рецидивирующей/рефрактерной </w:t>
      </w:r>
      <w:r w:rsidRPr="00454CBA">
        <w:t>B</w:t>
      </w:r>
      <w:r w:rsidRPr="00454CBA">
        <w:t>-клеточной лимфомой набирает пациентов; запланировано 60 участников, завершение первичног</w:t>
      </w:r>
      <w:r w:rsidRPr="00454CBA">
        <w:t>о периода ожидается после даты среза настоящего отчёта [20]. Следовательно, клиническую валидированность мишени констатировать преждевременно.</w:t>
      </w:r>
    </w:p>
    <w:p w:rsidR="00B01A2C" w:rsidRPr="00454CBA" w:rsidRDefault="00857E7C" w:rsidP="00454CBA">
      <w:pPr>
        <w:pStyle w:val="ReportBody"/>
      </w:pPr>
      <w:r w:rsidRPr="00454CBA">
        <w:t xml:space="preserve">Для воспалительных заболеваний наиболее воспроизводима логика «снижение </w:t>
      </w:r>
      <w:r w:rsidRPr="00454CBA">
        <w:t>pE</w:t>
      </w:r>
      <w:r w:rsidRPr="00454CBA">
        <w:t xml:space="preserve">-хемокина - ускорение его деградации - </w:t>
      </w:r>
      <w:r w:rsidRPr="00454CBA">
        <w:t xml:space="preserve">уменьшение рекрутирования моноцитов». Она подкреплена генетическими и фармакологическими исследованиями инфильтрации моноцитов и ремоделирования миелоидного компартмента [3-5]. В нефрологической модели </w:t>
      </w:r>
      <w:r w:rsidRPr="00454CBA">
        <w:t>PQ</w:t>
      </w:r>
      <w:r w:rsidRPr="00454CBA">
        <w:t xml:space="preserve">529 снижал пироглутамилированный </w:t>
      </w:r>
      <w:r w:rsidRPr="00454CBA">
        <w:t>CCL</w:t>
      </w:r>
      <w:r w:rsidRPr="00454CBA">
        <w:t xml:space="preserve">2, инфильтрацию </w:t>
      </w:r>
      <w:r w:rsidRPr="00454CBA">
        <w:t>CD</w:t>
      </w:r>
      <w:r w:rsidRPr="00454CBA">
        <w:t>68-положительных клеток, протеинурию, маркеры повреждения канальцев и морфологические проявления гломерулосклероза [11]. Это является сильным доклиническим сигналом, но эксперимент преимущественно оценивает предотвращение или замедление повреждения, а не</w:t>
      </w:r>
      <w:r w:rsidRPr="00454CBA">
        <w:t xml:space="preserve"> обращение сформированного фиброза.</w:t>
      </w:r>
    </w:p>
    <w:p w:rsidR="00B01A2C" w:rsidRPr="00454CBA" w:rsidRDefault="00857E7C" w:rsidP="00454CBA">
      <w:pPr>
        <w:pStyle w:val="ReportBody"/>
      </w:pPr>
      <w:r w:rsidRPr="00454CBA">
        <w:t>Вароглутамстат (</w:t>
      </w:r>
      <w:r w:rsidRPr="00454CBA">
        <w:t>PQ</w:t>
      </w:r>
      <w:r w:rsidRPr="00454CBA">
        <w:t xml:space="preserve">912) предоставляет наиболее важный для класса массив данных о хроническом воздействии на человека и системном/цереброспинальном ингибировании </w:t>
      </w:r>
      <w:r w:rsidRPr="00454CBA">
        <w:t>QC</w:t>
      </w:r>
      <w:r w:rsidRPr="00454CBA">
        <w:t>. В исследованиях при болезни Альцгеймера подтверждалось в</w:t>
      </w:r>
      <w:r w:rsidRPr="00454CBA">
        <w:t>овлечение мишени, но клиническая эффективность оставалась неопределённой, а при высоких дозах отмечались кожные, подкожные и желудочно-кишечные нежелательные явления и проблемы приверженности [14-16]. Последующий анализ почечной функции в нейродегенеративн</w:t>
      </w:r>
      <w:r w:rsidRPr="00454CBA">
        <w:t>ых программах дал согласованные по направлению изменения расчётной скорости клубочковой фильтрации и исследовательских биомаркеров; эти результаты были заранее предусмотрены или анализировались как вторичные/исследовательские, получены не в специализирован</w:t>
      </w:r>
      <w:r w:rsidRPr="00454CBA">
        <w:t>ном исследовании диабетической болезни почек и в значительной части сообщены спонсором [17, 18]. Их следует считать клинической гипотезой, а не доказанной нефропротекцией.</w:t>
      </w:r>
    </w:p>
    <w:p w:rsidR="00B01A2C" w:rsidRPr="00454CBA" w:rsidRDefault="00857E7C" w:rsidP="00454CBA">
      <w:pPr>
        <w:pStyle w:val="ReportBody"/>
      </w:pPr>
      <w:r w:rsidRPr="00454CBA">
        <w:t xml:space="preserve">Для фиброза доказательная цепочка наиболее уязвима. </w:t>
      </w:r>
      <w:r w:rsidRPr="00454CBA">
        <w:t>CD</w:t>
      </w:r>
      <w:r w:rsidRPr="00454CBA">
        <w:t xml:space="preserve">47 и ось </w:t>
      </w:r>
      <w:r w:rsidRPr="00454CBA">
        <w:t>IL</w:t>
      </w:r>
      <w:r w:rsidRPr="00454CBA">
        <w:t>-6/</w:t>
      </w:r>
      <w:r w:rsidRPr="00454CBA">
        <w:t>CD</w:t>
      </w:r>
      <w:r w:rsidRPr="00454CBA">
        <w:t>47 связаны с п</w:t>
      </w:r>
      <w:r w:rsidRPr="00454CBA">
        <w:t xml:space="preserve">атологической устойчивостью фибробластов при системной склеродермии, а прямая блокада </w:t>
      </w:r>
      <w:r w:rsidRPr="00454CBA">
        <w:t>CD</w:t>
      </w:r>
      <w:r w:rsidRPr="00454CBA">
        <w:t xml:space="preserve">47 в мышиных моделях уменьшала кожный фиброз [10]. Однако это не доказывает, что фармакологическое подавление </w:t>
      </w:r>
      <w:r w:rsidRPr="00454CBA">
        <w:t>QPCTL</w:t>
      </w:r>
      <w:r w:rsidRPr="00454CBA">
        <w:t xml:space="preserve"> создаёт достаточную степень и длительность функциона</w:t>
      </w:r>
      <w:r w:rsidRPr="00454CBA">
        <w:t xml:space="preserve">льной депироглутамилизации </w:t>
      </w:r>
      <w:r w:rsidRPr="00454CBA">
        <w:t>CD</w:t>
      </w:r>
      <w:r w:rsidRPr="00454CBA">
        <w:t>47 именно в фибробластах. Для лёгочного, печёночного и сердечного фиброза публичные данные представлены главным образом патентами, косвенной биологией и программными заявлениями. Требуются модели лечения уже сформированного фиб</w:t>
      </w:r>
      <w:r w:rsidRPr="00454CBA">
        <w:t>роза с оценкой коллагеновой архитектуры и функции органа, а не только профилактические модели воспалительного повреждения.</w:t>
      </w:r>
    </w:p>
    <w:p w:rsidR="00B01A2C" w:rsidRPr="00454CBA" w:rsidRDefault="00857E7C" w:rsidP="00454CBA">
      <w:pPr>
        <w:pStyle w:val="ReportBody"/>
      </w:pPr>
      <w:r w:rsidRPr="00454CBA">
        <w:t>Внутренний пакет по ХС7/ХС7·2</w:t>
      </w:r>
      <w:r w:rsidRPr="00454CBA">
        <w:t>HCl</w:t>
      </w:r>
      <w:r w:rsidRPr="00454CBA">
        <w:t xml:space="preserve"> подтверждает наличие анальгетического фенотипа в нескольких острых и воспалительных моделях, но не у</w:t>
      </w:r>
      <w:r w:rsidRPr="00454CBA">
        <w:t xml:space="preserve">станавливает молекулярную мишень. В пяти рецепторных исследованиях результаты для </w:t>
      </w:r>
      <w:r w:rsidRPr="00454CBA">
        <w:t>H</w:t>
      </w:r>
      <w:r w:rsidRPr="00454CBA">
        <w:t>1/</w:t>
      </w:r>
      <w:r w:rsidRPr="00454CBA">
        <w:t>H</w:t>
      </w:r>
      <w:r w:rsidRPr="00454CBA">
        <w:t>3/</w:t>
      </w:r>
      <w:r w:rsidRPr="00454CBA">
        <w:t>H</w:t>
      </w:r>
      <w:r w:rsidRPr="00454CBA">
        <w:t xml:space="preserve">4-рецепторов расходятся по платформам: радиолигандное связывание выявляло лишь микромолярную активность </w:t>
      </w:r>
      <w:r w:rsidRPr="00454CBA">
        <w:t>H</w:t>
      </w:r>
      <w:r w:rsidRPr="00454CBA">
        <w:t>3/</w:t>
      </w:r>
      <w:r w:rsidRPr="00454CBA">
        <w:t>H</w:t>
      </w:r>
      <w:r w:rsidRPr="00454CBA">
        <w:t xml:space="preserve">4, функциональные исследования </w:t>
      </w:r>
      <w:r w:rsidRPr="00454CBA">
        <w:t>H</w:t>
      </w:r>
      <w:r w:rsidRPr="00454CBA">
        <w:t>1/</w:t>
      </w:r>
      <w:r w:rsidRPr="00454CBA">
        <w:t>H</w:t>
      </w:r>
      <w:r w:rsidRPr="00454CBA">
        <w:t>3 в целом были отрицател</w:t>
      </w:r>
      <w:r w:rsidRPr="00454CBA">
        <w:t xml:space="preserve">ьными, а одноконцентрационный </w:t>
      </w:r>
      <w:r w:rsidRPr="00454CBA">
        <w:t>β</w:t>
      </w:r>
      <w:r w:rsidRPr="00454CBA">
        <w:t>-</w:t>
      </w:r>
      <w:r w:rsidRPr="00454CBA">
        <w:t>arrestin</w:t>
      </w:r>
      <w:r w:rsidRPr="00454CBA">
        <w:t xml:space="preserve">-скрининг при 50 мкМ давал крупные сигналы </w:t>
      </w:r>
      <w:r w:rsidRPr="00454CBA">
        <w:t>H</w:t>
      </w:r>
      <w:r w:rsidRPr="00454CBA">
        <w:t>1/</w:t>
      </w:r>
      <w:r w:rsidRPr="00454CBA">
        <w:t>H</w:t>
      </w:r>
      <w:r w:rsidRPr="00454CBA">
        <w:t xml:space="preserve">4-агонизма и </w:t>
      </w:r>
      <w:r w:rsidRPr="00454CBA">
        <w:t>H</w:t>
      </w:r>
      <w:r w:rsidRPr="00454CBA">
        <w:t>3-антагонизма. Эти сигналы нельзя усреднять, поскольку различаются форма соединения, партия, метод, путь передачи сигнала и концентрация. Отдельные анальге</w:t>
      </w:r>
      <w:r w:rsidRPr="00454CBA">
        <w:t xml:space="preserve">тические эффекты возникали через 15-30 минут после введения, что плохо согласуется с механизмом, требующим обновления пула зрелых </w:t>
      </w:r>
      <w:r w:rsidRPr="00454CBA">
        <w:t>pE</w:t>
      </w:r>
      <w:r w:rsidRPr="00454CBA">
        <w:t>-модифицированных белков, и усиливает необходимость поиска альтернативных мишеней.</w:t>
      </w:r>
    </w:p>
    <w:p w:rsidR="00B01A2C" w:rsidRPr="00454CBA" w:rsidRDefault="00857E7C" w:rsidP="00454CBA">
      <w:pPr>
        <w:pStyle w:val="ReportBody"/>
      </w:pPr>
      <w:r w:rsidRPr="00454CBA">
        <w:t xml:space="preserve">Консолидированная рекомендация состоит в </w:t>
      </w:r>
      <w:r w:rsidRPr="00454CBA">
        <w:t xml:space="preserve">поэтапной, биомаркерно-управляемой разработке. Сначала необходимо сопоставимо измерить активность соединений против человеческих и релевантных животных </w:t>
      </w:r>
      <w:r w:rsidRPr="00454CBA">
        <w:t>QPCT</w:t>
      </w:r>
      <w:r w:rsidRPr="00454CBA">
        <w:t xml:space="preserve"> и </w:t>
      </w:r>
      <w:r w:rsidRPr="00454CBA">
        <w:t>QPCTL</w:t>
      </w:r>
      <w:r w:rsidRPr="00454CBA">
        <w:t>, подтвердить клеточное вовлечение мишени, определить несвязанную тканевую экспозицию и уста</w:t>
      </w:r>
      <w:r w:rsidRPr="00454CBA">
        <w:t xml:space="preserve">новить причинность генетической эпистазой. Только после этого следует переходить к двум независимым </w:t>
      </w:r>
      <w:r w:rsidRPr="00454CBA">
        <w:t>proof</w:t>
      </w:r>
      <w:r w:rsidRPr="00454CBA">
        <w:t>-</w:t>
      </w:r>
      <w:r w:rsidRPr="00454CBA">
        <w:t>of</w:t>
      </w:r>
      <w:r w:rsidRPr="00454CBA">
        <w:t>-</w:t>
      </w:r>
      <w:r w:rsidRPr="00454CBA">
        <w:t>concept</w:t>
      </w:r>
      <w:r w:rsidRPr="00454CBA">
        <w:t xml:space="preserve">: онкологическому, с </w:t>
      </w:r>
      <w:r w:rsidRPr="00454CBA">
        <w:t>pE</w:t>
      </w:r>
      <w:r w:rsidRPr="00454CBA">
        <w:t>-</w:t>
      </w:r>
      <w:r w:rsidRPr="00454CBA">
        <w:t>CD</w:t>
      </w:r>
      <w:r w:rsidRPr="00454CBA">
        <w:t>47/</w:t>
      </w:r>
      <w:r w:rsidRPr="00454CBA">
        <w:t>SIRPα</w:t>
      </w:r>
      <w:r w:rsidRPr="00454CBA">
        <w:t xml:space="preserve"> и фагоцитозом, и почечному, с </w:t>
      </w:r>
      <w:r w:rsidRPr="00454CBA">
        <w:t>pE</w:t>
      </w:r>
      <w:r w:rsidRPr="00454CBA">
        <w:t xml:space="preserve">/общим </w:t>
      </w:r>
      <w:r w:rsidRPr="00454CBA">
        <w:t>CCL</w:t>
      </w:r>
      <w:r w:rsidRPr="00454CBA">
        <w:t xml:space="preserve">2, инфильтрацией моноцитов и функциональными показателями. Для </w:t>
      </w:r>
      <w:r w:rsidRPr="00454CBA">
        <w:t>хронических показаний обязательны расширенная безопасность, оценка инфекционного риска, заживления, кроветворения и нейроэндокринных субстратов.</w:t>
      </w:r>
    </w:p>
    <w:p w:rsidR="00454CBA" w:rsidRDefault="00454CBA">
      <w:pPr>
        <w:spacing w:after="200" w:line="276" w:lineRule="auto"/>
        <w:ind w:firstLine="0"/>
        <w:jc w:val="left"/>
        <w:rPr>
          <w:rFonts w:cstheme="minorBidi"/>
          <w:caps/>
          <w:sz w:val="28"/>
          <w:szCs w:val="24"/>
          <w:lang w:val="en-US"/>
        </w:rPr>
      </w:pPr>
      <w:r>
        <w:br w:type="page"/>
      </w:r>
    </w:p>
    <w:p w:rsidR="00B01A2C" w:rsidRDefault="00857E7C" w:rsidP="00454CBA">
      <w:pPr>
        <w:pStyle w:val="Header2"/>
        <w:numPr>
          <w:ilvl w:val="0"/>
          <w:numId w:val="26"/>
        </w:numPr>
        <w:rPr>
          <w:lang w:val="ru-RU"/>
        </w:rPr>
      </w:pPr>
      <w:r w:rsidRPr="00454CBA">
        <w:rPr>
          <w:lang w:val="ru-RU"/>
        </w:rPr>
        <w:t xml:space="preserve">БИОЛОГИЧЕСКАЯ ОСНОВА </w:t>
      </w:r>
      <w:r w:rsidR="00454CBA">
        <w:rPr>
          <w:lang w:val="ru-RU"/>
        </w:rPr>
        <w:t xml:space="preserve">применения ингибииторов </w:t>
      </w:r>
      <w:r w:rsidR="00454CBA">
        <w:t>QPCT</w:t>
      </w:r>
      <w:r w:rsidR="00454CBA" w:rsidRPr="00454CBA">
        <w:rPr>
          <w:lang w:val="ru-RU"/>
        </w:rPr>
        <w:t>/</w:t>
      </w:r>
      <w:r w:rsidR="00454CBA">
        <w:t>QPCTL</w:t>
      </w:r>
    </w:p>
    <w:p w:rsidR="00454CBA" w:rsidRDefault="00454CBA" w:rsidP="00454CBA">
      <w:pPr>
        <w:pStyle w:val="Paragraph"/>
      </w:pPr>
      <w:r w:rsidRPr="00454CBA">
        <w:t>В настоящем отчёте использована следующая иерархия: (</w:t>
      </w:r>
      <w:r>
        <w:t>A</w:t>
      </w:r>
      <w:r w:rsidRPr="00454CBA">
        <w:t>) причинная генетика и ортогональное подтверждение протеоформы; (</w:t>
      </w:r>
      <w:r>
        <w:t>B</w:t>
      </w:r>
      <w:r w:rsidRPr="00454CBA">
        <w:t>) фармакологическое вовлечение мишени и фенотип с эпистазой; (</w:t>
      </w:r>
      <w:r>
        <w:t>C</w:t>
      </w:r>
      <w:r w:rsidRPr="00454CBA">
        <w:t xml:space="preserve">) воспроизводимый </w:t>
      </w:r>
      <w:r>
        <w:t>in</w:t>
      </w:r>
      <w:r w:rsidRPr="00454CBA">
        <w:t xml:space="preserve"> </w:t>
      </w:r>
      <w:r>
        <w:t>vivo</w:t>
      </w:r>
      <w:r w:rsidRPr="00454CBA">
        <w:t xml:space="preserve"> </w:t>
      </w:r>
      <w:r>
        <w:t>PK</w:t>
      </w:r>
      <w:r w:rsidRPr="00454CBA">
        <w:t>/</w:t>
      </w:r>
      <w:r>
        <w:t>PD</w:t>
      </w:r>
      <w:r w:rsidRPr="00454CBA">
        <w:t xml:space="preserve"> и эффективность; (</w:t>
      </w:r>
      <w:r>
        <w:t>D</w:t>
      </w:r>
      <w:r w:rsidRPr="00454CBA">
        <w:t>) человеческое вовлечение мишени и биомаркер; (</w:t>
      </w:r>
      <w:r>
        <w:t>E</w:t>
      </w:r>
      <w:r w:rsidRPr="00454CBA">
        <w:t>) рандомизированная клиническая эффективность. Патенты, материалы конференций, корпоративные сообщения и одноконцентрационные скрининги рассматриваются как сигналы, но не как эквивалент рецензируемого количественного исследования.</w:t>
      </w:r>
    </w:p>
    <w:p w:rsidR="00454CBA" w:rsidRPr="00454CBA" w:rsidRDefault="00454CBA" w:rsidP="00454CBA">
      <w:pPr>
        <w:pStyle w:val="Paragraph"/>
      </w:pPr>
    </w:p>
    <w:tbl>
      <w:tblPr>
        <w:tblStyle w:val="TableCommon"/>
        <w:tblW w:w="9696" w:type="dxa"/>
        <w:tblLayout w:type="fixed"/>
        <w:tblLook w:val="04A0" w:firstRow="1" w:lastRow="0" w:firstColumn="1" w:lastColumn="0" w:noHBand="0" w:noVBand="1"/>
      </w:tblPr>
      <w:tblGrid>
        <w:gridCol w:w="1050"/>
        <w:gridCol w:w="3260"/>
        <w:gridCol w:w="5386"/>
      </w:tblGrid>
      <w:tr w:rsidR="00454CBA" w:rsidRPr="00454CBA" w:rsidTr="00073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0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Уровень</w:t>
            </w:r>
          </w:p>
        </w:tc>
        <w:tc>
          <w:tcPr>
            <w:tcW w:w="3260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Критерий</w:t>
            </w:r>
          </w:p>
        </w:tc>
        <w:tc>
          <w:tcPr>
            <w:tcW w:w="5386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Состояние доказательств</w:t>
            </w:r>
          </w:p>
        </w:tc>
      </w:tr>
      <w:tr w:rsidR="00454CBA" w:rsidRPr="00454CBA" w:rsidTr="000738F4">
        <w:tc>
          <w:tcPr>
            <w:tcW w:w="1050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A</w:t>
            </w:r>
          </w:p>
        </w:tc>
        <w:tc>
          <w:tcPr>
            <w:tcW w:w="3260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Генетическая причинность</w:t>
            </w:r>
          </w:p>
        </w:tc>
        <w:tc>
          <w:tcPr>
            <w:tcW w:w="5386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Сильная для QPCTL - pE-CD47 - SIRPα; умеренная/сильная для QC-зависимой стабильности отдельных хемокинов.</w:t>
            </w:r>
          </w:p>
        </w:tc>
      </w:tr>
      <w:tr w:rsidR="00454CBA" w:rsidRPr="00454CBA" w:rsidTr="000738F4">
        <w:tc>
          <w:tcPr>
            <w:tcW w:w="1050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B</w:t>
            </w:r>
          </w:p>
        </w:tc>
        <w:tc>
          <w:tcPr>
            <w:tcW w:w="3260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Фармакологическая причинность в клетках</w:t>
            </w:r>
          </w:p>
        </w:tc>
        <w:tc>
          <w:tcPr>
            <w:tcW w:w="5386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Сильная для QP5038 по pE-CD47 и SIRPα; недостаточная для ХС7; вариабельная для воспалительных соединений.</w:t>
            </w:r>
          </w:p>
        </w:tc>
      </w:tr>
      <w:tr w:rsidR="00454CBA" w:rsidRPr="00454CBA" w:rsidTr="000738F4">
        <w:tc>
          <w:tcPr>
            <w:tcW w:w="1050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C</w:t>
            </w:r>
          </w:p>
        </w:tc>
        <w:tc>
          <w:tcPr>
            <w:tcW w:w="3260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Количественная PK/PD и эффективность in vivo</w:t>
            </w:r>
          </w:p>
        </w:tc>
        <w:tc>
          <w:tcPr>
            <w:tcW w:w="5386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Умеренная для QP529 в почечной модели; ограниченная для QP5038 в опухолевой модели; отсутствует публично для ISM8207.</w:t>
            </w:r>
          </w:p>
        </w:tc>
      </w:tr>
      <w:tr w:rsidR="00454CBA" w:rsidRPr="00454CBA" w:rsidTr="000738F4">
        <w:tc>
          <w:tcPr>
            <w:tcW w:w="1050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D</w:t>
            </w:r>
          </w:p>
        </w:tc>
        <w:tc>
          <w:tcPr>
            <w:tcW w:w="3260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Вовлечение мишени у человека</w:t>
            </w:r>
          </w:p>
        </w:tc>
        <w:tc>
          <w:tcPr>
            <w:tcW w:w="5386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Показано для вароглутамстата по активности QC; не опубликовано для онкологической оси QPCTL - pE-CD47.</w:t>
            </w:r>
          </w:p>
        </w:tc>
      </w:tr>
      <w:tr w:rsidR="00454CBA" w:rsidRPr="00454CBA" w:rsidTr="000738F4">
        <w:tc>
          <w:tcPr>
            <w:tcW w:w="1050" w:type="dxa"/>
          </w:tcPr>
          <w:p w:rsidR="00454CBA" w:rsidRPr="00454CBA" w:rsidRDefault="00454CBA" w:rsidP="00D5704F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E</w:t>
            </w:r>
          </w:p>
        </w:tc>
        <w:tc>
          <w:tcPr>
            <w:tcW w:w="3260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Клиническая эффективность</w:t>
            </w:r>
          </w:p>
        </w:tc>
        <w:tc>
          <w:tcPr>
            <w:tcW w:w="5386" w:type="dxa"/>
          </w:tcPr>
          <w:p w:rsidR="00454CBA" w:rsidRPr="00454CBA" w:rsidRDefault="00454CBA" w:rsidP="00D5704F">
            <w:pPr>
              <w:pStyle w:val="TableText"/>
              <w:jc w:val="left"/>
              <w:rPr>
                <w:sz w:val="18"/>
              </w:rPr>
            </w:pPr>
            <w:r w:rsidRPr="00454CBA">
              <w:rPr>
                <w:sz w:val="18"/>
              </w:rPr>
              <w:t>Не доказана ни для одного онкологического, воспалительного или фибротического показания.</w:t>
            </w:r>
          </w:p>
        </w:tc>
      </w:tr>
    </w:tbl>
    <w:p w:rsidR="00454CBA" w:rsidRPr="00454CBA" w:rsidRDefault="00454CBA" w:rsidP="00454CBA"/>
    <w:p w:rsidR="00B01A2C" w:rsidRPr="00454CBA" w:rsidRDefault="00857E7C" w:rsidP="00454CBA">
      <w:pPr>
        <w:pStyle w:val="Header3"/>
      </w:pPr>
      <w:r w:rsidRPr="00454CBA">
        <w:t>1.</w:t>
      </w:r>
      <w:r w:rsidR="00454CBA">
        <w:t>1</w:t>
      </w:r>
      <w:r w:rsidRPr="00454CBA">
        <w:t xml:space="preserve">. Онкологическая ось </w:t>
      </w:r>
      <w:r>
        <w:t>QPCTL</w:t>
      </w:r>
      <w:r w:rsidRPr="00454CBA">
        <w:t xml:space="preserve"> - </w:t>
      </w:r>
      <w:r>
        <w:t>pE</w:t>
      </w:r>
      <w:r w:rsidRPr="00454CBA">
        <w:t>-</w:t>
      </w:r>
      <w:r>
        <w:t>CD</w:t>
      </w:r>
      <w:r w:rsidRPr="00454CBA">
        <w:t xml:space="preserve">47 - </w:t>
      </w:r>
      <w:r>
        <w:t>SIRPα</w:t>
      </w:r>
    </w:p>
    <w:p w:rsidR="00B01A2C" w:rsidRPr="00454CBA" w:rsidRDefault="00857E7C" w:rsidP="00454CBA">
      <w:pPr>
        <w:pStyle w:val="ReportBody"/>
      </w:pPr>
      <w:r>
        <w:t>CD</w:t>
      </w:r>
      <w:r w:rsidRPr="00454CBA">
        <w:t xml:space="preserve">47 синтезируется с </w:t>
      </w:r>
      <w:r>
        <w:t>N</w:t>
      </w:r>
      <w:r w:rsidRPr="00454CBA">
        <w:t xml:space="preserve">-концевым глутамином, который циклизуется </w:t>
      </w:r>
      <w:r>
        <w:t>QPCTL</w:t>
      </w:r>
      <w:r w:rsidRPr="00454CBA">
        <w:t xml:space="preserve">. </w:t>
      </w:r>
      <w:r w:rsidRPr="00454CBA">
        <w:t xml:space="preserve">Пироглутамат участвует в формировании интерфейса с </w:t>
      </w:r>
      <w:r>
        <w:t>SIRPα</w:t>
      </w:r>
      <w:r w:rsidRPr="00454CBA">
        <w:t xml:space="preserve">. Генетические скрининги показали, что потеря </w:t>
      </w:r>
      <w:r>
        <w:t>QPCTL</w:t>
      </w:r>
      <w:r w:rsidRPr="00454CBA">
        <w:t xml:space="preserve"> уменьшает </w:t>
      </w:r>
      <w:r>
        <w:t>pE</w:t>
      </w:r>
      <w:r w:rsidRPr="00454CBA">
        <w:t xml:space="preserve">-зависимое распознавание </w:t>
      </w:r>
      <w:r>
        <w:t>CD</w:t>
      </w:r>
      <w:r w:rsidRPr="00454CBA">
        <w:t xml:space="preserve">47 и связывание </w:t>
      </w:r>
      <w:r>
        <w:t>SIRPα</w:t>
      </w:r>
      <w:r w:rsidRPr="00454CBA">
        <w:t>, ослабляя противофагоцитарный сигнал [1, 2]. Ключевой аналитический вывод: количество о</w:t>
      </w:r>
      <w:r w:rsidRPr="00454CBA">
        <w:t xml:space="preserve">бщего </w:t>
      </w:r>
      <w:r>
        <w:t>CD</w:t>
      </w:r>
      <w:r w:rsidRPr="00454CBA">
        <w:t xml:space="preserve">47 и доля функционально пироглутамилированного </w:t>
      </w:r>
      <w:r>
        <w:t>CD</w:t>
      </w:r>
      <w:r w:rsidRPr="00454CBA">
        <w:t>47 - разные величины.</w:t>
      </w:r>
    </w:p>
    <w:p w:rsidR="00B01A2C" w:rsidRDefault="00857E7C" w:rsidP="00454CBA">
      <w:pPr>
        <w:pStyle w:val="ReportBody"/>
      </w:pPr>
      <w:r w:rsidRPr="00454CBA">
        <w:rPr>
          <w:lang w:val="ru-RU"/>
        </w:rPr>
        <w:t xml:space="preserve">Корректная панель вовлечения мишени должна включать: (1) </w:t>
      </w:r>
      <w:r>
        <w:t>pE</w:t>
      </w:r>
      <w:r w:rsidRPr="00454CBA">
        <w:rPr>
          <w:lang w:val="ru-RU"/>
        </w:rPr>
        <w:t xml:space="preserve">-чувствительный реагент/клон, валидированный на изогенной паре </w:t>
      </w:r>
      <w:r>
        <w:t>WT</w:t>
      </w:r>
      <w:r w:rsidRPr="00454CBA">
        <w:rPr>
          <w:lang w:val="ru-RU"/>
        </w:rPr>
        <w:t xml:space="preserve"> и </w:t>
      </w:r>
      <w:r>
        <w:t>QPCTL</w:t>
      </w:r>
      <w:r w:rsidRPr="00454CBA">
        <w:rPr>
          <w:lang w:val="ru-RU"/>
        </w:rPr>
        <w:t>-</w:t>
      </w:r>
      <w:r>
        <w:t>KO</w:t>
      </w:r>
      <w:r w:rsidRPr="00454CBA">
        <w:rPr>
          <w:lang w:val="ru-RU"/>
        </w:rPr>
        <w:t xml:space="preserve">; (2) </w:t>
      </w:r>
      <w:r>
        <w:t>pE</w:t>
      </w:r>
      <w:r w:rsidRPr="00454CBA">
        <w:rPr>
          <w:lang w:val="ru-RU"/>
        </w:rPr>
        <w:t xml:space="preserve">-независимый клон к общему поверхностному </w:t>
      </w:r>
      <w:r>
        <w:t>CD</w:t>
      </w:r>
      <w:r w:rsidRPr="00454CBA">
        <w:rPr>
          <w:lang w:val="ru-RU"/>
        </w:rPr>
        <w:t xml:space="preserve">47; (3) связывание </w:t>
      </w:r>
      <w:r>
        <w:t>SIRPα</w:t>
      </w:r>
      <w:r w:rsidRPr="00454CBA">
        <w:rPr>
          <w:lang w:val="ru-RU"/>
        </w:rPr>
        <w:t>-</w:t>
      </w:r>
      <w:r>
        <w:t>Fc</w:t>
      </w:r>
      <w:r w:rsidRPr="00454CBA">
        <w:rPr>
          <w:lang w:val="ru-RU"/>
        </w:rPr>
        <w:t>; (4) ортогональное подтве</w:t>
      </w:r>
      <w:r w:rsidRPr="00454CBA">
        <w:rPr>
          <w:lang w:val="ru-RU"/>
        </w:rPr>
        <w:t xml:space="preserve">рждение протеоформы методом </w:t>
      </w:r>
      <w:r>
        <w:t>LC</w:t>
      </w:r>
      <w:r w:rsidRPr="00454CBA">
        <w:rPr>
          <w:lang w:val="ru-RU"/>
        </w:rPr>
        <w:t>-</w:t>
      </w:r>
      <w:r>
        <w:t>MS</w:t>
      </w:r>
      <w:r w:rsidRPr="00454CBA">
        <w:rPr>
          <w:lang w:val="ru-RU"/>
        </w:rPr>
        <w:t xml:space="preserve"> или эквивалентным; (5) функциональный фагоцитоз первичными человеческими макрофагами. </w:t>
      </w:r>
      <w:r w:rsidRPr="00454CBA">
        <w:t>Изменение только сигнала одного антитела недостаточно, поскольку пироглутамилирование может менять распознавание эпитопа без снижения об</w:t>
      </w:r>
      <w:r w:rsidRPr="00454CBA">
        <w:t xml:space="preserve">щего поверхностного </w:t>
      </w:r>
      <w:r>
        <w:t>CD</w:t>
      </w:r>
      <w:r w:rsidRPr="00454CBA">
        <w:t>47 [9].</w:t>
      </w:r>
    </w:p>
    <w:p w:rsidR="00454CBA" w:rsidRDefault="00454CBA">
      <w:pPr>
        <w:spacing w:after="200" w:line="276" w:lineRule="auto"/>
        <w:ind w:firstLine="0"/>
        <w:jc w:val="left"/>
        <w:rPr>
          <w:rFonts w:cstheme="minorBidi"/>
          <w:szCs w:val="24"/>
          <w:lang w:val="en-US"/>
        </w:rPr>
      </w:pPr>
      <w:r>
        <w:br w:type="page"/>
      </w:r>
    </w:p>
    <w:p w:rsidR="00B01A2C" w:rsidRPr="00454CBA" w:rsidRDefault="00857E7C" w:rsidP="00454CBA">
      <w:pPr>
        <w:pStyle w:val="Header3"/>
      </w:pPr>
      <w:r w:rsidRPr="00454CBA">
        <w:t>1.</w:t>
      </w:r>
      <w:r w:rsidR="00454CBA">
        <w:t>2</w:t>
      </w:r>
      <w:r w:rsidRPr="00454CBA">
        <w:t xml:space="preserve">. Воспалительная ось </w:t>
      </w:r>
      <w:r>
        <w:t>pE</w:t>
      </w:r>
      <w:r w:rsidRPr="00454CBA">
        <w:t>-хемокинов</w:t>
      </w:r>
    </w:p>
    <w:p w:rsidR="00B01A2C" w:rsidRPr="00454CBA" w:rsidRDefault="00857E7C" w:rsidP="00454CBA">
      <w:pPr>
        <w:pStyle w:val="ReportBody"/>
      </w:pPr>
      <w:r>
        <w:t>CCL</w:t>
      </w:r>
      <w:r w:rsidRPr="00454CBA">
        <w:t xml:space="preserve">2, </w:t>
      </w:r>
      <w:r>
        <w:t>CCL</w:t>
      </w:r>
      <w:r w:rsidRPr="00454CBA">
        <w:t xml:space="preserve">7 и </w:t>
      </w:r>
      <w:r>
        <w:t>CX</w:t>
      </w:r>
      <w:r w:rsidRPr="00454CBA">
        <w:t>3</w:t>
      </w:r>
      <w:r>
        <w:t>CL</w:t>
      </w:r>
      <w:r w:rsidRPr="00454CBA">
        <w:t xml:space="preserve">1 входят в число субстратов, для которых </w:t>
      </w:r>
      <w:r>
        <w:t>N</w:t>
      </w:r>
      <w:r w:rsidRPr="00454CBA">
        <w:t xml:space="preserve">-концевая пироглутамилизация повышает устойчивость к протеолизу. Подавление </w:t>
      </w:r>
      <w:r>
        <w:t>QPCT</w:t>
      </w:r>
      <w:r w:rsidRPr="00454CBA">
        <w:t>/</w:t>
      </w:r>
      <w:r>
        <w:t>QPCTL</w:t>
      </w:r>
      <w:r w:rsidRPr="00454CBA">
        <w:t xml:space="preserve"> может уменьшать долю стабильной </w:t>
      </w:r>
      <w:r>
        <w:t>pE</w:t>
      </w:r>
      <w:r w:rsidRPr="00454CBA">
        <w:t>-формы и</w:t>
      </w:r>
      <w:r w:rsidRPr="00454CBA">
        <w:t xml:space="preserve"> тем самым снижать длительность хемокинового сигнала, миграцию моноцитов и накопление макрофагов [3, 4]. Это не равнозначно общему подавлению воспаления: эффект зависит от того, какой хемокин доминирует в конкретной ткани и стадии болезни.</w:t>
      </w:r>
    </w:p>
    <w:p w:rsidR="00B01A2C" w:rsidRDefault="00857E7C" w:rsidP="00454CBA">
      <w:pPr>
        <w:pStyle w:val="ReportBody"/>
      </w:pPr>
      <w:r w:rsidRPr="00454CBA">
        <w:t>Для этой оси общ</w:t>
      </w:r>
      <w:r w:rsidRPr="00454CBA">
        <w:t xml:space="preserve">ий </w:t>
      </w:r>
      <w:r>
        <w:t>CCL</w:t>
      </w:r>
      <w:r w:rsidRPr="00454CBA">
        <w:t xml:space="preserve">2 является недостаточным биомаркером. Его концентрация может снижаться вследствие меньшей продукции, большей деградации или изменения клиренса, тогда как механизм препарата предполагает прежде всего изменение отношения </w:t>
      </w:r>
      <w:r>
        <w:t>pE</w:t>
      </w:r>
      <w:r w:rsidRPr="00454CBA">
        <w:t>-</w:t>
      </w:r>
      <w:r>
        <w:t>CCL</w:t>
      </w:r>
      <w:r w:rsidRPr="00454CBA">
        <w:t xml:space="preserve">2/общий </w:t>
      </w:r>
      <w:r>
        <w:t>CCL</w:t>
      </w:r>
      <w:r w:rsidRPr="00454CBA">
        <w:t>2. Требуются п</w:t>
      </w:r>
      <w:r w:rsidRPr="00454CBA">
        <w:t xml:space="preserve">ротеоформ-специфичный анализ, временная </w:t>
      </w:r>
      <w:r>
        <w:t>PK</w:t>
      </w:r>
      <w:r w:rsidRPr="00454CBA">
        <w:t>/</w:t>
      </w:r>
      <w:r>
        <w:t>PD</w:t>
      </w:r>
      <w:r w:rsidRPr="00454CBA">
        <w:t>-кривая, количественная оценка моноцитов/макрофагов и функциональный исход органа.</w:t>
      </w:r>
    </w:p>
    <w:p w:rsidR="00454CBA" w:rsidRDefault="00454CBA" w:rsidP="00454CBA">
      <w:pPr>
        <w:pStyle w:val="ReportBody"/>
      </w:pPr>
    </w:p>
    <w:p w:rsidR="00B01A2C" w:rsidRPr="00454CBA" w:rsidRDefault="00B01A2C">
      <w:pPr>
        <w:sectPr w:rsidR="00B01A2C" w:rsidRPr="00454CBA">
          <w:footerReference w:type="default" r:id="rId8"/>
          <w:pgSz w:w="11906" w:h="16838"/>
          <w:pgMar w:top="1020" w:right="964" w:bottom="1020" w:left="1247" w:header="397" w:footer="454" w:gutter="0"/>
          <w:cols w:space="720"/>
          <w:docGrid w:linePitch="360"/>
        </w:sectPr>
      </w:pPr>
    </w:p>
    <w:p w:rsidR="00B01A2C" w:rsidRPr="00454CBA" w:rsidRDefault="00857E7C" w:rsidP="00454CBA">
      <w:pPr>
        <w:pStyle w:val="Header2"/>
      </w:pPr>
      <w:r w:rsidRPr="00454CBA">
        <w:t>2. ЛАНДШАФТ ИНГИБИТОРОВ И СТАДИИ РАЗРАБОТКИ</w:t>
      </w:r>
    </w:p>
    <w:tbl>
      <w:tblPr>
        <w:tblStyle w:val="TableCommon"/>
        <w:tblW w:w="15033" w:type="dxa"/>
        <w:tblLayout w:type="fixed"/>
        <w:tblLook w:val="04A0" w:firstRow="1" w:lastRow="0" w:firstColumn="1" w:lastColumn="0" w:noHBand="0" w:noVBand="1"/>
      </w:tblPr>
      <w:tblGrid>
        <w:gridCol w:w="1885"/>
        <w:gridCol w:w="2708"/>
        <w:gridCol w:w="2175"/>
        <w:gridCol w:w="2900"/>
        <w:gridCol w:w="2175"/>
        <w:gridCol w:w="3190"/>
      </w:tblGrid>
      <w:tr w:rsidR="00B01A2C" w:rsidRPr="00454CBA" w:rsidTr="00454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Соединение/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Заявленная активность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Селективность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Наиболее сильное доказательство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Стадия на дату среза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Основной пробел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QP5038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QPCTL IC50 </w:t>
            </w:r>
            <w:r w:rsidRPr="00454CBA">
              <w:rPr>
                <w:rFonts w:cs="Times New Roman"/>
                <w:sz w:val="18"/>
                <w:szCs w:val="20"/>
              </w:rPr>
              <w:t>3,8 ± 0,7 нМ; QPCT около 4,0 ± 0,8 нМ; pE-CD47 в клетках IC50 3,3 ± 0,5 нМ; SIRPα-Fc IC50 8,5 ± 4,9 нМ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Двойной QPCTL/QPCT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Снижение </w:t>
            </w:r>
            <w:r w:rsidRPr="00454CBA">
              <w:rPr>
                <w:rFonts w:cs="Times New Roman"/>
                <w:sz w:val="18"/>
                <w:szCs w:val="20"/>
              </w:rPr>
              <w:t>pE</w:t>
            </w:r>
            <w:r w:rsidRPr="00454CBA">
              <w:rPr>
                <w:rFonts w:cs="Times New Roman"/>
                <w:sz w:val="18"/>
                <w:szCs w:val="20"/>
              </w:rPr>
              <w:t>-</w:t>
            </w:r>
            <w:r w:rsidRPr="00454CBA">
              <w:rPr>
                <w:rFonts w:cs="Times New Roman"/>
                <w:sz w:val="18"/>
                <w:szCs w:val="20"/>
              </w:rPr>
              <w:t>CD</w:t>
            </w:r>
            <w:r w:rsidRPr="00454CBA">
              <w:rPr>
                <w:rFonts w:cs="Times New Roman"/>
                <w:sz w:val="18"/>
                <w:szCs w:val="20"/>
              </w:rPr>
              <w:t xml:space="preserve">47 при сохранении общего </w:t>
            </w:r>
            <w:r w:rsidRPr="00454CBA">
              <w:rPr>
                <w:rFonts w:cs="Times New Roman"/>
                <w:sz w:val="18"/>
                <w:szCs w:val="20"/>
              </w:rPr>
              <w:t>CD</w:t>
            </w:r>
            <w:r w:rsidRPr="00454CBA">
              <w:rPr>
                <w:rFonts w:cs="Times New Roman"/>
                <w:sz w:val="18"/>
                <w:szCs w:val="20"/>
              </w:rPr>
              <w:t xml:space="preserve">47; усиление антитело-зависимого фагоцитоза; комбинация с </w:t>
            </w:r>
            <w:r w:rsidRPr="00454CBA">
              <w:rPr>
                <w:rFonts w:cs="Times New Roman"/>
                <w:sz w:val="18"/>
                <w:szCs w:val="20"/>
              </w:rPr>
              <w:t>anti</w:t>
            </w:r>
            <w:r w:rsidRPr="00454CBA">
              <w:rPr>
                <w:rFonts w:cs="Times New Roman"/>
                <w:sz w:val="18"/>
                <w:szCs w:val="20"/>
              </w:rPr>
              <w:t>-</w:t>
            </w:r>
            <w:r w:rsidRPr="00454CBA">
              <w:rPr>
                <w:rFonts w:cs="Times New Roman"/>
                <w:sz w:val="18"/>
                <w:szCs w:val="20"/>
              </w:rPr>
              <w:t>PD</w:t>
            </w:r>
            <w:r w:rsidRPr="00454CBA">
              <w:rPr>
                <w:rFonts w:cs="Times New Roman"/>
                <w:sz w:val="18"/>
                <w:szCs w:val="20"/>
              </w:rPr>
              <w:t xml:space="preserve">-1 </w:t>
            </w:r>
            <w:r w:rsidRPr="00454CBA">
              <w:rPr>
                <w:rFonts w:cs="Times New Roman"/>
                <w:sz w:val="18"/>
                <w:szCs w:val="20"/>
              </w:rPr>
              <w:t>in</w:t>
            </w:r>
            <w:r w:rsidRPr="00454CBA">
              <w:rPr>
                <w:rFonts w:cs="Times New Roman"/>
                <w:sz w:val="18"/>
                <w:szCs w:val="20"/>
              </w:rPr>
              <w:t xml:space="preserve"> </w:t>
            </w:r>
            <w:r w:rsidRPr="00454CBA">
              <w:rPr>
                <w:rFonts w:cs="Times New Roman"/>
                <w:sz w:val="18"/>
                <w:szCs w:val="20"/>
              </w:rPr>
              <w:t>vivo</w:t>
            </w:r>
            <w:r w:rsidRPr="00454CBA">
              <w:rPr>
                <w:rFonts w:cs="Times New Roman"/>
                <w:sz w:val="18"/>
                <w:szCs w:val="20"/>
              </w:rPr>
              <w:t xml:space="preserve"> [6]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Доклинический</w:t>
            </w:r>
            <w:r w:rsidRPr="00454CBA">
              <w:rPr>
                <w:rFonts w:cs="Times New Roman"/>
                <w:sz w:val="18"/>
                <w:szCs w:val="20"/>
              </w:rPr>
              <w:t xml:space="preserve"> инструмент/ранний lead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Нет полного </w:t>
            </w:r>
            <w:r w:rsidRPr="00454CBA">
              <w:rPr>
                <w:rFonts w:cs="Times New Roman"/>
                <w:sz w:val="18"/>
                <w:szCs w:val="20"/>
              </w:rPr>
              <w:t>PK</w:t>
            </w:r>
            <w:r w:rsidRPr="00454CBA">
              <w:rPr>
                <w:rFonts w:cs="Times New Roman"/>
                <w:sz w:val="18"/>
                <w:szCs w:val="20"/>
              </w:rPr>
              <w:t>/</w:t>
            </w:r>
            <w:r w:rsidRPr="00454CBA">
              <w:rPr>
                <w:rFonts w:cs="Times New Roman"/>
                <w:sz w:val="18"/>
                <w:szCs w:val="20"/>
              </w:rPr>
              <w:t>PD</w:t>
            </w:r>
            <w:r w:rsidRPr="00454CBA">
              <w:rPr>
                <w:rFonts w:cs="Times New Roman"/>
                <w:sz w:val="18"/>
                <w:szCs w:val="20"/>
              </w:rPr>
              <w:t xml:space="preserve">, селективности и безопасности; функциональная концентрация 10 мкМ существенно выше клеточного </w:t>
            </w:r>
            <w:r w:rsidRPr="00454CBA">
              <w:rPr>
                <w:rFonts w:cs="Times New Roman"/>
                <w:sz w:val="18"/>
                <w:szCs w:val="20"/>
              </w:rPr>
              <w:t>IC</w:t>
            </w:r>
            <w:r w:rsidRPr="00454CBA">
              <w:rPr>
                <w:rFonts w:cs="Times New Roman"/>
                <w:sz w:val="18"/>
                <w:szCs w:val="20"/>
              </w:rPr>
              <w:t>50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QP5020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QPCTL IC50 15 ± 5,5 нМ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Вероятно двойной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Биохимическая и ранняя клеточная активность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Доклинический lead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Огра</w:t>
            </w:r>
            <w:r w:rsidRPr="00454CBA">
              <w:rPr>
                <w:rFonts w:cs="Times New Roman"/>
                <w:sz w:val="18"/>
                <w:szCs w:val="20"/>
              </w:rPr>
              <w:t xml:space="preserve">ниченный публичный функциональный и </w:t>
            </w:r>
            <w:r w:rsidRPr="00454CBA">
              <w:rPr>
                <w:rFonts w:cs="Times New Roman"/>
                <w:sz w:val="18"/>
                <w:szCs w:val="20"/>
              </w:rPr>
              <w:t>in</w:t>
            </w:r>
            <w:r w:rsidRPr="00454CBA">
              <w:rPr>
                <w:rFonts w:cs="Times New Roman"/>
                <w:sz w:val="18"/>
                <w:szCs w:val="20"/>
              </w:rPr>
              <w:t xml:space="preserve"> </w:t>
            </w:r>
            <w:r w:rsidRPr="00454CBA">
              <w:rPr>
                <w:rFonts w:cs="Times New Roman"/>
                <w:sz w:val="18"/>
                <w:szCs w:val="20"/>
              </w:rPr>
              <w:t>vivo</w:t>
            </w:r>
            <w:r w:rsidRPr="00454CBA">
              <w:rPr>
                <w:rFonts w:cs="Times New Roman"/>
                <w:sz w:val="18"/>
                <w:szCs w:val="20"/>
              </w:rPr>
              <w:t xml:space="preserve"> пакет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SEN177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QPCTL IC50 около 131 нМ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Недостаточно определена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Использование как химического инструмента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Доклинический инструмент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Умеренная активность и ограниченная характеристика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Соединение 22b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QPCT IC50 17 нМ;</w:t>
            </w:r>
            <w:r w:rsidRPr="00454CBA">
              <w:rPr>
                <w:rFonts w:cs="Times New Roman"/>
                <w:sz w:val="18"/>
                <w:szCs w:val="20"/>
              </w:rPr>
              <w:t xml:space="preserve"> QPCTL 73 нМ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Около 4,3-кратной QPCT-предпочтительности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Структурно-активностная оптимизация [7]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Доклиническая химия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Небольшое окно селективности; нет развитого </w:t>
            </w:r>
            <w:r w:rsidRPr="00454CBA">
              <w:rPr>
                <w:rFonts w:cs="Times New Roman"/>
                <w:sz w:val="18"/>
                <w:szCs w:val="20"/>
              </w:rPr>
              <w:t>disease</w:t>
            </w:r>
            <w:r w:rsidRPr="00454CBA">
              <w:rPr>
                <w:rFonts w:cs="Times New Roman"/>
                <w:sz w:val="18"/>
                <w:szCs w:val="20"/>
              </w:rPr>
              <w:t xml:space="preserve"> </w:t>
            </w:r>
            <w:r w:rsidRPr="00454CBA">
              <w:rPr>
                <w:rFonts w:cs="Times New Roman"/>
                <w:sz w:val="18"/>
                <w:szCs w:val="20"/>
              </w:rPr>
              <w:t>package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Соединение 30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QPCTL 590 нМ; QPCT 830 нМ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Слабый двойной ингибитор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Ранние данные </w:t>
            </w:r>
            <w:r w:rsidRPr="00454CBA">
              <w:rPr>
                <w:rFonts w:cs="Times New Roman"/>
                <w:sz w:val="18"/>
                <w:szCs w:val="20"/>
              </w:rPr>
              <w:t>медицинской химии [23]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Доклиническая химия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Недостаточная мощность и трансляционный пакет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PQ529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Для rat isoQC IC50 около 20 нМ; human около 37 нМ; mouse около 43 нМ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Двойной/isoQC-активный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Почечная </w:t>
            </w:r>
            <w:r w:rsidRPr="00454CBA">
              <w:rPr>
                <w:rFonts w:cs="Times New Roman"/>
                <w:sz w:val="18"/>
                <w:szCs w:val="20"/>
              </w:rPr>
              <w:t>PK</w:t>
            </w:r>
            <w:r w:rsidRPr="00454CBA">
              <w:rPr>
                <w:rFonts w:cs="Times New Roman"/>
                <w:sz w:val="18"/>
                <w:szCs w:val="20"/>
              </w:rPr>
              <w:t>/</w:t>
            </w:r>
            <w:r w:rsidRPr="00454CBA">
              <w:rPr>
                <w:rFonts w:cs="Times New Roman"/>
                <w:sz w:val="18"/>
                <w:szCs w:val="20"/>
              </w:rPr>
              <w:t>PD</w:t>
            </w:r>
            <w:r w:rsidRPr="00454CBA">
              <w:rPr>
                <w:rFonts w:cs="Times New Roman"/>
                <w:sz w:val="18"/>
                <w:szCs w:val="20"/>
              </w:rPr>
              <w:t xml:space="preserve"> и эффективность в </w:t>
            </w:r>
            <w:r w:rsidRPr="00454CBA">
              <w:rPr>
                <w:rFonts w:cs="Times New Roman"/>
                <w:sz w:val="18"/>
                <w:szCs w:val="20"/>
              </w:rPr>
              <w:t>anti</w:t>
            </w:r>
            <w:r w:rsidRPr="00454CBA">
              <w:rPr>
                <w:rFonts w:cs="Times New Roman"/>
                <w:sz w:val="18"/>
                <w:szCs w:val="20"/>
              </w:rPr>
              <w:t>-</w:t>
            </w:r>
            <w:r w:rsidRPr="00454CBA">
              <w:rPr>
                <w:rFonts w:cs="Times New Roman"/>
                <w:sz w:val="18"/>
                <w:szCs w:val="20"/>
              </w:rPr>
              <w:t>GBM</w:t>
            </w:r>
            <w:r w:rsidRPr="00454CBA">
              <w:rPr>
                <w:rFonts w:cs="Times New Roman"/>
                <w:sz w:val="18"/>
                <w:szCs w:val="20"/>
              </w:rPr>
              <w:t>-гломерулонефрите [11]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Доклинический lead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Профилактический/ранний режим, нет человека и доказательства обращения фиброза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Вароглутамстат (PQ912)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QPCT</w:t>
            </w:r>
            <w:r w:rsidRPr="00454CBA">
              <w:rPr>
                <w:rFonts w:cs="Times New Roman"/>
                <w:sz w:val="18"/>
                <w:szCs w:val="20"/>
              </w:rPr>
              <w:t xml:space="preserve"> </w:t>
            </w:r>
            <w:r w:rsidRPr="00454CBA">
              <w:rPr>
                <w:rFonts w:cs="Times New Roman"/>
                <w:sz w:val="18"/>
                <w:szCs w:val="20"/>
              </w:rPr>
              <w:t>Kd</w:t>
            </w:r>
            <w:r w:rsidRPr="00454CBA">
              <w:rPr>
                <w:rFonts w:cs="Times New Roman"/>
                <w:sz w:val="18"/>
                <w:szCs w:val="20"/>
              </w:rPr>
              <w:t xml:space="preserve"> около 17 нМ; </w:t>
            </w:r>
            <w:r w:rsidRPr="00454CBA">
              <w:rPr>
                <w:rFonts w:cs="Times New Roman"/>
                <w:sz w:val="18"/>
                <w:szCs w:val="20"/>
              </w:rPr>
              <w:t>Ki</w:t>
            </w:r>
            <w:r w:rsidRPr="00454CBA">
              <w:rPr>
                <w:rFonts w:cs="Times New Roman"/>
                <w:sz w:val="18"/>
                <w:szCs w:val="20"/>
              </w:rPr>
              <w:t xml:space="preserve"> в разных форматах около 20-65 нМ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Двойной QC/isoQC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Хроническое применение у человека, сывороточное и </w:t>
            </w:r>
            <w:r w:rsidRPr="00454CBA">
              <w:rPr>
                <w:rFonts w:cs="Times New Roman"/>
                <w:sz w:val="18"/>
                <w:szCs w:val="20"/>
              </w:rPr>
              <w:t>CSF</w:t>
            </w:r>
            <w:r w:rsidRPr="00454CBA">
              <w:rPr>
                <w:rFonts w:cs="Times New Roman"/>
                <w:sz w:val="18"/>
                <w:szCs w:val="20"/>
              </w:rPr>
              <w:t xml:space="preserve">-вовлечение </w:t>
            </w:r>
            <w:r w:rsidRPr="00454CBA">
              <w:rPr>
                <w:rFonts w:cs="Times New Roman"/>
                <w:sz w:val="18"/>
                <w:szCs w:val="20"/>
              </w:rPr>
              <w:t>QC</w:t>
            </w:r>
            <w:r w:rsidRPr="00454CBA">
              <w:rPr>
                <w:rFonts w:cs="Times New Roman"/>
                <w:sz w:val="18"/>
                <w:szCs w:val="20"/>
              </w:rPr>
              <w:t>; исследовательские почечные сигналы [14-18]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Клинический, программы в болезни Альцгеймера; нефрологическая программа не начата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Нет специализированного рандомизированного исследования болезни почек; переносимость высоких доз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PQ50/QP5020-подобные серии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Низко-/средненаномолярная активность в отдельных отчётах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Часто двойные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SAR и клеточные биомаркеры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Доклинические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Несопоставимость форматов и ограниченная публикация данных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ISM8207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QPCTL</w:t>
            </w:r>
            <w:r w:rsidRPr="00454CBA">
              <w:rPr>
                <w:rFonts w:cs="Times New Roman"/>
                <w:sz w:val="18"/>
                <w:szCs w:val="20"/>
              </w:rPr>
              <w:t xml:space="preserve"> </w:t>
            </w:r>
            <w:r w:rsidRPr="00454CBA">
              <w:rPr>
                <w:rFonts w:cs="Times New Roman"/>
                <w:sz w:val="18"/>
                <w:szCs w:val="20"/>
              </w:rPr>
              <w:t>IC</w:t>
            </w:r>
            <w:r w:rsidRPr="00454CBA">
              <w:rPr>
                <w:rFonts w:cs="Times New Roman"/>
                <w:sz w:val="18"/>
                <w:szCs w:val="20"/>
              </w:rPr>
              <w:t xml:space="preserve">50 заявлена около 0,296 нМ; клеточное </w:t>
            </w:r>
            <w:r w:rsidRPr="00454CBA">
              <w:rPr>
                <w:rFonts w:cs="Times New Roman"/>
                <w:sz w:val="18"/>
                <w:szCs w:val="20"/>
              </w:rPr>
              <w:t xml:space="preserve">подавление </w:t>
            </w:r>
            <w:r w:rsidRPr="00454CBA">
              <w:rPr>
                <w:rFonts w:cs="Times New Roman"/>
                <w:sz w:val="18"/>
                <w:szCs w:val="20"/>
              </w:rPr>
              <w:t>SIRPα</w:t>
            </w:r>
            <w:r w:rsidRPr="00454CBA">
              <w:rPr>
                <w:rFonts w:cs="Times New Roman"/>
                <w:sz w:val="18"/>
                <w:szCs w:val="20"/>
              </w:rPr>
              <w:t>-связывания около 0,045 мкМ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Заявлена </w:t>
            </w:r>
            <w:r w:rsidRPr="00454CBA">
              <w:rPr>
                <w:rFonts w:cs="Times New Roman"/>
                <w:sz w:val="18"/>
                <w:szCs w:val="20"/>
              </w:rPr>
              <w:t>QPCTL</w:t>
            </w:r>
            <w:r w:rsidRPr="00454CBA">
              <w:rPr>
                <w:rFonts w:cs="Times New Roman"/>
                <w:sz w:val="18"/>
                <w:szCs w:val="20"/>
              </w:rPr>
              <w:t xml:space="preserve">-направленность, </w:t>
            </w:r>
            <w:r w:rsidRPr="00454CBA">
              <w:rPr>
                <w:rFonts w:cs="Times New Roman"/>
                <w:sz w:val="18"/>
                <w:szCs w:val="20"/>
              </w:rPr>
              <w:t>QPCT</w:t>
            </w:r>
            <w:r w:rsidRPr="00454CBA">
              <w:rPr>
                <w:rFonts w:cs="Times New Roman"/>
                <w:sz w:val="18"/>
                <w:szCs w:val="20"/>
              </w:rPr>
              <w:t xml:space="preserve"> </w:t>
            </w:r>
            <w:r w:rsidRPr="00454CBA">
              <w:rPr>
                <w:rFonts w:cs="Times New Roman"/>
                <w:sz w:val="18"/>
                <w:szCs w:val="20"/>
              </w:rPr>
              <w:t>counter</w:t>
            </w:r>
            <w:r w:rsidRPr="00454CBA">
              <w:rPr>
                <w:rFonts w:cs="Times New Roman"/>
                <w:sz w:val="18"/>
                <w:szCs w:val="20"/>
              </w:rPr>
              <w:t>-</w:t>
            </w:r>
            <w:r w:rsidRPr="00454CBA">
              <w:rPr>
                <w:rFonts w:cs="Times New Roman"/>
                <w:sz w:val="18"/>
                <w:szCs w:val="20"/>
              </w:rPr>
              <w:t>screen</w:t>
            </w:r>
            <w:r w:rsidRPr="00454CBA">
              <w:rPr>
                <w:rFonts w:cs="Times New Roman"/>
                <w:sz w:val="18"/>
                <w:szCs w:val="20"/>
              </w:rPr>
              <w:t xml:space="preserve"> не опубликован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Переход в фазу I [19, 20]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Фаза </w:t>
            </w:r>
            <w:r w:rsidRPr="00454CBA">
              <w:rPr>
                <w:rFonts w:cs="Times New Roman"/>
                <w:sz w:val="18"/>
                <w:szCs w:val="20"/>
              </w:rPr>
              <w:t>I</w:t>
            </w:r>
            <w:r w:rsidRPr="00454CBA">
              <w:rPr>
                <w:rFonts w:cs="Times New Roman"/>
                <w:sz w:val="18"/>
                <w:szCs w:val="20"/>
              </w:rPr>
              <w:t xml:space="preserve">, </w:t>
            </w:r>
            <w:r w:rsidRPr="00454CBA">
              <w:rPr>
                <w:rFonts w:cs="Times New Roman"/>
                <w:sz w:val="18"/>
                <w:szCs w:val="20"/>
              </w:rPr>
              <w:t>NCT</w:t>
            </w:r>
            <w:r w:rsidRPr="00454CBA">
              <w:rPr>
                <w:rFonts w:cs="Times New Roman"/>
                <w:sz w:val="18"/>
                <w:szCs w:val="20"/>
              </w:rPr>
              <w:t>06445517, набор продолжается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Структура, человеческие </w:t>
            </w:r>
            <w:r w:rsidRPr="00454CBA">
              <w:rPr>
                <w:rFonts w:cs="Times New Roman"/>
                <w:sz w:val="18"/>
                <w:szCs w:val="20"/>
              </w:rPr>
              <w:t>PK</w:t>
            </w:r>
            <w:r w:rsidRPr="00454CBA">
              <w:rPr>
                <w:rFonts w:cs="Times New Roman"/>
                <w:sz w:val="18"/>
                <w:szCs w:val="20"/>
              </w:rPr>
              <w:t>/</w:t>
            </w:r>
            <w:r w:rsidRPr="00454CBA">
              <w:rPr>
                <w:rFonts w:cs="Times New Roman"/>
                <w:sz w:val="18"/>
                <w:szCs w:val="20"/>
              </w:rPr>
              <w:t>PD</w:t>
            </w:r>
            <w:r w:rsidRPr="00454CBA">
              <w:rPr>
                <w:rFonts w:cs="Times New Roman"/>
                <w:sz w:val="18"/>
                <w:szCs w:val="20"/>
              </w:rPr>
              <w:t>, безопасность и ответы не опубликованы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SC-2882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Пероральный ингибитор </w:t>
            </w:r>
            <w:r w:rsidRPr="00454CBA">
              <w:rPr>
                <w:rFonts w:cs="Times New Roman"/>
                <w:sz w:val="18"/>
                <w:szCs w:val="20"/>
              </w:rPr>
              <w:t>QPCTL</w:t>
            </w:r>
            <w:r w:rsidRPr="00454CBA">
              <w:rPr>
                <w:rFonts w:cs="Times New Roman"/>
                <w:sz w:val="18"/>
                <w:szCs w:val="20"/>
              </w:rPr>
              <w:t>; количественный полный профиль не опубликован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Заявлена селективность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Доклиническая противоопухолевая активность в материалах </w:t>
            </w:r>
            <w:r w:rsidRPr="00454CBA">
              <w:rPr>
                <w:rFonts w:cs="Times New Roman"/>
                <w:sz w:val="18"/>
                <w:szCs w:val="20"/>
              </w:rPr>
              <w:t>AACR</w:t>
            </w:r>
            <w:r w:rsidRPr="00454CBA">
              <w:rPr>
                <w:rFonts w:cs="Times New Roman"/>
                <w:sz w:val="18"/>
                <w:szCs w:val="20"/>
              </w:rPr>
              <w:t xml:space="preserve"> [21]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Доклинический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Нет рецензируемого полного пакета и зарегистрированного клинического результата</w:t>
            </w:r>
          </w:p>
        </w:tc>
      </w:tr>
      <w:tr w:rsidR="00B01A2C" w:rsidRPr="00454CBA" w:rsidTr="00454CBA">
        <w:tc>
          <w:tcPr>
            <w:tcW w:w="188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DBPR22998/</w:t>
            </w:r>
            <w:r w:rsidR="00454CBA">
              <w:rPr>
                <w:rFonts w:cs="Times New Roman"/>
                <w:sz w:val="18"/>
                <w:szCs w:val="20"/>
              </w:rPr>
              <w:br/>
            </w:r>
            <w:r w:rsidRPr="00454CBA">
              <w:rPr>
                <w:rFonts w:cs="Times New Roman"/>
                <w:sz w:val="18"/>
                <w:szCs w:val="20"/>
              </w:rPr>
              <w:t>BPRQC298</w:t>
            </w:r>
          </w:p>
        </w:tc>
        <w:tc>
          <w:tcPr>
            <w:tcW w:w="2708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Заявлена субнаномолярная QPCTL-активность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Заявлена селективность</w:t>
            </w:r>
          </w:p>
        </w:tc>
        <w:tc>
          <w:tcPr>
            <w:tcW w:w="290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Институциональный доклинический пакет, включая 14-дневную </w:t>
            </w:r>
            <w:r w:rsidRPr="00454CBA">
              <w:rPr>
                <w:rFonts w:cs="Times New Roman"/>
                <w:sz w:val="18"/>
                <w:szCs w:val="20"/>
              </w:rPr>
              <w:t>non</w:t>
            </w:r>
            <w:r w:rsidRPr="00454CBA">
              <w:rPr>
                <w:rFonts w:cs="Times New Roman"/>
                <w:sz w:val="18"/>
                <w:szCs w:val="20"/>
              </w:rPr>
              <w:t>-</w:t>
            </w:r>
            <w:r w:rsidRPr="00454CBA">
              <w:rPr>
                <w:rFonts w:cs="Times New Roman"/>
                <w:sz w:val="18"/>
                <w:szCs w:val="20"/>
              </w:rPr>
              <w:t>GLP</w:t>
            </w:r>
            <w:r w:rsidRPr="00454CBA">
              <w:rPr>
                <w:rFonts w:cs="Times New Roman"/>
                <w:sz w:val="18"/>
                <w:szCs w:val="20"/>
              </w:rPr>
              <w:t xml:space="preserve"> токсикологию </w:t>
            </w:r>
            <w:r w:rsidRPr="00454CBA">
              <w:rPr>
                <w:rFonts w:cs="Times New Roman"/>
                <w:sz w:val="18"/>
                <w:szCs w:val="20"/>
              </w:rPr>
              <w:t>[22]</w:t>
            </w:r>
          </w:p>
        </w:tc>
        <w:tc>
          <w:tcPr>
            <w:tcW w:w="2175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>Доклинический</w:t>
            </w:r>
          </w:p>
        </w:tc>
        <w:tc>
          <w:tcPr>
            <w:tcW w:w="3190" w:type="dxa"/>
          </w:tcPr>
          <w:p w:rsidR="00B01A2C" w:rsidRPr="00454CBA" w:rsidRDefault="00857E7C" w:rsidP="00454CBA">
            <w:pPr>
              <w:pStyle w:val="TableText"/>
              <w:jc w:val="left"/>
              <w:rPr>
                <w:rFonts w:cs="Times New Roman"/>
                <w:sz w:val="18"/>
                <w:szCs w:val="20"/>
              </w:rPr>
            </w:pPr>
            <w:r w:rsidRPr="00454CBA">
              <w:rPr>
                <w:rFonts w:cs="Times New Roman"/>
                <w:sz w:val="18"/>
                <w:szCs w:val="20"/>
              </w:rPr>
              <w:t xml:space="preserve">Требуются независимое подтверждение, </w:t>
            </w:r>
            <w:r w:rsidRPr="00454CBA">
              <w:rPr>
                <w:rFonts w:cs="Times New Roman"/>
                <w:sz w:val="18"/>
                <w:szCs w:val="20"/>
              </w:rPr>
              <w:t>GLP</w:t>
            </w:r>
            <w:r w:rsidRPr="00454CBA">
              <w:rPr>
                <w:rFonts w:cs="Times New Roman"/>
                <w:sz w:val="18"/>
                <w:szCs w:val="20"/>
              </w:rPr>
              <w:t xml:space="preserve">-безопасность и клиническая </w:t>
            </w:r>
            <w:r w:rsidRPr="00454CBA">
              <w:rPr>
                <w:rFonts w:cs="Times New Roman"/>
                <w:sz w:val="18"/>
                <w:szCs w:val="20"/>
              </w:rPr>
              <w:t>трансляция</w:t>
            </w:r>
          </w:p>
        </w:tc>
      </w:tr>
    </w:tbl>
    <w:p w:rsidR="00B01A2C" w:rsidRPr="00454CBA" w:rsidRDefault="00B01A2C">
      <w:pPr>
        <w:sectPr w:rsidR="00B01A2C" w:rsidRPr="00454CBA">
          <w:headerReference w:type="default" r:id="rId9"/>
          <w:footerReference w:type="default" r:id="rId10"/>
          <w:pgSz w:w="16838" w:h="11906" w:orient="landscape"/>
          <w:pgMar w:top="907" w:right="850" w:bottom="907" w:left="850" w:header="397" w:footer="454" w:gutter="0"/>
          <w:cols w:space="720"/>
          <w:docGrid w:linePitch="360"/>
        </w:sectPr>
      </w:pPr>
    </w:p>
    <w:p w:rsidR="00B01A2C" w:rsidRPr="00454CBA" w:rsidRDefault="00857E7C" w:rsidP="00454CBA">
      <w:pPr>
        <w:pStyle w:val="Header3"/>
      </w:pPr>
      <w:r w:rsidRPr="00454CBA">
        <w:t>3. ОНКОЛОГИЧЕСКОЕ НАПРАВЛЕНИЕ</w:t>
      </w:r>
    </w:p>
    <w:p w:rsidR="00B01A2C" w:rsidRDefault="00857E7C" w:rsidP="00454CBA">
      <w:pPr>
        <w:pStyle w:val="ReportBody"/>
      </w:pPr>
      <w:r w:rsidRPr="00454CBA">
        <w:t xml:space="preserve">Ландшафт показывает разрыв между мощностью отдельных молекул </w:t>
      </w:r>
      <w:r>
        <w:t>in</w:t>
      </w:r>
      <w:r w:rsidRPr="00454CBA">
        <w:t xml:space="preserve"> </w:t>
      </w:r>
      <w:r>
        <w:t>vitro</w:t>
      </w:r>
      <w:r w:rsidRPr="00454CBA">
        <w:t xml:space="preserve"> и </w:t>
      </w:r>
      <w:r w:rsidRPr="00454CBA">
        <w:t xml:space="preserve">зрелостью трансляционного пакета. Наномолярное значение </w:t>
      </w:r>
      <w:r>
        <w:t>IC</w:t>
      </w:r>
      <w:r w:rsidRPr="00454CBA">
        <w:t xml:space="preserve">50 само по себе не определяет разработочный потенциал. Для внутриклеточно/аппаратно локализованной мишени важны проникновение в нужный клеточный компартмент, длительность ингибирования относительно </w:t>
      </w:r>
      <w:r w:rsidRPr="00454CBA">
        <w:t xml:space="preserve">обновления субстрата и свободная концентрация в ткани. Кроме того, двойное ингибирование </w:t>
      </w:r>
      <w:r>
        <w:t>QPCT</w:t>
      </w:r>
      <w:r w:rsidRPr="00454CBA">
        <w:t>/</w:t>
      </w:r>
      <w:r>
        <w:t>QPCTL</w:t>
      </w:r>
      <w:r w:rsidRPr="00454CBA">
        <w:t xml:space="preserve"> может быть полезно для хемокиновой оси, но усложняет интерпретацию безопасности и </w:t>
      </w:r>
      <w:r>
        <w:t>attribution</w:t>
      </w:r>
      <w:r w:rsidRPr="00454CBA">
        <w:t xml:space="preserve"> в онкологии.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>3.1. Трансляционная гипотеза</w:t>
      </w:r>
    </w:p>
    <w:p w:rsidR="00B01A2C" w:rsidRPr="00454CBA" w:rsidRDefault="00857E7C" w:rsidP="00454CBA">
      <w:pPr>
        <w:pStyle w:val="ReportBody"/>
      </w:pPr>
      <w:r w:rsidRPr="00454CBA">
        <w:t>Функциональный резул</w:t>
      </w:r>
      <w:r w:rsidRPr="00454CBA">
        <w:t xml:space="preserve">ьтат </w:t>
      </w:r>
      <w:r>
        <w:t>QPCTL</w:t>
      </w:r>
      <w:r w:rsidRPr="00454CBA">
        <w:t xml:space="preserve">-ингибирования - появление на вновь синтезируемом </w:t>
      </w:r>
      <w:r>
        <w:t>CD</w:t>
      </w:r>
      <w:r w:rsidRPr="00454CBA">
        <w:t xml:space="preserve">47 </w:t>
      </w:r>
      <w:r>
        <w:t>N</w:t>
      </w:r>
      <w:r w:rsidRPr="00454CBA">
        <w:t xml:space="preserve">-конца без пироглутамата и снижение сродства к </w:t>
      </w:r>
      <w:r>
        <w:t>SIRPα</w:t>
      </w:r>
      <w:r w:rsidRPr="00454CBA">
        <w:t xml:space="preserve">. В отличие от прямого антитела к </w:t>
      </w:r>
      <w:r>
        <w:t>CD</w:t>
      </w:r>
      <w:r w:rsidRPr="00454CBA">
        <w:t xml:space="preserve">47, малая молекула не должна оккупировать каждый </w:t>
      </w:r>
      <w:r>
        <w:t>CD</w:t>
      </w:r>
      <w:r w:rsidRPr="00454CBA">
        <w:t>47 на циркулирующих клетках. Теоретически это может</w:t>
      </w:r>
      <w:r w:rsidRPr="00454CBA">
        <w:t xml:space="preserve"> уменьшить антигенный сток и острые гематологические эффекты, а пероральная дозировка облегчает комбинирование. Но зрелые эритроциты и тромбоциты не синтезируют новый </w:t>
      </w:r>
      <w:r>
        <w:t>CD</w:t>
      </w:r>
      <w:r w:rsidRPr="00454CBA">
        <w:t>47, поэтому острый эффект может быть слабым, тогда как длительное воздействие на предше</w:t>
      </w:r>
      <w:r w:rsidRPr="00454CBA">
        <w:t>ственники, ретикулоциты и иммунные клетки остаётся неизвестным. Реальный профиль риска должен определяться экспериментально.</w:t>
      </w:r>
    </w:p>
    <w:p w:rsidR="00B01A2C" w:rsidRDefault="00857E7C" w:rsidP="00454CBA">
      <w:pPr>
        <w:pStyle w:val="ReportBody"/>
      </w:pPr>
      <w:r w:rsidRPr="00454CBA">
        <w:t xml:space="preserve">Оптимальная терапевтическая модель, вероятно, комбинационная. Ослабление </w:t>
      </w:r>
      <w:r>
        <w:t>CD</w:t>
      </w:r>
      <w:r w:rsidRPr="00454CBA">
        <w:t>47-</w:t>
      </w:r>
      <w:r>
        <w:t>SIRPα</w:t>
      </w:r>
      <w:r w:rsidRPr="00454CBA">
        <w:t xml:space="preserve"> снимает тормозящий сигнал, но для продуктивного</w:t>
      </w:r>
      <w:r w:rsidRPr="00454CBA">
        <w:t xml:space="preserve"> фагоцитоза часто требуется активирующая </w:t>
      </w:r>
      <w:r>
        <w:t>Fc</w:t>
      </w:r>
      <w:r w:rsidRPr="00454CBA">
        <w:t xml:space="preserve">-опсонизация или воспалительный контекст. Поэтому логичны сочетания с </w:t>
      </w:r>
      <w:r>
        <w:t>anti</w:t>
      </w:r>
      <w:r w:rsidRPr="00454CBA">
        <w:t>-</w:t>
      </w:r>
      <w:r>
        <w:t>CD</w:t>
      </w:r>
      <w:r w:rsidRPr="00454CBA">
        <w:t xml:space="preserve">20 при </w:t>
      </w:r>
      <w:r>
        <w:t>B</w:t>
      </w:r>
      <w:r w:rsidRPr="00454CBA">
        <w:t xml:space="preserve">-клеточных лимфомах, </w:t>
      </w:r>
      <w:r>
        <w:t>trastuzumab</w:t>
      </w:r>
      <w:r w:rsidRPr="00454CBA">
        <w:t xml:space="preserve"> при </w:t>
      </w:r>
      <w:r>
        <w:t>HER</w:t>
      </w:r>
      <w:r w:rsidRPr="00454CBA">
        <w:t xml:space="preserve">2-положительных опухолях, опухоль-специфическими антителами и </w:t>
      </w:r>
      <w:r>
        <w:t>anti</w:t>
      </w:r>
      <w:r w:rsidRPr="00454CBA">
        <w:t>-</w:t>
      </w:r>
      <w:r>
        <w:t>PD</w:t>
      </w:r>
      <w:r w:rsidRPr="00454CBA">
        <w:t>-1/</w:t>
      </w:r>
      <w:r>
        <w:t>PD</w:t>
      </w:r>
      <w:r w:rsidRPr="00454CBA">
        <w:t>-</w:t>
      </w:r>
      <w:r>
        <w:t>L</w:t>
      </w:r>
      <w:r w:rsidRPr="00454CBA">
        <w:t>1. Комбинаци</w:t>
      </w:r>
      <w:r w:rsidRPr="00454CBA">
        <w:t>я должна оцениваться матричным дизайном с доказательством сверхаддитивности, а не сравнением только «комбинация против контроля».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 xml:space="preserve">3.2. </w:t>
      </w:r>
      <w:r>
        <w:t>QP</w:t>
      </w:r>
      <w:r w:rsidRPr="00454CBA">
        <w:t xml:space="preserve">5038 как </w:t>
      </w:r>
      <w:r>
        <w:t>proof</w:t>
      </w:r>
      <w:r w:rsidRPr="00454CBA">
        <w:t>-</w:t>
      </w:r>
      <w:r>
        <w:t>of</w:t>
      </w:r>
      <w:r w:rsidRPr="00454CBA">
        <w:t>-</w:t>
      </w:r>
      <w:r>
        <w:t>mechanism</w:t>
      </w:r>
    </w:p>
    <w:p w:rsidR="00B01A2C" w:rsidRPr="00454CBA" w:rsidRDefault="00857E7C" w:rsidP="00454CBA">
      <w:pPr>
        <w:pStyle w:val="ReportBody"/>
      </w:pPr>
      <w:r>
        <w:t>QP</w:t>
      </w:r>
      <w:r w:rsidRPr="00454CBA">
        <w:t xml:space="preserve">5038 демонстрирует редкую для класса согласованность биохимического, клеточного и </w:t>
      </w:r>
      <w:r w:rsidRPr="00454CBA">
        <w:t xml:space="preserve">функционального сигналов [6]. Почти одинаковая активность против </w:t>
      </w:r>
      <w:r>
        <w:t>QPCTL</w:t>
      </w:r>
      <w:r w:rsidRPr="00454CBA">
        <w:t xml:space="preserve"> и </w:t>
      </w:r>
      <w:r>
        <w:t>QPCT</w:t>
      </w:r>
      <w:r w:rsidRPr="00454CBA">
        <w:t xml:space="preserve"> указывает на двойной профиль. В клетках уменьшались </w:t>
      </w:r>
      <w:r>
        <w:t>pE</w:t>
      </w:r>
      <w:r w:rsidRPr="00454CBA">
        <w:t xml:space="preserve">-зависимый сигнал </w:t>
      </w:r>
      <w:r>
        <w:t>CD</w:t>
      </w:r>
      <w:r w:rsidRPr="00454CBA">
        <w:t xml:space="preserve">47 и связывание </w:t>
      </w:r>
      <w:r>
        <w:t>SIRPα</w:t>
      </w:r>
      <w:r w:rsidRPr="00454CBA">
        <w:t>-</w:t>
      </w:r>
      <w:r>
        <w:t>Fc</w:t>
      </w:r>
      <w:r w:rsidRPr="00454CBA">
        <w:t xml:space="preserve">, тогда как общий поверхностный </w:t>
      </w:r>
      <w:r>
        <w:t>CD</w:t>
      </w:r>
      <w:r w:rsidRPr="00454CBA">
        <w:t>47 сохранялся. Это является правильной сигнату</w:t>
      </w:r>
      <w:r w:rsidRPr="00454CBA">
        <w:t xml:space="preserve">рой механизма. Усиление фагоцитоза в присутствии опухоль-опсонизирующих антител и улучшение эффекта </w:t>
      </w:r>
      <w:r>
        <w:t>anti</w:t>
      </w:r>
      <w:r w:rsidRPr="00454CBA">
        <w:t>-</w:t>
      </w:r>
      <w:r>
        <w:t>PD</w:t>
      </w:r>
      <w:r w:rsidRPr="00454CBA">
        <w:t xml:space="preserve">-1 в модели </w:t>
      </w:r>
      <w:r>
        <w:t>B</w:t>
      </w:r>
      <w:r w:rsidRPr="00454CBA">
        <w:t>16</w:t>
      </w:r>
      <w:r>
        <w:t>F</w:t>
      </w:r>
      <w:r w:rsidRPr="00454CBA">
        <w:t xml:space="preserve">10 формируют связный </w:t>
      </w:r>
      <w:r>
        <w:t>proof</w:t>
      </w:r>
      <w:r w:rsidRPr="00454CBA">
        <w:t>-</w:t>
      </w:r>
      <w:r>
        <w:t>of</w:t>
      </w:r>
      <w:r w:rsidRPr="00454CBA">
        <w:t>-</w:t>
      </w:r>
      <w:r>
        <w:t>concept</w:t>
      </w:r>
      <w:r w:rsidRPr="00454CBA">
        <w:t>.</w:t>
      </w:r>
    </w:p>
    <w:p w:rsidR="00B01A2C" w:rsidRPr="00454CBA" w:rsidRDefault="00857E7C" w:rsidP="00454CBA">
      <w:pPr>
        <w:pStyle w:val="ReportBody"/>
      </w:pPr>
      <w:r w:rsidRPr="00454CBA">
        <w:t xml:space="preserve">Ограничения существенны. Концентрация 10 мкМ в функциональном опыте примерно в три тысячи раз </w:t>
      </w:r>
      <w:r w:rsidRPr="00454CBA">
        <w:t xml:space="preserve">выше клеточного </w:t>
      </w:r>
      <w:r>
        <w:t>IC</w:t>
      </w:r>
      <w:r w:rsidRPr="00454CBA">
        <w:t xml:space="preserve">50 для </w:t>
      </w:r>
      <w:r>
        <w:t>pE</w:t>
      </w:r>
      <w:r w:rsidRPr="00454CBA">
        <w:t>-</w:t>
      </w:r>
      <w:r>
        <w:t>CD</w:t>
      </w:r>
      <w:r w:rsidRPr="00454CBA">
        <w:t xml:space="preserve">47; без измерения свободной фракции нельзя понять, отражает ли это белковое связывание, медленное обновление субстрата или </w:t>
      </w:r>
      <w:r>
        <w:t>off</w:t>
      </w:r>
      <w:r w:rsidRPr="00454CBA">
        <w:t>-</w:t>
      </w:r>
      <w:r>
        <w:t>target</w:t>
      </w:r>
      <w:r w:rsidRPr="00454CBA">
        <w:t xml:space="preserve">-механизм. Для </w:t>
      </w:r>
      <w:r>
        <w:t>in</w:t>
      </w:r>
      <w:r w:rsidRPr="00454CBA">
        <w:t xml:space="preserve"> </w:t>
      </w:r>
      <w:r>
        <w:t>vivo</w:t>
      </w:r>
      <w:r w:rsidRPr="00454CBA">
        <w:t xml:space="preserve"> режима 25 мг/кг внутрибрюшинно один раз в сутки не представлен полный </w:t>
      </w:r>
      <w:r w:rsidRPr="00454CBA">
        <w:t xml:space="preserve">ряд «свободная плазма/опухоль - ингибирование </w:t>
      </w:r>
      <w:r>
        <w:t>pE</w:t>
      </w:r>
      <w:r w:rsidRPr="00454CBA">
        <w:t>-</w:t>
      </w:r>
      <w:r>
        <w:t>CD</w:t>
      </w:r>
      <w:r w:rsidRPr="00454CBA">
        <w:t xml:space="preserve">47 - связывание </w:t>
      </w:r>
      <w:r>
        <w:t>SIRPα</w:t>
      </w:r>
      <w:r w:rsidRPr="00454CBA">
        <w:t xml:space="preserve"> - фагоцитоз - рост опухоли». Предварительные сообщения о высокой проницаемости </w:t>
      </w:r>
      <w:r>
        <w:t>Caco</w:t>
      </w:r>
      <w:r w:rsidRPr="00454CBA">
        <w:t xml:space="preserve">-2, высоком прогнозируемом печёночном клиренсе и индукции </w:t>
      </w:r>
      <w:r>
        <w:t>CYP</w:t>
      </w:r>
      <w:r w:rsidRPr="00454CBA">
        <w:t>3</w:t>
      </w:r>
      <w:r>
        <w:t>A</w:t>
      </w:r>
      <w:r w:rsidRPr="00454CBA">
        <w:t>4 требуют повторения в стандартизован</w:t>
      </w:r>
      <w:r w:rsidRPr="00454CBA">
        <w:t xml:space="preserve">ных условиях и не должны рассматриваться как окончательная </w:t>
      </w:r>
      <w:r>
        <w:t>DMPK</w:t>
      </w:r>
      <w:r w:rsidRPr="00454CBA">
        <w:t>-характеристика.</w:t>
      </w:r>
    </w:p>
    <w:p w:rsidR="00B01A2C" w:rsidRDefault="00857E7C" w:rsidP="00454CBA">
      <w:pPr>
        <w:pStyle w:val="ReportBody"/>
      </w:pPr>
      <w:r w:rsidRPr="00454CBA">
        <w:t xml:space="preserve">Минимальный пакет повышения статуса </w:t>
      </w:r>
      <w:r>
        <w:t>QP</w:t>
      </w:r>
      <w:r w:rsidRPr="00454CBA">
        <w:t xml:space="preserve">5038-подобного ряда включает: </w:t>
      </w:r>
      <w:r>
        <w:t>matched</w:t>
      </w:r>
      <w:r w:rsidRPr="00454CBA">
        <w:t>-</w:t>
      </w:r>
      <w:r>
        <w:t>assay</w:t>
      </w:r>
      <w:r w:rsidRPr="00454CBA">
        <w:t xml:space="preserve"> селективность </w:t>
      </w:r>
      <w:r>
        <w:t>QPCTL</w:t>
      </w:r>
      <w:r w:rsidRPr="00454CBA">
        <w:t>/</w:t>
      </w:r>
      <w:r>
        <w:t>QPCT</w:t>
      </w:r>
      <w:r w:rsidRPr="00454CBA">
        <w:t>; панель протеаз и металлоферментов; человеческие первичные макрофаги;</w:t>
      </w:r>
      <w:r w:rsidRPr="00454CBA">
        <w:t xml:space="preserve"> несколько линий с разной экспрессией </w:t>
      </w:r>
      <w:r>
        <w:t>CD</w:t>
      </w:r>
      <w:r w:rsidRPr="00454CBA">
        <w:t xml:space="preserve">47 и </w:t>
      </w:r>
      <w:r>
        <w:t>Fc</w:t>
      </w:r>
      <w:r w:rsidRPr="00454CBA">
        <w:t xml:space="preserve">-рецепторов; </w:t>
      </w:r>
      <w:r>
        <w:t>QPCTL</w:t>
      </w:r>
      <w:r w:rsidRPr="00454CBA">
        <w:t>-</w:t>
      </w:r>
      <w:r>
        <w:t>KO</w:t>
      </w:r>
      <w:r w:rsidRPr="00454CBA">
        <w:t>/</w:t>
      </w:r>
      <w:r>
        <w:t>rescue</w:t>
      </w:r>
      <w:r w:rsidRPr="00454CBA">
        <w:t xml:space="preserve">; </w:t>
      </w:r>
      <w:r>
        <w:t>LC</w:t>
      </w:r>
      <w:r w:rsidRPr="00454CBA">
        <w:t>-</w:t>
      </w:r>
      <w:r>
        <w:t>MS</w:t>
      </w:r>
      <w:r w:rsidRPr="00454CBA">
        <w:t xml:space="preserve"> </w:t>
      </w:r>
      <w:r>
        <w:t>N</w:t>
      </w:r>
      <w:r w:rsidRPr="00454CBA">
        <w:t xml:space="preserve">-конца </w:t>
      </w:r>
      <w:r>
        <w:t>CD</w:t>
      </w:r>
      <w:r w:rsidRPr="00454CBA">
        <w:t xml:space="preserve">47; временной </w:t>
      </w:r>
      <w:r>
        <w:t>washout</w:t>
      </w:r>
      <w:r w:rsidRPr="00454CBA">
        <w:t xml:space="preserve">; несвязанную экспозицию опухоли; циркулирующие ретикулоциты/тромбоциты; и </w:t>
      </w:r>
      <w:r>
        <w:t>in</w:t>
      </w:r>
      <w:r w:rsidRPr="00454CBA">
        <w:t xml:space="preserve"> </w:t>
      </w:r>
      <w:r>
        <w:t>vivo</w:t>
      </w:r>
      <w:r w:rsidRPr="00454CBA">
        <w:t xml:space="preserve"> эпистазу, при которой препарат теряет эффект в </w:t>
      </w:r>
      <w:r>
        <w:t>QPCTL</w:t>
      </w:r>
      <w:r w:rsidRPr="00454CBA">
        <w:t>-дефици</w:t>
      </w:r>
      <w:r w:rsidRPr="00454CBA">
        <w:t xml:space="preserve">тной опухоли или при функционально непироглутамилируемом </w:t>
      </w:r>
      <w:r>
        <w:t>CD</w:t>
      </w:r>
      <w:r w:rsidRPr="00454CBA">
        <w:t>47.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 xml:space="preserve">3.3. Клиническая программа </w:t>
      </w:r>
      <w:r>
        <w:t>ISM</w:t>
      </w:r>
      <w:r w:rsidRPr="00454CBA">
        <w:t>8207</w:t>
      </w:r>
    </w:p>
    <w:p w:rsidR="00B01A2C" w:rsidRPr="00454CBA" w:rsidRDefault="00857E7C" w:rsidP="00454CBA">
      <w:pPr>
        <w:pStyle w:val="ReportBody"/>
      </w:pPr>
      <w:r>
        <w:t>ISM</w:t>
      </w:r>
      <w:r w:rsidRPr="00454CBA">
        <w:t xml:space="preserve">8207 описан как пероральный, высокоактивный ингибитор </w:t>
      </w:r>
      <w:r>
        <w:t>QPCTL</w:t>
      </w:r>
      <w:r w:rsidRPr="00454CBA">
        <w:t xml:space="preserve"> с субнаномолярной биохимической активностью и клеточным подавлением взаимодействия </w:t>
      </w:r>
      <w:r>
        <w:t>CD</w:t>
      </w:r>
      <w:r w:rsidRPr="00454CBA">
        <w:t>47-</w:t>
      </w:r>
      <w:r>
        <w:t>SIRPα</w:t>
      </w:r>
      <w:r w:rsidRPr="00454CBA">
        <w:t xml:space="preserve"> [</w:t>
      </w:r>
      <w:r w:rsidRPr="00454CBA">
        <w:t xml:space="preserve">19]. </w:t>
      </w:r>
      <w:r>
        <w:t>NCT</w:t>
      </w:r>
      <w:r w:rsidRPr="00454CBA">
        <w:t xml:space="preserve">06445517 - открытое исследование фазы </w:t>
      </w:r>
      <w:r>
        <w:t>I</w:t>
      </w:r>
      <w:r w:rsidRPr="00454CBA">
        <w:t xml:space="preserve"> с эскалацией и расширением доз у взрослых с распространёнными солидными опухолями и рецидивирующей/рефрактерной </w:t>
      </w:r>
      <w:r>
        <w:t>B</w:t>
      </w:r>
      <w:r w:rsidRPr="00454CBA">
        <w:t>-клеточной лимфомой. По записи реестра на дату среза набор продолжался; целевой размер - 60 уча</w:t>
      </w:r>
      <w:r w:rsidRPr="00454CBA">
        <w:t>стников [20].</w:t>
      </w:r>
    </w:p>
    <w:p w:rsidR="00B01A2C" w:rsidRDefault="00857E7C" w:rsidP="00454CBA">
      <w:pPr>
        <w:pStyle w:val="ReportBody"/>
      </w:pPr>
      <w:r w:rsidRPr="00454CBA">
        <w:t xml:space="preserve">Для клинической проверки мишени критически важно, чтобы ранние когорты включали не только безопасность и фармакокинетику, но и количественную фармакодинамику: долю </w:t>
      </w:r>
      <w:r>
        <w:t>pE</w:t>
      </w:r>
      <w:r w:rsidRPr="00454CBA">
        <w:t>-</w:t>
      </w:r>
      <w:r>
        <w:t>CD</w:t>
      </w:r>
      <w:r w:rsidRPr="00454CBA">
        <w:t xml:space="preserve">47 на опухолевых и циркулирующих клетках, связывание </w:t>
      </w:r>
      <w:r>
        <w:t>SIRPα</w:t>
      </w:r>
      <w:r w:rsidRPr="00454CBA">
        <w:t>, состояние мон</w:t>
      </w:r>
      <w:r w:rsidRPr="00454CBA">
        <w:t xml:space="preserve">оцитов/макрофагов и биопсийный признак фагоцитоза. Без такого звена даже клинический ответ в комбинации будет трудно атрибутировать </w:t>
      </w:r>
      <w:r>
        <w:t>QPCTL</w:t>
      </w:r>
      <w:r w:rsidRPr="00454CBA">
        <w:t xml:space="preserve">. В публичных материалах эти данные отсутствуют, поэтому </w:t>
      </w:r>
      <w:r>
        <w:t>ISM</w:t>
      </w:r>
      <w:r w:rsidRPr="00454CBA">
        <w:t>8207 повышает зрелость класса до «</w:t>
      </w:r>
      <w:r>
        <w:t>clinical</w:t>
      </w:r>
      <w:r w:rsidRPr="00454CBA">
        <w:t xml:space="preserve"> </w:t>
      </w:r>
      <w:r>
        <w:t>testing</w:t>
      </w:r>
      <w:r w:rsidRPr="00454CBA">
        <w:t xml:space="preserve">», но не </w:t>
      </w:r>
      <w:r w:rsidRPr="00454CBA">
        <w:t>до «</w:t>
      </w:r>
      <w:r>
        <w:t>clinical</w:t>
      </w:r>
      <w:r w:rsidRPr="00454CBA">
        <w:t xml:space="preserve"> </w:t>
      </w:r>
      <w:r>
        <w:t>validation</w:t>
      </w:r>
      <w:r w:rsidRPr="00454CBA">
        <w:t>».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 xml:space="preserve">3.4. Значение опыта прямой блокады </w:t>
      </w:r>
      <w:r>
        <w:t>CD</w:t>
      </w:r>
      <w:r w:rsidRPr="00454CBA">
        <w:t>47</w:t>
      </w:r>
    </w:p>
    <w:p w:rsidR="00B01A2C" w:rsidRPr="00454CBA" w:rsidRDefault="00857E7C" w:rsidP="00454CBA">
      <w:pPr>
        <w:pStyle w:val="ReportBody"/>
      </w:pPr>
      <w:r w:rsidRPr="00454CBA">
        <w:t xml:space="preserve">Несколько программ прямой блокады </w:t>
      </w:r>
      <w:r>
        <w:t>CD</w:t>
      </w:r>
      <w:r w:rsidRPr="00454CBA">
        <w:t xml:space="preserve">47 достигли поздних стадий, но три исследования </w:t>
      </w:r>
      <w:r>
        <w:t>magrolimab</w:t>
      </w:r>
      <w:r w:rsidRPr="00454CBA">
        <w:t xml:space="preserve"> в миелоидных опухолях не подтвердили ожидаемую пользу, а отдельные программы других агентов так</w:t>
      </w:r>
      <w:r w:rsidRPr="00454CBA">
        <w:t xml:space="preserve">же столкнулись с недостаточной эффективностью [24-26]. Это не является прямым отрицательным тестом </w:t>
      </w:r>
      <w:r>
        <w:t>QPCTL</w:t>
      </w:r>
      <w:r w:rsidRPr="00454CBA">
        <w:t xml:space="preserve">: малая молекула меняет биогенез функциональной протеоформы, имеет иную кинетику и может отличаться по тканевому распределению. Однако опыт показывает, </w:t>
      </w:r>
      <w:r w:rsidRPr="00454CBA">
        <w:t xml:space="preserve">что простого ослабления </w:t>
      </w:r>
      <w:r>
        <w:t>CD</w:t>
      </w:r>
      <w:r w:rsidRPr="00454CBA">
        <w:t>47-</w:t>
      </w:r>
      <w:r>
        <w:t>SIRPα</w:t>
      </w:r>
      <w:r w:rsidRPr="00454CBA">
        <w:t xml:space="preserve"> может быть недостаточно и что выбор опухоли, </w:t>
      </w:r>
      <w:r>
        <w:t>Fc</w:t>
      </w:r>
      <w:r w:rsidRPr="00454CBA">
        <w:t>-активирующего партнёра, состояния макрофагов и дозового режима критичен.</w:t>
      </w:r>
    </w:p>
    <w:p w:rsidR="00B01A2C" w:rsidRDefault="00857E7C" w:rsidP="00454CBA">
      <w:pPr>
        <w:pStyle w:val="ReportBody"/>
      </w:pPr>
      <w:r w:rsidRPr="00454CBA">
        <w:t>Клиническая стратегия должна избегать широких, биомаркерно-неотобранных когорт. Рациональными призна</w:t>
      </w:r>
      <w:r w:rsidRPr="00454CBA">
        <w:t xml:space="preserve">ками обогащения могут быть высокая доля </w:t>
      </w:r>
      <w:r>
        <w:t>pE</w:t>
      </w:r>
      <w:r w:rsidRPr="00454CBA">
        <w:t>-</w:t>
      </w:r>
      <w:r>
        <w:t>CD</w:t>
      </w:r>
      <w:r w:rsidRPr="00454CBA">
        <w:t xml:space="preserve">47 при сохранном </w:t>
      </w:r>
      <w:r>
        <w:t>SIRPα</w:t>
      </w:r>
      <w:r w:rsidRPr="00454CBA">
        <w:t xml:space="preserve"> на опухоль-ассоциированных макрофагах, наличие продуктивной </w:t>
      </w:r>
      <w:r>
        <w:t>Fc</w:t>
      </w:r>
      <w:r w:rsidRPr="00454CBA">
        <w:t>-опсонизации, макрофагально-насыщенная опухолевая ниша и отсутствие доминирующих альтернативных «</w:t>
      </w:r>
      <w:r>
        <w:t>don</w:t>
      </w:r>
      <w:r w:rsidRPr="00454CBA">
        <w:t>'</w:t>
      </w:r>
      <w:r>
        <w:t>t</w:t>
      </w:r>
      <w:r w:rsidRPr="00454CBA">
        <w:t xml:space="preserve"> </w:t>
      </w:r>
      <w:r>
        <w:t>eat</w:t>
      </w:r>
      <w:r w:rsidRPr="00454CBA">
        <w:t xml:space="preserve"> </w:t>
      </w:r>
      <w:r>
        <w:t>me</w:t>
      </w:r>
      <w:r w:rsidRPr="00454CBA">
        <w:t>» сигналов. Ни од</w:t>
      </w:r>
      <w:r w:rsidRPr="00454CBA">
        <w:t>ин из этих признаков пока не валидирован как предиктивный клинический биомаркер.</w:t>
      </w:r>
    </w:p>
    <w:p w:rsidR="00454CBA" w:rsidRPr="00454CBA" w:rsidRDefault="00454CBA" w:rsidP="00454CBA">
      <w:pPr>
        <w:pStyle w:val="ReportBody"/>
      </w:pPr>
    </w:p>
    <w:p w:rsidR="00B01A2C" w:rsidRPr="00454CBA" w:rsidRDefault="00454CBA" w:rsidP="00454CBA">
      <w:pPr>
        <w:pStyle w:val="Header3"/>
      </w:pPr>
      <w:r>
        <w:t>Выводы</w:t>
      </w:r>
    </w:p>
    <w:p w:rsidR="00B01A2C" w:rsidRPr="00454CBA" w:rsidRDefault="00857E7C" w:rsidP="00454CBA">
      <w:pPr>
        <w:pStyle w:val="ReportBody"/>
      </w:pPr>
      <w:r w:rsidRPr="00454CBA">
        <w:rPr>
          <w:lang w:val="ru-RU"/>
        </w:rPr>
        <w:t xml:space="preserve">Онкология имеет наиболее сильную </w:t>
      </w:r>
      <w:r>
        <w:t>target</w:t>
      </w:r>
      <w:r w:rsidRPr="00454CBA">
        <w:rPr>
          <w:lang w:val="ru-RU"/>
        </w:rPr>
        <w:t>-</w:t>
      </w:r>
      <w:r>
        <w:t>level</w:t>
      </w:r>
      <w:r w:rsidRPr="00454CBA">
        <w:rPr>
          <w:lang w:val="ru-RU"/>
        </w:rPr>
        <w:t xml:space="preserve"> биологию и наиболее прямой биомаркер. </w:t>
      </w:r>
      <w:r w:rsidRPr="00454CBA">
        <w:t>Одновременно риск трансляции высок из-за комбинационной зависимости,</w:t>
      </w:r>
      <w:r w:rsidRPr="00454CBA">
        <w:t xml:space="preserve"> неясного терапевтического окна и негативного контекста прямой </w:t>
      </w:r>
      <w:r>
        <w:t>CD</w:t>
      </w:r>
      <w:r w:rsidRPr="00454CBA">
        <w:t xml:space="preserve">47-блокады. Решение - </w:t>
      </w:r>
      <w:r w:rsidRPr="00454CBA">
        <w:rPr>
          <w:b/>
        </w:rPr>
        <w:t xml:space="preserve">условный </w:t>
      </w:r>
      <w:r>
        <w:rPr>
          <w:b/>
        </w:rPr>
        <w:t>GO</w:t>
      </w:r>
      <w:r w:rsidRPr="00454CBA">
        <w:t xml:space="preserve"> для ограниченной программы, ориентированной на доказательство механизма, а не на преждевременное масштабирование химической серии.</w:t>
      </w:r>
    </w:p>
    <w:p w:rsidR="00454CBA" w:rsidRDefault="00454CBA">
      <w:pPr>
        <w:spacing w:after="200" w:line="276" w:lineRule="auto"/>
        <w:ind w:firstLine="0"/>
        <w:jc w:val="left"/>
        <w:rPr>
          <w:rFonts w:cstheme="minorBidi"/>
          <w:caps/>
          <w:sz w:val="28"/>
          <w:szCs w:val="24"/>
          <w:lang w:val="en-US"/>
        </w:rPr>
      </w:pPr>
      <w:r>
        <w:br w:type="page"/>
      </w:r>
    </w:p>
    <w:p w:rsidR="00B01A2C" w:rsidRPr="00454CBA" w:rsidRDefault="00857E7C" w:rsidP="00454CBA">
      <w:pPr>
        <w:pStyle w:val="Header2"/>
      </w:pPr>
      <w:r w:rsidRPr="00454CBA">
        <w:t xml:space="preserve">4. ВОСПАЛИТЕЛЬНЫЕ И </w:t>
      </w:r>
      <w:r w:rsidRPr="00454CBA">
        <w:t>ПОЧЕЧНЫЕ ЗАБОЛЕВАНИЯ</w:t>
      </w:r>
    </w:p>
    <w:p w:rsidR="00B01A2C" w:rsidRPr="00454CBA" w:rsidRDefault="00857E7C" w:rsidP="00454CBA">
      <w:pPr>
        <w:pStyle w:val="Header3"/>
      </w:pPr>
      <w:r w:rsidRPr="00454CBA">
        <w:t>4.1. Хемокиновая ось и применимость по нозологиям</w:t>
      </w:r>
    </w:p>
    <w:p w:rsidR="00B01A2C" w:rsidRPr="00454CBA" w:rsidRDefault="00857E7C" w:rsidP="00454CBA">
      <w:pPr>
        <w:pStyle w:val="ReportBody"/>
      </w:pPr>
      <w:r w:rsidRPr="00454CBA">
        <w:t xml:space="preserve">Пироглутамилирование защищает </w:t>
      </w:r>
      <w:r>
        <w:t>N</w:t>
      </w:r>
      <w:r w:rsidRPr="00454CBA">
        <w:t xml:space="preserve">-концы ряда хемокинов от деградации. В моделях дефицита </w:t>
      </w:r>
      <w:r>
        <w:t>QPCT</w:t>
      </w:r>
      <w:r w:rsidRPr="00454CBA">
        <w:t>/</w:t>
      </w:r>
      <w:r>
        <w:t>QPCTL</w:t>
      </w:r>
      <w:r w:rsidRPr="00454CBA">
        <w:t xml:space="preserve"> или фармакологического ингибирования уменьшается стабильный хемокиновый пул и меняется </w:t>
      </w:r>
      <w:r w:rsidRPr="00454CBA">
        <w:t xml:space="preserve">рекрутирование миелоидных клеток [3, 4]. Наиболее правдоподобны заболевания, где моноцитарно-макрофагальное воспаление является ранним и поддерживающим фактором, а </w:t>
      </w:r>
      <w:r>
        <w:t>CCL</w:t>
      </w:r>
      <w:r w:rsidRPr="00454CBA">
        <w:t>2/</w:t>
      </w:r>
      <w:r>
        <w:t>CCR</w:t>
      </w:r>
      <w:r w:rsidRPr="00454CBA">
        <w:t xml:space="preserve">2 или </w:t>
      </w:r>
      <w:r>
        <w:t>CX</w:t>
      </w:r>
      <w:r w:rsidRPr="00454CBA">
        <w:t>3</w:t>
      </w:r>
      <w:r>
        <w:t>CL</w:t>
      </w:r>
      <w:r w:rsidRPr="00454CBA">
        <w:t>1/</w:t>
      </w:r>
      <w:r>
        <w:t>CX</w:t>
      </w:r>
      <w:r w:rsidRPr="00454CBA">
        <w:t>3</w:t>
      </w:r>
      <w:r>
        <w:t>CR</w:t>
      </w:r>
      <w:r w:rsidRPr="00454CBA">
        <w:t>1 связаны с прогрессированием.</w:t>
      </w:r>
    </w:p>
    <w:p w:rsidR="00B01A2C" w:rsidRDefault="00857E7C" w:rsidP="00454CBA">
      <w:pPr>
        <w:pStyle w:val="ReportBody"/>
      </w:pPr>
      <w:r w:rsidRPr="00454CBA">
        <w:t>Нозологический приоритет определяет</w:t>
      </w:r>
      <w:r w:rsidRPr="00454CBA">
        <w:t xml:space="preserve">ся четырьмя условиями: (1) в ткани присутствует значимая </w:t>
      </w:r>
      <w:r>
        <w:t>pE</w:t>
      </w:r>
      <w:r w:rsidRPr="00454CBA">
        <w:t xml:space="preserve">-форма субстрата; (2) её доля зависит от </w:t>
      </w:r>
      <w:r>
        <w:t>QPCT</w:t>
      </w:r>
      <w:r w:rsidRPr="00454CBA">
        <w:t>/</w:t>
      </w:r>
      <w:r>
        <w:t>QPCTL</w:t>
      </w:r>
      <w:r w:rsidRPr="00454CBA">
        <w:t>; (3) рекрутирование моноцитов причинно для повреждения, а не только коррелирует с ним; (4) снижение рекрутирования не нарушает восстановление и з</w:t>
      </w:r>
      <w:r w:rsidRPr="00454CBA">
        <w:t>ащиту от инфекции. Этим требованиям лучше соответствуют отдельные почечные и сосудистые воспалительные состояния, чем системное неспецифическое воспаление.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 xml:space="preserve">4.2. </w:t>
      </w:r>
      <w:r>
        <w:t>PQ</w:t>
      </w:r>
      <w:r w:rsidRPr="00454CBA">
        <w:t>529 в модели гломерулонефрита</w:t>
      </w:r>
    </w:p>
    <w:p w:rsidR="00B01A2C" w:rsidRPr="00454CBA" w:rsidRDefault="00857E7C" w:rsidP="00454CBA">
      <w:pPr>
        <w:pStyle w:val="ReportBody"/>
      </w:pPr>
      <w:r w:rsidRPr="00454CBA">
        <w:t xml:space="preserve">В </w:t>
      </w:r>
      <w:r>
        <w:t>anti</w:t>
      </w:r>
      <w:r w:rsidRPr="00454CBA">
        <w:t>-</w:t>
      </w:r>
      <w:r>
        <w:t>GBM</w:t>
      </w:r>
      <w:r w:rsidRPr="00454CBA">
        <w:t xml:space="preserve">-модели гломерулонефрита у крыс </w:t>
      </w:r>
      <w:r>
        <w:t>WKY</w:t>
      </w:r>
      <w:r w:rsidRPr="00454CBA">
        <w:t xml:space="preserve"> </w:t>
      </w:r>
      <w:r>
        <w:t>PQ</w:t>
      </w:r>
      <w:r w:rsidRPr="00454CBA">
        <w:t>529 применяли п</w:t>
      </w:r>
      <w:r w:rsidRPr="00454CBA">
        <w:t xml:space="preserve">ерорально два раза в сутки в дозах 30 и 100 мг/кг в течение трёх недель [11]. Соединение ингибировало </w:t>
      </w:r>
      <w:r>
        <w:t>rat</w:t>
      </w:r>
      <w:r w:rsidRPr="00454CBA">
        <w:t xml:space="preserve"> </w:t>
      </w:r>
      <w:r>
        <w:t>isoQC</w:t>
      </w:r>
      <w:r w:rsidRPr="00454CBA">
        <w:t xml:space="preserve"> примерно с </w:t>
      </w:r>
      <w:r>
        <w:t>IC</w:t>
      </w:r>
      <w:r w:rsidRPr="00454CBA">
        <w:t xml:space="preserve">50 20 нМ; для человеческого и мышиного ферментов сообщались значения около 37 и 43 нМ. Клеточные </w:t>
      </w:r>
      <w:r>
        <w:t>IC</w:t>
      </w:r>
      <w:r w:rsidRPr="00454CBA">
        <w:t>50 были существенно выше - около</w:t>
      </w:r>
      <w:r w:rsidRPr="00454CBA">
        <w:t xml:space="preserve"> 0,63 мкМ в </w:t>
      </w:r>
      <w:r>
        <w:t>RAW</w:t>
      </w:r>
      <w:r w:rsidRPr="00454CBA">
        <w:t xml:space="preserve">264.7 и 1,5 мкМ в </w:t>
      </w:r>
      <w:r>
        <w:t>THP</w:t>
      </w:r>
      <w:r w:rsidRPr="00454CBA">
        <w:t xml:space="preserve">-1, что подчёркивает важность клеточной доступности. При свободной фракции в плазме около 12% общая </w:t>
      </w:r>
      <w:r>
        <w:t>Cmax</w:t>
      </w:r>
      <w:r w:rsidRPr="00454CBA">
        <w:t xml:space="preserve"> через 0,5 часа составляла приблизительно 6,5 и 33 мкМ для двух доз.</w:t>
      </w:r>
    </w:p>
    <w:p w:rsidR="00B01A2C" w:rsidRPr="00454CBA" w:rsidRDefault="00857E7C" w:rsidP="00454CBA">
      <w:pPr>
        <w:pStyle w:val="ReportBody"/>
      </w:pPr>
      <w:r w:rsidRPr="00454CBA">
        <w:t>Через 2 часа наблюдалось дозозависимое снижение</w:t>
      </w:r>
      <w:r w:rsidRPr="00454CBA">
        <w:t xml:space="preserve"> </w:t>
      </w:r>
      <w:r>
        <w:t>pE</w:t>
      </w:r>
      <w:r w:rsidRPr="00454CBA">
        <w:t>-</w:t>
      </w:r>
      <w:r>
        <w:t>CCL</w:t>
      </w:r>
      <w:r w:rsidRPr="00454CBA">
        <w:t xml:space="preserve">2 примерно на 30% и 50%, а также снижение общего </w:t>
      </w:r>
      <w:r>
        <w:t>CCL</w:t>
      </w:r>
      <w:r w:rsidRPr="00454CBA">
        <w:t xml:space="preserve">2 в сыворотке, моче и почке. Фармакодинамика сопровождалась уменьшением </w:t>
      </w:r>
      <w:r>
        <w:t>CD</w:t>
      </w:r>
      <w:r w:rsidRPr="00454CBA">
        <w:t xml:space="preserve">68-положительной инфильтрации, протеинурии, азота мочевины, </w:t>
      </w:r>
      <w:r>
        <w:t>KIM</w:t>
      </w:r>
      <w:r w:rsidRPr="00454CBA">
        <w:t xml:space="preserve">-1, </w:t>
      </w:r>
      <w:r>
        <w:t>β</w:t>
      </w:r>
      <w:r w:rsidRPr="00454CBA">
        <w:t>2-микроглобулина и кластерина. В высокой дозе улучшалис</w:t>
      </w:r>
      <w:r w:rsidRPr="00454CBA">
        <w:t>ь оценки гломерулосклероза и тубулоинтерстициального повреждения. Это один из немногих пакетов класса, где экспозиция, субстратный биомаркер, клеточная инфильтрация и органный фенотип связаны в одной модели.</w:t>
      </w:r>
    </w:p>
    <w:p w:rsidR="00B01A2C" w:rsidRPr="00454CBA" w:rsidRDefault="00857E7C" w:rsidP="00454CBA">
      <w:pPr>
        <w:pStyle w:val="ReportBody"/>
        <w:rPr>
          <w:lang w:val="ru-RU"/>
        </w:rPr>
      </w:pPr>
      <w:r w:rsidRPr="00454CBA">
        <w:t>Ограничения: высокая доза и клеточно-ферментатив</w:t>
      </w:r>
      <w:r w:rsidRPr="00454CBA">
        <w:t xml:space="preserve">ный разрыв; отсутствие строгого разделения </w:t>
      </w:r>
      <w:r>
        <w:t>QPCT</w:t>
      </w:r>
      <w:r w:rsidRPr="00454CBA">
        <w:t xml:space="preserve"> и </w:t>
      </w:r>
      <w:r>
        <w:t>QPCTL</w:t>
      </w:r>
      <w:r w:rsidRPr="00454CBA">
        <w:t xml:space="preserve">; модель быстрого иммунного повреждения; начало лечения до формирования длительного рубцового процесса; отсутствие клинической валидации. </w:t>
      </w:r>
      <w:r w:rsidRPr="00454CBA">
        <w:rPr>
          <w:lang w:val="ru-RU"/>
        </w:rPr>
        <w:t>Эффект корректно интерпретировать как уменьшение воспалительног</w:t>
      </w:r>
      <w:r w:rsidRPr="00454CBA">
        <w:rPr>
          <w:lang w:val="ru-RU"/>
        </w:rPr>
        <w:t>о повреждения</w:t>
      </w:r>
      <w:r w:rsidR="00454CBA" w:rsidRPr="00454CBA">
        <w:rPr>
          <w:lang w:val="ru-RU"/>
        </w:rPr>
        <w:t xml:space="preserve"> и последующего ремоделирования</w:t>
      </w:r>
      <w:r w:rsidRPr="00454CBA">
        <w:rPr>
          <w:lang w:val="ru-RU"/>
        </w:rPr>
        <w:t>.</w:t>
      </w:r>
    </w:p>
    <w:p w:rsidR="00454CBA" w:rsidRDefault="00454CBA" w:rsidP="00454CBA">
      <w:pPr>
        <w:pStyle w:val="ReportBody"/>
        <w:rPr>
          <w:lang w:val="ru-RU"/>
        </w:rPr>
      </w:pPr>
    </w:p>
    <w:p w:rsidR="00454CBA" w:rsidRDefault="00454CBA" w:rsidP="00454CBA">
      <w:pPr>
        <w:pStyle w:val="ReportBody"/>
        <w:rPr>
          <w:lang w:val="ru-RU"/>
        </w:rPr>
      </w:pPr>
    </w:p>
    <w:p w:rsidR="00454CBA" w:rsidRDefault="00454CBA" w:rsidP="00454CBA">
      <w:pPr>
        <w:pStyle w:val="ReportBody"/>
        <w:rPr>
          <w:lang w:val="ru-RU"/>
        </w:rPr>
      </w:pPr>
    </w:p>
    <w:p w:rsidR="00454CBA" w:rsidRDefault="00454CBA" w:rsidP="00454CBA">
      <w:pPr>
        <w:pStyle w:val="ReportBody"/>
        <w:rPr>
          <w:lang w:val="ru-RU"/>
        </w:rPr>
      </w:pPr>
    </w:p>
    <w:p w:rsidR="00454CBA" w:rsidRDefault="00454CBA" w:rsidP="00454CBA">
      <w:pPr>
        <w:pStyle w:val="ReportBody"/>
        <w:rPr>
          <w:lang w:val="ru-RU"/>
        </w:rPr>
      </w:pPr>
    </w:p>
    <w:p w:rsidR="00454CBA" w:rsidRDefault="00454CBA" w:rsidP="00454CBA">
      <w:pPr>
        <w:pStyle w:val="ReportBody"/>
        <w:rPr>
          <w:lang w:val="ru-RU"/>
        </w:rPr>
      </w:pPr>
    </w:p>
    <w:p w:rsidR="00454CBA" w:rsidRPr="00454CBA" w:rsidRDefault="00454CBA" w:rsidP="00454CBA">
      <w:pPr>
        <w:pStyle w:val="ReportBody"/>
        <w:rPr>
          <w:lang w:val="ru-RU"/>
        </w:rPr>
      </w:pPr>
    </w:p>
    <w:p w:rsidR="00B01A2C" w:rsidRPr="00454CBA" w:rsidRDefault="00857E7C" w:rsidP="00454CBA">
      <w:pPr>
        <w:pStyle w:val="Header3"/>
      </w:pPr>
      <w:r w:rsidRPr="00454CBA">
        <w:t xml:space="preserve">4.3. Вароглутамстат </w:t>
      </w:r>
      <w:r w:rsidR="00454CBA">
        <w:t>в клинических исследованиях</w:t>
      </w:r>
    </w:p>
    <w:p w:rsidR="00B01A2C" w:rsidRPr="00454CBA" w:rsidRDefault="00857E7C" w:rsidP="00454CBA">
      <w:pPr>
        <w:pStyle w:val="ReportBody"/>
      </w:pPr>
      <w:r w:rsidRPr="00454CBA">
        <w:t>Вароглутамстат разрабатывался прежде всего для болезни Альцгеймера и подтвердил способность системно и в центр</w:t>
      </w:r>
      <w:r w:rsidRPr="00454CBA">
        <w:t xml:space="preserve">альной нервной системе ингибировать активность </w:t>
      </w:r>
      <w:r>
        <w:t>QC</w:t>
      </w:r>
      <w:r w:rsidRPr="00454CBA">
        <w:t xml:space="preserve"> [14-16]. Этот опыт важен для оценки длительного воздействия на человека. Высокодозовый режим 800 мг два раза в сутки сопровождался повышенной частотой кожных/подкожных и желудочно-кишечных явлений, а также </w:t>
      </w:r>
      <w:r w:rsidRPr="00454CBA">
        <w:t>снижением приверженности; часть проблем смягчалась модификацией дозирования и мониторингом. Для хронической болезни почек, где ожидаемая польза должна проявляться медленно, допустимый профиль переносимости существенно строже, чем в рефрактерной онкологии.</w:t>
      </w:r>
    </w:p>
    <w:p w:rsidR="00B01A2C" w:rsidRPr="00454CBA" w:rsidRDefault="00857E7C" w:rsidP="00454CBA">
      <w:pPr>
        <w:pStyle w:val="ReportBody"/>
      </w:pPr>
      <w:r w:rsidRPr="00454CBA">
        <w:t xml:space="preserve">В последующих анализах </w:t>
      </w:r>
      <w:r>
        <w:t>VIVIAD</w:t>
      </w:r>
      <w:r w:rsidRPr="00454CBA">
        <w:t>/</w:t>
      </w:r>
      <w:r>
        <w:t>VIVA</w:t>
      </w:r>
      <w:r w:rsidRPr="00454CBA">
        <w:t>-</w:t>
      </w:r>
      <w:r>
        <w:t>MIND</w:t>
      </w:r>
      <w:r w:rsidRPr="00454CBA">
        <w:t xml:space="preserve"> сообщалось о более благоприятной динамике </w:t>
      </w:r>
      <w:r>
        <w:t>eGFR</w:t>
      </w:r>
      <w:r w:rsidRPr="00454CBA">
        <w:t xml:space="preserve"> и отдельных биомаркеров повреждения почек, а изменение </w:t>
      </w:r>
      <w:r>
        <w:t>pE</w:t>
      </w:r>
      <w:r w:rsidRPr="00454CBA">
        <w:t>-</w:t>
      </w:r>
      <w:r>
        <w:t>CCL</w:t>
      </w:r>
      <w:r w:rsidRPr="00454CBA">
        <w:t>2 связывалось с почечным ответом [17, 18]. Сильной стороной является наличие человеческого воздействия и сог</w:t>
      </w:r>
      <w:r w:rsidRPr="00454CBA">
        <w:t>ласованного механистического маркера. Слабые стороны - исходная нейродегенеративная популяция, отсутствие отбора по диабетической болезни почек, исследовательский характер части конечных точек, множественность анализов и спонсорское происхождение значитель</w:t>
      </w:r>
      <w:r w:rsidRPr="00454CBA">
        <w:t>ной части публикаций. На дату среза специализированное исследование фазы 2</w:t>
      </w:r>
      <w:r>
        <w:t>b</w:t>
      </w:r>
      <w:r w:rsidRPr="00454CBA">
        <w:t xml:space="preserve"> при диабетической болезни почек не было начато и зависело от финансирования/партнёрства [18].</w:t>
      </w:r>
    </w:p>
    <w:p w:rsidR="00B01A2C" w:rsidRDefault="00857E7C" w:rsidP="00454CBA">
      <w:pPr>
        <w:pStyle w:val="ReportBody"/>
      </w:pPr>
      <w:r w:rsidRPr="00454CBA">
        <w:t>Следующий клинический шаг должен быть небольшим, но строгим рандомизированным исследов</w:t>
      </w:r>
      <w:r w:rsidRPr="00454CBA">
        <w:t xml:space="preserve">анием у пациентов с подтверждённым воспалительно-альбуминурическим фенотипом. Помимо </w:t>
      </w:r>
      <w:r>
        <w:t>eGFR</w:t>
      </w:r>
      <w:r w:rsidRPr="00454CBA">
        <w:t xml:space="preserve"> и </w:t>
      </w:r>
      <w:r>
        <w:t>UACR</w:t>
      </w:r>
      <w:r w:rsidRPr="00454CBA">
        <w:t xml:space="preserve"> необходимы </w:t>
      </w:r>
      <w:r>
        <w:t>pE</w:t>
      </w:r>
      <w:r w:rsidRPr="00454CBA">
        <w:t xml:space="preserve">/общий </w:t>
      </w:r>
      <w:r>
        <w:t>CCL</w:t>
      </w:r>
      <w:r w:rsidRPr="00454CBA">
        <w:t xml:space="preserve">2, </w:t>
      </w:r>
      <w:r>
        <w:t>KIM</w:t>
      </w:r>
      <w:r w:rsidRPr="00454CBA">
        <w:t xml:space="preserve">-1, </w:t>
      </w:r>
      <w:r>
        <w:t>TNFR</w:t>
      </w:r>
      <w:r w:rsidRPr="00454CBA">
        <w:t xml:space="preserve">1/2, </w:t>
      </w:r>
      <w:r>
        <w:t>MCP</w:t>
      </w:r>
      <w:r w:rsidRPr="00454CBA">
        <w:t xml:space="preserve">-1-ориентированные признаки, стандартизованная сопутствующая терапия </w:t>
      </w:r>
      <w:r>
        <w:t>SGLT</w:t>
      </w:r>
      <w:r w:rsidRPr="00454CBA">
        <w:t>2/</w:t>
      </w:r>
      <w:r>
        <w:t>RAAS</w:t>
      </w:r>
      <w:r w:rsidRPr="00454CBA">
        <w:t xml:space="preserve"> и достаточная длительность для иск</w:t>
      </w:r>
      <w:r w:rsidRPr="00454CBA">
        <w:t>лючения кратковременного гемодинамического эффекта.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>4.4. Другие воспалительные показания</w:t>
      </w:r>
    </w:p>
    <w:p w:rsidR="00B01A2C" w:rsidRPr="00454CBA" w:rsidRDefault="00857E7C" w:rsidP="00454CBA">
      <w:pPr>
        <w:pStyle w:val="ReportBody"/>
      </w:pPr>
      <w:r w:rsidRPr="00454CBA">
        <w:t xml:space="preserve">Доклинические данные об </w:t>
      </w:r>
      <w:r>
        <w:t>isoQC</w:t>
      </w:r>
      <w:r w:rsidRPr="00454CBA">
        <w:t xml:space="preserve">-зависимой инфильтрации моноцитов и ремоделировании опухолевого миелоидного компартмента подтверждают применимость хемокиновой логики, но </w:t>
      </w:r>
      <w:r w:rsidRPr="00454CBA">
        <w:t xml:space="preserve">не образуют зрелого клинического пакета для хронических воспалительных заболеваний [3-5]. Опыт </w:t>
      </w:r>
      <w:r>
        <w:t>XC</w:t>
      </w:r>
      <w:r w:rsidRPr="00454CBA">
        <w:t xml:space="preserve">8 при астме особенно важен как ограничитель интерпретации: в фазе </w:t>
      </w:r>
      <w:r>
        <w:t>IIa</w:t>
      </w:r>
      <w:r w:rsidRPr="00454CBA">
        <w:t xml:space="preserve"> основной межгрупповой показатель функции лёгких не был достигнут, а благоприятные подгруп</w:t>
      </w:r>
      <w:r w:rsidRPr="00454CBA">
        <w:t xml:space="preserve">повые и </w:t>
      </w:r>
      <w:r>
        <w:t>post</w:t>
      </w:r>
      <w:r w:rsidRPr="00454CBA">
        <w:t xml:space="preserve"> </w:t>
      </w:r>
      <w:r>
        <w:t>hoc</w:t>
      </w:r>
      <w:r w:rsidRPr="00454CBA">
        <w:t xml:space="preserve"> сигналы имеют низкую доказательную силу [12, 13]. Это не исключает эффекта в биомаркерно-отобранной популяции, но показывает, что системная </w:t>
      </w:r>
      <w:r>
        <w:t>QC</w:t>
      </w:r>
      <w:r w:rsidRPr="00454CBA">
        <w:t>-гипотеза не переносится автоматически на клиническую эффективность.</w:t>
      </w:r>
    </w:p>
    <w:p w:rsidR="00454CBA" w:rsidRDefault="00454CBA">
      <w:pPr>
        <w:spacing w:after="200" w:line="276" w:lineRule="auto"/>
        <w:ind w:firstLine="0"/>
        <w:jc w:val="left"/>
        <w:rPr>
          <w:b/>
          <w:caps/>
          <w:color w:val="000000"/>
          <w:szCs w:val="24"/>
        </w:rPr>
      </w:pPr>
      <w:r>
        <w:rPr>
          <w:color w:val="000000"/>
        </w:rPr>
        <w:br w:type="page"/>
      </w:r>
    </w:p>
    <w:p w:rsidR="00B01A2C" w:rsidRPr="00454CBA" w:rsidRDefault="00857E7C" w:rsidP="00454CBA">
      <w:pPr>
        <w:pStyle w:val="Header2"/>
        <w:rPr>
          <w:lang w:val="ru-RU"/>
        </w:rPr>
      </w:pPr>
      <w:r w:rsidRPr="00454CBA">
        <w:rPr>
          <w:lang w:val="ru-RU"/>
        </w:rPr>
        <w:t>5. ФИБРОТИЧЕСКИЕ ЗАБОЛЕВАНИЯ</w:t>
      </w:r>
    </w:p>
    <w:p w:rsidR="00B01A2C" w:rsidRDefault="00857E7C" w:rsidP="00454CBA">
      <w:pPr>
        <w:pStyle w:val="ReportBody"/>
      </w:pPr>
      <w:r w:rsidRPr="00454CBA">
        <w:rPr>
          <w:lang w:val="ru-RU"/>
        </w:rPr>
        <w:t>Фиброз является результатом длительного воспаления, активации фибробластов/миофибробластов, накопления и сшивки внеклеточного матрикса, сосудистой дисфункции и нарушения регенерации</w:t>
      </w:r>
      <w:r w:rsidRPr="00454CBA">
        <w:rPr>
          <w:lang w:val="ru-RU"/>
        </w:rPr>
        <w:t xml:space="preserve">. </w:t>
      </w:r>
      <w:r w:rsidRPr="00454CBA">
        <w:t>Уменьшение ранней инфильтрации моноцитов может снизить последующее рубцевание, но это не означает, что препарат способен элиминировать патологические фибробласты или разрушать уже организованный матрикс. Поэтому корректное заявление требует лечения после</w:t>
      </w:r>
      <w:r w:rsidRPr="00454CBA">
        <w:t xml:space="preserve"> документированного формирования фиброза, гистологической оценки архитектуры коллагена и функционального восстановления органа.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>5.</w:t>
      </w:r>
      <w:r w:rsidR="00454CBA">
        <w:t>1</w:t>
      </w:r>
      <w:r w:rsidRPr="00454CBA">
        <w:t>. Почки</w:t>
      </w:r>
    </w:p>
    <w:p w:rsidR="00B01A2C" w:rsidRPr="00454CBA" w:rsidRDefault="00857E7C" w:rsidP="00454CBA">
      <w:pPr>
        <w:pStyle w:val="ReportBody"/>
      </w:pPr>
      <w:r w:rsidRPr="00454CBA">
        <w:rPr>
          <w:lang w:val="ru-RU"/>
        </w:rPr>
        <w:t xml:space="preserve">Почечное направление имеет наибольшую совокупную поддержку: доклиническая цепочка </w:t>
      </w:r>
      <w:r>
        <w:t>PQ</w:t>
      </w:r>
      <w:r w:rsidRPr="00454CBA">
        <w:rPr>
          <w:lang w:val="ru-RU"/>
        </w:rPr>
        <w:t xml:space="preserve">529 и человеческий </w:t>
      </w:r>
      <w:r w:rsidRPr="00454CBA">
        <w:rPr>
          <w:lang w:val="ru-RU"/>
        </w:rPr>
        <w:t xml:space="preserve">исследовательский сигнал вароглутамстата [11, 17, 18]. </w:t>
      </w:r>
      <w:r w:rsidRPr="00454CBA">
        <w:t xml:space="preserve">Предполагаемый механизм преимущественно противовоспалительный - снижение </w:t>
      </w:r>
      <w:r>
        <w:t>pE</w:t>
      </w:r>
      <w:r w:rsidRPr="00454CBA">
        <w:t>-</w:t>
      </w:r>
      <w:r>
        <w:t>CCL</w:t>
      </w:r>
      <w:r w:rsidRPr="00454CBA">
        <w:t xml:space="preserve">2 и притока моноцитов - с последующим замедлением фибротического ремоделирования. Непосредственный </w:t>
      </w:r>
      <w:r>
        <w:t>QPCT</w:t>
      </w:r>
      <w:r w:rsidRPr="00454CBA">
        <w:t>/</w:t>
      </w:r>
      <w:r>
        <w:t>QPCTL</w:t>
      </w:r>
      <w:r w:rsidRPr="00454CBA">
        <w:t>-зависимый ме</w:t>
      </w:r>
      <w:r w:rsidRPr="00454CBA">
        <w:t>ханизм в зрелом миофибробласте не установлен.</w:t>
      </w:r>
    </w:p>
    <w:p w:rsidR="00B01A2C" w:rsidRDefault="00857E7C" w:rsidP="00454CBA">
      <w:pPr>
        <w:pStyle w:val="ReportBody"/>
      </w:pPr>
      <w:r w:rsidRPr="00454CBA">
        <w:t xml:space="preserve">Приоритетная доклиническая модель должна начинать лечение после появления альбуминурии, снижения функции и количественно подтверждённого интерстициального коллагена. Конечные точки: динамика </w:t>
      </w:r>
      <w:r>
        <w:t>GFR</w:t>
      </w:r>
      <w:r w:rsidRPr="00454CBA">
        <w:t xml:space="preserve">, </w:t>
      </w:r>
      <w:r>
        <w:t>UACR</w:t>
      </w:r>
      <w:r w:rsidRPr="00454CBA">
        <w:t>, гидрокси</w:t>
      </w:r>
      <w:r w:rsidRPr="00454CBA">
        <w:t xml:space="preserve">пролин, </w:t>
      </w:r>
      <w:r>
        <w:t>second</w:t>
      </w:r>
      <w:r w:rsidRPr="00454CBA">
        <w:t>-</w:t>
      </w:r>
      <w:r>
        <w:t>harmonic</w:t>
      </w:r>
      <w:r w:rsidRPr="00454CBA">
        <w:t xml:space="preserve"> </w:t>
      </w:r>
      <w:r>
        <w:t>generation</w:t>
      </w:r>
      <w:r w:rsidRPr="00454CBA">
        <w:t xml:space="preserve"> или </w:t>
      </w:r>
      <w:r>
        <w:t>picrosirius</w:t>
      </w:r>
      <w:r w:rsidRPr="00454CBA">
        <w:t xml:space="preserve"> </w:t>
      </w:r>
      <w:r>
        <w:t>red</w:t>
      </w:r>
      <w:r w:rsidRPr="00454CBA">
        <w:t xml:space="preserve">, </w:t>
      </w:r>
      <w:r>
        <w:t>α</w:t>
      </w:r>
      <w:r w:rsidRPr="00454CBA">
        <w:t>-</w:t>
      </w:r>
      <w:r>
        <w:t>SMA</w:t>
      </w:r>
      <w:r w:rsidRPr="00454CBA">
        <w:t xml:space="preserve">, </w:t>
      </w:r>
      <w:r>
        <w:t>COL</w:t>
      </w:r>
      <w:r w:rsidRPr="00454CBA">
        <w:t>1</w:t>
      </w:r>
      <w:r>
        <w:t>A</w:t>
      </w:r>
      <w:r w:rsidRPr="00454CBA">
        <w:t>1/</w:t>
      </w:r>
      <w:r>
        <w:t>COL</w:t>
      </w:r>
      <w:r w:rsidRPr="00454CBA">
        <w:t>3</w:t>
      </w:r>
      <w:r>
        <w:t>A</w:t>
      </w:r>
      <w:r w:rsidRPr="00454CBA">
        <w:t xml:space="preserve">1, перициты/фибробласты, </w:t>
      </w:r>
      <w:r>
        <w:t>pE</w:t>
      </w:r>
      <w:r w:rsidRPr="00454CBA">
        <w:t xml:space="preserve">/общий </w:t>
      </w:r>
      <w:r>
        <w:t>CCL</w:t>
      </w:r>
      <w:r w:rsidRPr="00454CBA">
        <w:t>2, моноцитарные подтипы и несвязанная концентрация препарата в коре/мозговом слое. Только комбинация структурного и функционального восстановлен</w:t>
      </w:r>
      <w:r w:rsidRPr="00454CBA">
        <w:t>ия позволит заявлять антифибротический эффект.</w:t>
      </w: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>5.</w:t>
      </w:r>
      <w:r w:rsidR="00454CBA">
        <w:t>2</w:t>
      </w:r>
      <w:r w:rsidRPr="00454CBA">
        <w:t>. Кожа и системная склеродермия</w:t>
      </w:r>
    </w:p>
    <w:p w:rsidR="00B01A2C" w:rsidRPr="00454CBA" w:rsidRDefault="00857E7C" w:rsidP="00454CBA">
      <w:pPr>
        <w:pStyle w:val="ReportBody"/>
      </w:pPr>
      <w:r w:rsidRPr="00454CBA">
        <w:t xml:space="preserve">В мышиных моделях системной склеродермии ось </w:t>
      </w:r>
      <w:r>
        <w:t>IL</w:t>
      </w:r>
      <w:r w:rsidRPr="00454CBA">
        <w:t>-6/</w:t>
      </w:r>
      <w:r>
        <w:t>CD</w:t>
      </w:r>
      <w:r w:rsidRPr="00454CBA">
        <w:t xml:space="preserve">47 поддерживала устойчивость патологических фибробластов, а антитело к </w:t>
      </w:r>
      <w:r>
        <w:t>CD</w:t>
      </w:r>
      <w:r w:rsidRPr="00454CBA">
        <w:t xml:space="preserve">47 в сочетании с подавлением </w:t>
      </w:r>
      <w:r>
        <w:t>IL</w:t>
      </w:r>
      <w:r w:rsidRPr="00454CBA">
        <w:t>-6 уменьшало фибро</w:t>
      </w:r>
      <w:r w:rsidRPr="00454CBA">
        <w:t xml:space="preserve">з и способствовало элиминации активированных клеток [10]. Это прямое доказательство роли </w:t>
      </w:r>
      <w:r>
        <w:t>CD</w:t>
      </w:r>
      <w:r w:rsidRPr="00454CBA">
        <w:t xml:space="preserve">47, но не </w:t>
      </w:r>
      <w:r>
        <w:t>QPCTL</w:t>
      </w:r>
      <w:r w:rsidRPr="00454CBA">
        <w:t xml:space="preserve">. Степень зависимости фибробластного </w:t>
      </w:r>
      <w:r>
        <w:t>CD</w:t>
      </w:r>
      <w:r w:rsidRPr="00454CBA">
        <w:t>47 от пироглутамилирования, скорость обновления рецептора и необходимая тканевая экспозиция ингибитора не опред</w:t>
      </w:r>
      <w:r w:rsidRPr="00454CBA">
        <w:t>елены.</w:t>
      </w:r>
    </w:p>
    <w:p w:rsidR="00B01A2C" w:rsidRDefault="00857E7C" w:rsidP="00454CBA">
      <w:pPr>
        <w:pStyle w:val="ReportBody"/>
      </w:pPr>
      <w:r w:rsidRPr="00454CBA">
        <w:t xml:space="preserve">Прежде чем рассматривать клиническую программу, необходимо показать в фибробластах пациентов: </w:t>
      </w:r>
      <w:r>
        <w:t>QPCTL</w:t>
      </w:r>
      <w:r w:rsidRPr="00454CBA">
        <w:t xml:space="preserve">-экспрессию, долю </w:t>
      </w:r>
      <w:r>
        <w:t>pE</w:t>
      </w:r>
      <w:r w:rsidRPr="00454CBA">
        <w:t>-</w:t>
      </w:r>
      <w:r>
        <w:t>CD</w:t>
      </w:r>
      <w:r w:rsidRPr="00454CBA">
        <w:t xml:space="preserve">47, снижение связывания </w:t>
      </w:r>
      <w:r>
        <w:t>SIRPα</w:t>
      </w:r>
      <w:r w:rsidRPr="00454CBA">
        <w:t xml:space="preserve"> при обработке ингибитором, усиление фагоцитарного удаления патологических фибробластов и потерю э</w:t>
      </w:r>
      <w:r w:rsidRPr="00454CBA">
        <w:t xml:space="preserve">ффекта в </w:t>
      </w:r>
      <w:r>
        <w:t>QPCTL</w:t>
      </w:r>
      <w:r w:rsidRPr="00454CBA">
        <w:t>-</w:t>
      </w:r>
      <w:r>
        <w:t>KO</w:t>
      </w:r>
      <w:r w:rsidRPr="00454CBA">
        <w:t>/</w:t>
      </w:r>
      <w:r>
        <w:t>rescue</w:t>
      </w:r>
      <w:r w:rsidRPr="00454CBA">
        <w:t xml:space="preserve">-системе. </w:t>
      </w:r>
      <w:r>
        <w:t>In</w:t>
      </w:r>
      <w:r w:rsidRPr="00454CBA">
        <w:t xml:space="preserve"> </w:t>
      </w:r>
      <w:r>
        <w:t>vivo</w:t>
      </w:r>
      <w:r w:rsidRPr="00454CBA">
        <w:t xml:space="preserve"> лечение должно начинаться при установленном кожном фиброзе, а эффект сопоставляться с прямой </w:t>
      </w:r>
      <w:r>
        <w:t>CD</w:t>
      </w:r>
      <w:r w:rsidRPr="00454CBA">
        <w:t>47-блокадой и стандартной терапией.</w:t>
      </w:r>
    </w:p>
    <w:p w:rsidR="00454CBA" w:rsidRDefault="00454CBA" w:rsidP="00454CBA">
      <w:pPr>
        <w:pStyle w:val="ReportBody"/>
      </w:pPr>
    </w:p>
    <w:p w:rsidR="00454CBA" w:rsidRDefault="00454CBA" w:rsidP="00454CBA">
      <w:pPr>
        <w:pStyle w:val="ReportBody"/>
      </w:pPr>
    </w:p>
    <w:p w:rsidR="00454CBA" w:rsidRDefault="00454CBA" w:rsidP="00454CBA">
      <w:pPr>
        <w:pStyle w:val="ReportBody"/>
      </w:pPr>
    </w:p>
    <w:p w:rsidR="00454CBA" w:rsidRDefault="00454CBA" w:rsidP="00454CBA">
      <w:pPr>
        <w:pStyle w:val="ReportBody"/>
      </w:pPr>
    </w:p>
    <w:p w:rsidR="00454CBA" w:rsidRPr="00454CBA" w:rsidRDefault="00454CBA" w:rsidP="00454CBA">
      <w:pPr>
        <w:pStyle w:val="ReportBody"/>
      </w:pPr>
    </w:p>
    <w:p w:rsidR="00B01A2C" w:rsidRPr="00454CBA" w:rsidRDefault="00857E7C" w:rsidP="00454CBA">
      <w:pPr>
        <w:pStyle w:val="Header3"/>
      </w:pPr>
      <w:r w:rsidRPr="00454CBA">
        <w:t>5.</w:t>
      </w:r>
      <w:r w:rsidR="00454CBA">
        <w:t>3</w:t>
      </w:r>
      <w:r w:rsidRPr="00454CBA">
        <w:t>. Лёгкие, печень и сердце</w:t>
      </w:r>
    </w:p>
    <w:p w:rsidR="00B01A2C" w:rsidRDefault="00857E7C" w:rsidP="00454CBA">
      <w:pPr>
        <w:pStyle w:val="ReportBody"/>
      </w:pPr>
      <w:r w:rsidRPr="00454CBA">
        <w:t xml:space="preserve">Для идиопатического лёгочного фиброза и </w:t>
      </w:r>
      <w:r>
        <w:t>SSc</w:t>
      </w:r>
      <w:r w:rsidRPr="00454CBA">
        <w:t>-</w:t>
      </w:r>
      <w:r>
        <w:t>ILD</w:t>
      </w:r>
      <w:r w:rsidRPr="00454CBA">
        <w:t xml:space="preserve"> публич</w:t>
      </w:r>
      <w:r w:rsidRPr="00454CBA">
        <w:t xml:space="preserve">ная аргументация в основном опирается на общую роль макрофагов/хемокинов, опыт </w:t>
      </w:r>
      <w:r>
        <w:t>QC</w:t>
      </w:r>
      <w:r w:rsidRPr="00454CBA">
        <w:t xml:space="preserve">-ингибирования при воспалении и патентные заявления. Прямых воспроизводимых данных о том, что ингибитор </w:t>
      </w:r>
      <w:r>
        <w:t>QPCT</w:t>
      </w:r>
      <w:r w:rsidRPr="00454CBA">
        <w:t>/</w:t>
      </w:r>
      <w:r>
        <w:t>QPCTL</w:t>
      </w:r>
      <w:r w:rsidRPr="00454CBA">
        <w:t xml:space="preserve"> обращает установленный лёгочный фиброз, недостаточно. </w:t>
      </w:r>
      <w:r w:rsidRPr="00454CBA">
        <w:rPr>
          <w:lang w:val="ru-RU"/>
        </w:rPr>
        <w:t>Аналог</w:t>
      </w:r>
      <w:r w:rsidRPr="00454CBA">
        <w:rPr>
          <w:lang w:val="ru-RU"/>
        </w:rPr>
        <w:t>ичная ситуация для печёночного и сердечного фиброза: биологическая правдоподобность существует, но целевая причинность не доказана.</w:t>
      </w:r>
      <w:r w:rsidR="00454CBA">
        <w:rPr>
          <w:lang w:val="ru-RU"/>
        </w:rPr>
        <w:t xml:space="preserve"> </w:t>
      </w:r>
      <w:r w:rsidRPr="00454CBA">
        <w:rPr>
          <w:lang w:val="ru-RU"/>
        </w:rPr>
        <w:t>Возобновление возможно после выполнения трёх условий: тканевое вовлечение мишени с протеофо</w:t>
      </w:r>
      <w:r w:rsidRPr="00454CBA">
        <w:rPr>
          <w:lang w:val="ru-RU"/>
        </w:rPr>
        <w:t xml:space="preserve">рм-специфичным маркером; эффективность в терапевтическом, а не профилактическом дизайне; и сохранение функции репаративных макрофагов/заживления. </w:t>
      </w:r>
      <w:r w:rsidRPr="00454CBA">
        <w:t xml:space="preserve">Патентные семейства </w:t>
      </w:r>
      <w:r>
        <w:t>WO</w:t>
      </w:r>
      <w:r w:rsidRPr="00454CBA">
        <w:t>2019022600</w:t>
      </w:r>
      <w:r>
        <w:t>A</w:t>
      </w:r>
      <w:r w:rsidRPr="00454CBA">
        <w:t xml:space="preserve">1, </w:t>
      </w:r>
      <w:r>
        <w:t>WO</w:t>
      </w:r>
      <w:r w:rsidRPr="00454CBA">
        <w:t>2024188734</w:t>
      </w:r>
      <w:r>
        <w:t>A</w:t>
      </w:r>
      <w:r w:rsidRPr="00454CBA">
        <w:t xml:space="preserve">1, </w:t>
      </w:r>
      <w:r>
        <w:t>WO</w:t>
      </w:r>
      <w:r w:rsidRPr="00454CBA">
        <w:t>2025031917</w:t>
      </w:r>
      <w:r>
        <w:t>A</w:t>
      </w:r>
      <w:r w:rsidRPr="00454CBA">
        <w:t xml:space="preserve">1 и </w:t>
      </w:r>
      <w:r>
        <w:t>WO</w:t>
      </w:r>
      <w:r w:rsidRPr="00454CBA">
        <w:t>2025168423</w:t>
      </w:r>
      <w:r>
        <w:t>A</w:t>
      </w:r>
      <w:r w:rsidRPr="00454CBA">
        <w:t xml:space="preserve">1 подтверждают коммерческий </w:t>
      </w:r>
      <w:r w:rsidRPr="00454CBA">
        <w:t xml:space="preserve">интерес, но не заменяют экспериментальную валидацию </w:t>
      </w:r>
      <w:r>
        <w:t>[27-30].</w:t>
      </w:r>
    </w:p>
    <w:p w:rsidR="00454CBA" w:rsidRDefault="00454CBA" w:rsidP="00454CBA">
      <w:pPr>
        <w:pStyle w:val="ReportBody"/>
      </w:pPr>
    </w:p>
    <w:p w:rsidR="00B01A2C" w:rsidRDefault="00857E7C" w:rsidP="00454CBA">
      <w:pPr>
        <w:pStyle w:val="Header3"/>
      </w:pPr>
      <w:r>
        <w:t>5.</w:t>
      </w:r>
      <w:r w:rsidR="00454CBA">
        <w:t>4</w:t>
      </w:r>
      <w:r>
        <w:t xml:space="preserve">. </w:t>
      </w:r>
      <w:r w:rsidR="00454CBA">
        <w:t>Выводы</w:t>
      </w:r>
    </w:p>
    <w:tbl>
      <w:tblPr>
        <w:tblStyle w:val="TableCommon"/>
        <w:tblW w:w="5000" w:type="pct"/>
        <w:tblLayout w:type="fixed"/>
        <w:tblLook w:val="04A0" w:firstRow="1" w:lastRow="0" w:firstColumn="1" w:lastColumn="0" w:noHBand="0" w:noVBand="1"/>
      </w:tblPr>
      <w:tblGrid>
        <w:gridCol w:w="1876"/>
        <w:gridCol w:w="1983"/>
        <w:gridCol w:w="1804"/>
        <w:gridCol w:w="2297"/>
        <w:gridCol w:w="1849"/>
      </w:tblGrid>
      <w:tr w:rsidR="00454CBA" w:rsidRPr="00454CBA" w:rsidTr="00454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75" w:type="dxa"/>
          </w:tcPr>
          <w:p w:rsidR="00454CBA" w:rsidRPr="00454CBA" w:rsidRDefault="00454CBA" w:rsidP="00454CBA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Показание</w:t>
            </w:r>
          </w:p>
        </w:tc>
        <w:tc>
          <w:tcPr>
            <w:tcW w:w="1559" w:type="dxa"/>
          </w:tcPr>
          <w:p w:rsidR="00454CBA" w:rsidRPr="00454CBA" w:rsidRDefault="00454CBA" w:rsidP="00454CBA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Прямая QPCT/QPCTL-биология</w:t>
            </w:r>
          </w:p>
        </w:tc>
        <w:tc>
          <w:tcPr>
            <w:tcW w:w="1418" w:type="dxa"/>
          </w:tcPr>
          <w:p w:rsidR="00454CBA" w:rsidRPr="00454CBA" w:rsidRDefault="00454CBA" w:rsidP="00454CBA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PK/PD</w:t>
            </w:r>
          </w:p>
        </w:tc>
        <w:tc>
          <w:tcPr>
            <w:tcW w:w="1806" w:type="dxa"/>
          </w:tcPr>
          <w:p w:rsidR="00454CBA" w:rsidRPr="00454CBA" w:rsidRDefault="00454CBA" w:rsidP="00454CBA">
            <w:pPr>
              <w:pStyle w:val="TableText"/>
              <w:rPr>
                <w:sz w:val="18"/>
              </w:rPr>
            </w:pPr>
            <w:r w:rsidRPr="00454CBA">
              <w:rPr>
                <w:sz w:val="18"/>
              </w:rPr>
              <w:t>Эффективность</w:t>
            </w:r>
          </w:p>
        </w:tc>
        <w:tc>
          <w:tcPr>
            <w:tcW w:w="1454" w:type="dxa"/>
          </w:tcPr>
          <w:p w:rsidR="00454CBA" w:rsidRPr="00454CBA" w:rsidRDefault="00454CBA" w:rsidP="00454CBA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Клин. Данные</w:t>
            </w:r>
          </w:p>
        </w:tc>
      </w:tr>
      <w:tr w:rsidR="00454CBA" w:rsidRPr="00454CBA" w:rsidTr="00454CBA">
        <w:tc>
          <w:tcPr>
            <w:tcW w:w="1475" w:type="dxa"/>
          </w:tcPr>
          <w:p w:rsidR="00454CBA" w:rsidRPr="00454CBA" w:rsidRDefault="00454CBA" w:rsidP="00454CBA">
            <w:pPr>
              <w:pStyle w:val="TableText"/>
              <w:jc w:val="left"/>
              <w:rPr>
                <w:sz w:val="16"/>
              </w:rPr>
            </w:pPr>
            <w:r w:rsidRPr="00454CBA">
              <w:rPr>
                <w:sz w:val="16"/>
              </w:rPr>
              <w:t>Почечный фиброз/</w:t>
            </w:r>
            <w:r w:rsidRPr="00454CBA">
              <w:rPr>
                <w:sz w:val="16"/>
              </w:rPr>
              <w:br/>
              <w:t>диабетическая болезнь почек</w:t>
            </w:r>
          </w:p>
        </w:tc>
        <w:tc>
          <w:tcPr>
            <w:tcW w:w="1559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 xml:space="preserve">Умеренная: </w:t>
            </w:r>
            <w:r>
              <w:rPr>
                <w:sz w:val="16"/>
              </w:rPr>
              <w:br/>
            </w:r>
            <w:r w:rsidRPr="00454CBA">
              <w:rPr>
                <w:sz w:val="16"/>
              </w:rPr>
              <w:t>pE-CCL2 и моноциты</w:t>
            </w:r>
          </w:p>
        </w:tc>
        <w:tc>
          <w:tcPr>
            <w:tcW w:w="1418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Умеренная в PQ529; человеческое QC-TE для вароглутамстата</w:t>
            </w:r>
          </w:p>
        </w:tc>
        <w:tc>
          <w:tcPr>
            <w:tcW w:w="1806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Доклиническая защита; обращение зрелого фиброза не показано</w:t>
            </w:r>
          </w:p>
        </w:tc>
        <w:tc>
          <w:tcPr>
            <w:tcW w:w="1454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Исследовательский eGFR/биомаркерный сигнал</w:t>
            </w:r>
          </w:p>
        </w:tc>
      </w:tr>
      <w:tr w:rsidR="00454CBA" w:rsidRPr="00454CBA" w:rsidTr="00454CBA">
        <w:tc>
          <w:tcPr>
            <w:tcW w:w="1475" w:type="dxa"/>
          </w:tcPr>
          <w:p w:rsidR="00454CBA" w:rsidRPr="00454CBA" w:rsidRDefault="00454CBA" w:rsidP="00454CBA">
            <w:pPr>
              <w:pStyle w:val="TableText"/>
              <w:jc w:val="left"/>
              <w:rPr>
                <w:sz w:val="16"/>
              </w:rPr>
            </w:pPr>
            <w:r w:rsidRPr="00454CBA">
              <w:rPr>
                <w:sz w:val="16"/>
              </w:rPr>
              <w:t>Кожный фиброз/SSc</w:t>
            </w:r>
          </w:p>
        </w:tc>
        <w:tc>
          <w:tcPr>
            <w:tcW w:w="1559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Косвенная: сильна роль CD47, мост к QPCTL не доказан</w:t>
            </w:r>
          </w:p>
        </w:tc>
        <w:tc>
          <w:tcPr>
            <w:tcW w:w="1418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 достаточной</w:t>
            </w:r>
          </w:p>
        </w:tc>
        <w:tc>
          <w:tcPr>
            <w:tcW w:w="1806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Прямая CD47-блокада эффективна в мышах; данных по QPCTL мало</w:t>
            </w:r>
          </w:p>
        </w:tc>
        <w:tc>
          <w:tcPr>
            <w:tcW w:w="1454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</w:t>
            </w:r>
          </w:p>
        </w:tc>
      </w:tr>
      <w:tr w:rsidR="00454CBA" w:rsidRPr="00454CBA" w:rsidTr="00454CBA">
        <w:tc>
          <w:tcPr>
            <w:tcW w:w="1475" w:type="dxa"/>
          </w:tcPr>
          <w:p w:rsidR="00454CBA" w:rsidRPr="00454CBA" w:rsidRDefault="00454CBA" w:rsidP="00454CBA">
            <w:pPr>
              <w:pStyle w:val="TableText"/>
              <w:jc w:val="left"/>
              <w:rPr>
                <w:sz w:val="16"/>
              </w:rPr>
            </w:pPr>
            <w:r w:rsidRPr="00454CBA">
              <w:rPr>
                <w:sz w:val="16"/>
              </w:rPr>
              <w:t>IPF/SSc-ILD</w:t>
            </w:r>
          </w:p>
        </w:tc>
        <w:tc>
          <w:tcPr>
            <w:tcW w:w="1559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Косвенная хемокиновая/макрофагальная логика</w:t>
            </w:r>
          </w:p>
        </w:tc>
        <w:tc>
          <w:tcPr>
            <w:tcW w:w="1418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 достаточной</w:t>
            </w:r>
          </w:p>
        </w:tc>
        <w:tc>
          <w:tcPr>
            <w:tcW w:w="1806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 убедительного QPCT/QPCTL reversal-пакета</w:t>
            </w:r>
          </w:p>
        </w:tc>
        <w:tc>
          <w:tcPr>
            <w:tcW w:w="1454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XC8 не валидировал класс при астме</w:t>
            </w:r>
          </w:p>
        </w:tc>
      </w:tr>
      <w:tr w:rsidR="00454CBA" w:rsidRPr="00454CBA" w:rsidTr="00454CBA">
        <w:tc>
          <w:tcPr>
            <w:tcW w:w="1475" w:type="dxa"/>
          </w:tcPr>
          <w:p w:rsidR="00454CBA" w:rsidRPr="00454CBA" w:rsidRDefault="00454CBA" w:rsidP="00454CBA">
            <w:pPr>
              <w:pStyle w:val="TableText"/>
              <w:jc w:val="left"/>
              <w:rPr>
                <w:sz w:val="16"/>
              </w:rPr>
            </w:pPr>
            <w:r w:rsidRPr="00454CBA">
              <w:rPr>
                <w:sz w:val="16"/>
              </w:rPr>
              <w:t>Печёночный фиброз</w:t>
            </w:r>
          </w:p>
        </w:tc>
        <w:tc>
          <w:tcPr>
            <w:tcW w:w="1559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Исследовательская</w:t>
            </w:r>
          </w:p>
        </w:tc>
        <w:tc>
          <w:tcPr>
            <w:tcW w:w="1418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</w:t>
            </w:r>
          </w:p>
        </w:tc>
        <w:tc>
          <w:tcPr>
            <w:tcW w:w="1806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Недостаточно</w:t>
            </w:r>
          </w:p>
        </w:tc>
        <w:tc>
          <w:tcPr>
            <w:tcW w:w="1454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</w:t>
            </w:r>
          </w:p>
        </w:tc>
      </w:tr>
      <w:tr w:rsidR="00454CBA" w:rsidRPr="00454CBA" w:rsidTr="00454CBA">
        <w:tc>
          <w:tcPr>
            <w:tcW w:w="1475" w:type="dxa"/>
          </w:tcPr>
          <w:p w:rsidR="00454CBA" w:rsidRPr="00454CBA" w:rsidRDefault="00454CBA" w:rsidP="00454CBA">
            <w:pPr>
              <w:pStyle w:val="TableText"/>
              <w:jc w:val="left"/>
              <w:rPr>
                <w:sz w:val="16"/>
              </w:rPr>
            </w:pPr>
            <w:r w:rsidRPr="00454CBA">
              <w:rPr>
                <w:sz w:val="16"/>
              </w:rPr>
              <w:t>Сердечный фиброз</w:t>
            </w:r>
          </w:p>
        </w:tc>
        <w:tc>
          <w:tcPr>
            <w:tcW w:w="1559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Исследовательская</w:t>
            </w:r>
          </w:p>
        </w:tc>
        <w:tc>
          <w:tcPr>
            <w:tcW w:w="1418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</w:t>
            </w:r>
          </w:p>
        </w:tc>
        <w:tc>
          <w:tcPr>
            <w:tcW w:w="1806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Недостаточно</w:t>
            </w:r>
          </w:p>
        </w:tc>
        <w:tc>
          <w:tcPr>
            <w:tcW w:w="1454" w:type="dxa"/>
          </w:tcPr>
          <w:p w:rsidR="00454CBA" w:rsidRPr="00454CBA" w:rsidRDefault="00454CBA" w:rsidP="00454CBA">
            <w:pPr>
              <w:pStyle w:val="TableText"/>
              <w:rPr>
                <w:sz w:val="16"/>
              </w:rPr>
            </w:pPr>
            <w:r w:rsidRPr="00454CBA">
              <w:rPr>
                <w:sz w:val="16"/>
              </w:rPr>
              <w:t>Нет</w:t>
            </w:r>
          </w:p>
        </w:tc>
      </w:tr>
    </w:tbl>
    <w:p w:rsidR="00454CBA" w:rsidRDefault="00454CBA" w:rsidP="00454CBA">
      <w:pPr>
        <w:pStyle w:val="Heading1"/>
        <w:numPr>
          <w:ilvl w:val="0"/>
          <w:numId w:val="0"/>
        </w:numPr>
        <w:ind w:left="1080"/>
        <w:rPr>
          <w:color w:val="000000"/>
          <w:lang w:val="ru-RU"/>
        </w:rPr>
      </w:pPr>
    </w:p>
    <w:p w:rsidR="00454CBA" w:rsidRDefault="00454CBA">
      <w:pPr>
        <w:spacing w:after="200" w:line="276" w:lineRule="auto"/>
        <w:ind w:firstLine="0"/>
        <w:jc w:val="left"/>
        <w:rPr>
          <w:b/>
          <w:caps/>
          <w:color w:val="000000"/>
          <w:szCs w:val="24"/>
        </w:rPr>
      </w:pPr>
      <w:r>
        <w:rPr>
          <w:color w:val="000000"/>
        </w:rPr>
        <w:br w:type="page"/>
      </w:r>
    </w:p>
    <w:p w:rsidR="00B01A2C" w:rsidRPr="00454CBA" w:rsidRDefault="00454CBA" w:rsidP="00454CBA">
      <w:pPr>
        <w:pStyle w:val="Header2"/>
      </w:pPr>
      <w:r>
        <w:rPr>
          <w:lang w:val="ru-RU"/>
        </w:rPr>
        <w:t>6</w:t>
      </w:r>
      <w:r w:rsidR="00857E7C" w:rsidRPr="00454CBA">
        <w:t xml:space="preserve">. </w:t>
      </w:r>
      <w:r w:rsidR="00857E7C" w:rsidRPr="00454CBA">
        <w:t>ВЫВОДЫ</w:t>
      </w:r>
    </w:p>
    <w:p w:rsidR="00B01A2C" w:rsidRPr="003619CA" w:rsidRDefault="00857E7C" w:rsidP="003619CA">
      <w:pPr>
        <w:pStyle w:val="Paragraph"/>
        <w:numPr>
          <w:ilvl w:val="0"/>
          <w:numId w:val="29"/>
        </w:numPr>
        <w:ind w:left="709" w:hanging="709"/>
        <w:rPr>
          <w:lang w:val="ru-RU"/>
        </w:rPr>
      </w:pPr>
      <w:r>
        <w:t>QPCTL</w:t>
      </w:r>
      <w:r w:rsidRPr="003619CA">
        <w:rPr>
          <w:lang w:val="ru-RU"/>
        </w:rPr>
        <w:t xml:space="preserve"> является генетически и фармакологически валидированной точкой ко</w:t>
      </w:r>
      <w:r w:rsidRPr="003619CA">
        <w:rPr>
          <w:lang w:val="ru-RU"/>
        </w:rPr>
        <w:t xml:space="preserve">нтроля функционального </w:t>
      </w:r>
      <w:r>
        <w:t>pE</w:t>
      </w:r>
      <w:r w:rsidRPr="003619CA">
        <w:rPr>
          <w:lang w:val="ru-RU"/>
        </w:rPr>
        <w:t>-</w:t>
      </w:r>
      <w:r>
        <w:t>CD</w:t>
      </w:r>
      <w:r w:rsidRPr="003619CA">
        <w:rPr>
          <w:lang w:val="ru-RU"/>
        </w:rPr>
        <w:t>47</w:t>
      </w:r>
      <w:r w:rsidRPr="003619CA">
        <w:rPr>
          <w:lang w:val="ru-RU"/>
        </w:rPr>
        <w:t>, но клиническая противоопухолевая эффективность этого подхода не доказана.</w:t>
      </w:r>
    </w:p>
    <w:p w:rsidR="00B01A2C" w:rsidRPr="00454CBA" w:rsidRDefault="00857E7C" w:rsidP="003619CA">
      <w:pPr>
        <w:pStyle w:val="Paragraph"/>
        <w:numPr>
          <w:ilvl w:val="0"/>
          <w:numId w:val="29"/>
        </w:numPr>
        <w:ind w:left="709" w:hanging="709"/>
      </w:pPr>
      <w:r>
        <w:t>QP</w:t>
      </w:r>
      <w:r w:rsidRPr="00454CBA">
        <w:t xml:space="preserve">5038 - сильный </w:t>
      </w:r>
      <w:r>
        <w:t>chemical</w:t>
      </w:r>
      <w:r w:rsidRPr="00454CBA">
        <w:t xml:space="preserve"> </w:t>
      </w:r>
      <w:r>
        <w:t>proof</w:t>
      </w:r>
      <w:r w:rsidRPr="00454CBA">
        <w:t>-</w:t>
      </w:r>
      <w:r>
        <w:t>of</w:t>
      </w:r>
      <w:r w:rsidRPr="00454CBA">
        <w:t>-</w:t>
      </w:r>
      <w:r>
        <w:t>concept</w:t>
      </w:r>
      <w:r w:rsidRPr="00454CBA">
        <w:t>, а не готовый кандидат.</w:t>
      </w:r>
      <w:r w:rsidRPr="00454CBA">
        <w:t xml:space="preserve"> Его двойная </w:t>
      </w:r>
      <w:r>
        <w:t>QPCT</w:t>
      </w:r>
      <w:r w:rsidRPr="00454CBA">
        <w:t>/</w:t>
      </w:r>
      <w:r>
        <w:t>QPCTL</w:t>
      </w:r>
      <w:r w:rsidRPr="00454CBA">
        <w:t>-активность, микромолярная функциональная экспозиция и неполн</w:t>
      </w:r>
      <w:r w:rsidRPr="00454CBA">
        <w:t xml:space="preserve">ый </w:t>
      </w:r>
      <w:r>
        <w:t>PK</w:t>
      </w:r>
      <w:r w:rsidRPr="00454CBA">
        <w:t>/</w:t>
      </w:r>
      <w:r>
        <w:t>PD</w:t>
      </w:r>
      <w:r w:rsidRPr="00454CBA">
        <w:t>-пакет требуют оптимизации и причинного контроля.</w:t>
      </w:r>
    </w:p>
    <w:p w:rsidR="00B01A2C" w:rsidRPr="00454CBA" w:rsidRDefault="00857E7C" w:rsidP="003619CA">
      <w:pPr>
        <w:pStyle w:val="Paragraph"/>
        <w:numPr>
          <w:ilvl w:val="0"/>
          <w:numId w:val="29"/>
        </w:numPr>
        <w:ind w:left="709" w:hanging="709"/>
      </w:pPr>
      <w:r>
        <w:t>ISM</w:t>
      </w:r>
      <w:r w:rsidRPr="00454CBA">
        <w:t>8207 переводит класс в клиническую фазу</w:t>
      </w:r>
      <w:r w:rsidRPr="00454CBA">
        <w:t xml:space="preserve">, но до публикации человеческих </w:t>
      </w:r>
      <w:r>
        <w:t>PK</w:t>
      </w:r>
      <w:r w:rsidRPr="00454CBA">
        <w:t>/</w:t>
      </w:r>
      <w:r>
        <w:t>PD</w:t>
      </w:r>
      <w:r w:rsidRPr="00454CBA">
        <w:t>, безопасности и ответов не подтверждает мишень у пациента.</w:t>
      </w:r>
    </w:p>
    <w:p w:rsidR="00B01A2C" w:rsidRPr="00454CBA" w:rsidRDefault="00857E7C" w:rsidP="003619CA">
      <w:pPr>
        <w:pStyle w:val="Paragraph"/>
        <w:numPr>
          <w:ilvl w:val="0"/>
          <w:numId w:val="29"/>
        </w:numPr>
        <w:ind w:left="709" w:hanging="709"/>
      </w:pPr>
      <w:r w:rsidRPr="00454CBA">
        <w:t>Хемокиновая ось имеет содержательную доклиническую поддержк</w:t>
      </w:r>
      <w:r w:rsidRPr="00454CBA">
        <w:t>у</w:t>
      </w:r>
      <w:r w:rsidRPr="00454CBA">
        <w:t xml:space="preserve">, особенно для моноцитарного почечного воспаления. </w:t>
      </w:r>
      <w:r>
        <w:t>PQ</w:t>
      </w:r>
      <w:r w:rsidRPr="00454CBA">
        <w:t xml:space="preserve">529 демонстрирует наиболее целостную связь «экспозиция - </w:t>
      </w:r>
      <w:r>
        <w:t>pE</w:t>
      </w:r>
      <w:r w:rsidRPr="00454CBA">
        <w:t>-</w:t>
      </w:r>
      <w:r>
        <w:t>CCL</w:t>
      </w:r>
      <w:r w:rsidRPr="00454CBA">
        <w:t>2 - инфильтрация - органный исход».</w:t>
      </w:r>
    </w:p>
    <w:p w:rsidR="00B01A2C" w:rsidRPr="00454CBA" w:rsidRDefault="00857E7C" w:rsidP="003619CA">
      <w:pPr>
        <w:pStyle w:val="Paragraph"/>
        <w:numPr>
          <w:ilvl w:val="0"/>
          <w:numId w:val="29"/>
        </w:numPr>
        <w:ind w:left="709" w:hanging="709"/>
      </w:pPr>
      <w:r w:rsidRPr="00454CBA">
        <w:t>Вароглутамстат даёт полезные данные о длительном воздействии на человека и исследовательский почечный с</w:t>
      </w:r>
      <w:r w:rsidRPr="00454CBA">
        <w:t>игнал</w:t>
      </w:r>
      <w:r w:rsidRPr="00454CBA">
        <w:t>, но не доказывает лечение диабетической болезни почек или фиброза.</w:t>
      </w:r>
    </w:p>
    <w:p w:rsidR="00B01A2C" w:rsidRPr="00454CBA" w:rsidRDefault="00857E7C" w:rsidP="003619CA">
      <w:pPr>
        <w:pStyle w:val="Paragraph"/>
        <w:numPr>
          <w:ilvl w:val="0"/>
          <w:numId w:val="29"/>
        </w:numPr>
        <w:ind w:left="709" w:hanging="709"/>
      </w:pPr>
      <w:r w:rsidRPr="00454CBA">
        <w:t>Наиболее рациональное фибротическое направление - почка</w:t>
      </w:r>
      <w:r w:rsidRPr="00454CBA">
        <w:t>, причём как замедление воспалительно-фибротического прогрессирования. Кожное, лёгочное, печёночное и сердечное направления нужд</w:t>
      </w:r>
      <w:r w:rsidRPr="00454CBA">
        <w:t xml:space="preserve">аются в прямом </w:t>
      </w:r>
      <w:r>
        <w:t>target</w:t>
      </w:r>
      <w:r w:rsidRPr="00454CBA">
        <w:t>-</w:t>
      </w:r>
      <w:r>
        <w:t>level</w:t>
      </w:r>
      <w:r w:rsidRPr="00454CBA">
        <w:t xml:space="preserve"> </w:t>
      </w:r>
      <w:r>
        <w:t>proof</w:t>
      </w:r>
      <w:r w:rsidRPr="00454CBA">
        <w:t>.</w:t>
      </w:r>
    </w:p>
    <w:p w:rsidR="00B01A2C" w:rsidRPr="00454CBA" w:rsidRDefault="00857E7C" w:rsidP="003619CA">
      <w:pPr>
        <w:pStyle w:val="Paragraph"/>
        <w:numPr>
          <w:ilvl w:val="0"/>
          <w:numId w:val="29"/>
        </w:numPr>
        <w:ind w:left="709" w:hanging="709"/>
      </w:pPr>
      <w:r w:rsidRPr="00454CBA">
        <w:t xml:space="preserve">ХС7 нельзя позиционировать как ингибитор </w:t>
      </w:r>
      <w:r>
        <w:t>QPCT</w:t>
      </w:r>
      <w:r w:rsidRPr="00454CBA">
        <w:t>/</w:t>
      </w:r>
      <w:r>
        <w:t>QPCTL</w:t>
      </w:r>
      <w:r w:rsidRPr="00454CBA">
        <w:t xml:space="preserve"> на основании текущего пакета.</w:t>
      </w:r>
      <w:r w:rsidRPr="00454CBA">
        <w:t xml:space="preserve"> Его анальгетический фенотип реален в части моделей, но механизм неизвестен; быстрый </w:t>
      </w:r>
      <w:r>
        <w:t>onset</w:t>
      </w:r>
      <w:r w:rsidRPr="00454CBA">
        <w:t xml:space="preserve"> и противоречивые гистаминовые сигналы требуют нез</w:t>
      </w:r>
      <w:r w:rsidRPr="00454CBA">
        <w:t>ависимой деконволюции.</w:t>
      </w:r>
    </w:p>
    <w:p w:rsidR="00B01A2C" w:rsidRPr="00454CBA" w:rsidRDefault="00857E7C" w:rsidP="003619CA">
      <w:pPr>
        <w:pStyle w:val="Paragraph"/>
        <w:numPr>
          <w:ilvl w:val="0"/>
          <w:numId w:val="29"/>
        </w:numPr>
        <w:ind w:left="709" w:hanging="709"/>
      </w:pPr>
      <w:r w:rsidRPr="00454CBA">
        <w:t xml:space="preserve">Инвестиционно оправдана короткая </w:t>
      </w:r>
      <w:r>
        <w:t>stage</w:t>
      </w:r>
      <w:r w:rsidRPr="00454CBA">
        <w:t>-</w:t>
      </w:r>
      <w:r>
        <w:t>gated</w:t>
      </w:r>
      <w:r w:rsidRPr="00454CBA">
        <w:t xml:space="preserve"> программа</w:t>
      </w:r>
      <w:r w:rsidRPr="00454CBA">
        <w:t xml:space="preserve">, начинающаяся с аналитического выравнивания, клеточной эпистазы и несвязанной </w:t>
      </w:r>
      <w:r>
        <w:t>PK</w:t>
      </w:r>
      <w:r w:rsidRPr="00454CBA">
        <w:t>/</w:t>
      </w:r>
      <w:r>
        <w:t>PD</w:t>
      </w:r>
      <w:r w:rsidRPr="00454CBA">
        <w:t xml:space="preserve">, с последующим одним онкологическим и одним почечным </w:t>
      </w:r>
      <w:r>
        <w:t>proof</w:t>
      </w:r>
      <w:r w:rsidRPr="00454CBA">
        <w:t>-</w:t>
      </w:r>
      <w:r>
        <w:t>of</w:t>
      </w:r>
      <w:r w:rsidRPr="00454CBA">
        <w:t>-</w:t>
      </w:r>
      <w:r>
        <w:t>concept</w:t>
      </w:r>
      <w:r w:rsidRPr="00454CBA">
        <w:t>.</w:t>
      </w:r>
    </w:p>
    <w:p w:rsidR="00454CBA" w:rsidRDefault="00454CBA">
      <w:pPr>
        <w:spacing w:after="200" w:line="276" w:lineRule="auto"/>
        <w:ind w:firstLine="0"/>
        <w:jc w:val="left"/>
        <w:rPr>
          <w:b/>
          <w:caps/>
          <w:color w:val="000000"/>
          <w:szCs w:val="24"/>
          <w:lang w:val="en-US"/>
        </w:rPr>
      </w:pPr>
      <w:r>
        <w:rPr>
          <w:color w:val="000000"/>
        </w:rPr>
        <w:br w:type="page"/>
      </w:r>
    </w:p>
    <w:p w:rsidR="00B01A2C" w:rsidRDefault="00857E7C" w:rsidP="00454CBA">
      <w:pPr>
        <w:pStyle w:val="Header2"/>
      </w:pPr>
      <w:r>
        <w:t>СПИСОК ИСПОЛЬЗОВАННЫХ И</w:t>
      </w:r>
      <w:r>
        <w:t>СТОЧНИКОВ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 w:rsidRPr="00454CBA">
        <w:rPr>
          <w:sz w:val="21"/>
        </w:rPr>
        <w:t xml:space="preserve">Logtenberg M.E.W. et al. Glutaminyl cyclase is an enzymatic modifier of the CD47-SIRPα axis and a target for cancer immunotherapy. </w:t>
      </w:r>
      <w:r w:rsidRPr="00454CBA">
        <w:rPr>
          <w:sz w:val="21"/>
        </w:rPr>
        <w:t>Nature Medicine</w:t>
      </w:r>
      <w:r w:rsidRPr="00454CBA">
        <w:rPr>
          <w:sz w:val="21"/>
        </w:rPr>
        <w:t>. 2019;25:612-619. DOI: 10.1038/s41591-019-0356-z. PMID: 30833751.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W</w:t>
      </w:r>
      <w:r>
        <w:rPr>
          <w:sz w:val="21"/>
        </w:rPr>
        <w:t>u Z., Weng L., Zhang T. et al. I</w:t>
      </w:r>
      <w:r>
        <w:rPr>
          <w:sz w:val="21"/>
        </w:rPr>
        <w:t xml:space="preserve">dentification of Glutaminyl Cyclase isoenzyme isoQC as a regulator of SIRPα-CD47 axis. </w:t>
      </w:r>
      <w:r w:rsidRPr="00454CBA">
        <w:rPr>
          <w:sz w:val="21"/>
        </w:rPr>
        <w:t>Cell Research</w:t>
      </w:r>
      <w:r>
        <w:rPr>
          <w:sz w:val="21"/>
        </w:rPr>
        <w:t>. 2019;29:502-505. DOI: 10.1038/s41422-019-0177-0.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Cynis H., Hoffmann T., Friedrich D. et al. The isoenzyme of glutaminyl cyclase is an important regulator of monocyte infiltration under inflammatory conditions. </w:t>
      </w:r>
      <w:r w:rsidRPr="00454CBA">
        <w:rPr>
          <w:sz w:val="21"/>
        </w:rPr>
        <w:t>EMBO Molecular Medicine</w:t>
      </w:r>
      <w:r>
        <w:rPr>
          <w:sz w:val="21"/>
        </w:rPr>
        <w:t>. 2011;3:545-558. DOI: 10.1002/emmm.201100158. PMID: 21774078.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Barreira </w:t>
      </w:r>
      <w:r>
        <w:rPr>
          <w:sz w:val="21"/>
        </w:rPr>
        <w:t xml:space="preserve">da Silva R., Leitão R.M., Pechuan-Jorge X. et al. Loss of the intracellular enzyme QPCTL limits chemokine function and reshapes myeloid infiltration to augment tumor immunity. </w:t>
      </w:r>
      <w:r w:rsidRPr="00454CBA">
        <w:rPr>
          <w:sz w:val="21"/>
        </w:rPr>
        <w:t>Nature Immunology</w:t>
      </w:r>
      <w:r>
        <w:rPr>
          <w:sz w:val="21"/>
        </w:rPr>
        <w:t>. 2022;23:568-580. DOI: 10.1038/s41590-022-01153-x. PMID: 35314</w:t>
      </w:r>
      <w:r>
        <w:rPr>
          <w:sz w:val="21"/>
        </w:rPr>
        <w:t>846.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Bresser K. et al. QPCTL regulates macrophage and monocyte abundance and inflammatory signatures in the tumor microenvironment. </w:t>
      </w:r>
      <w:r w:rsidRPr="00454CBA">
        <w:rPr>
          <w:sz w:val="21"/>
        </w:rPr>
        <w:t>OncoImmunology</w:t>
      </w:r>
      <w:r>
        <w:rPr>
          <w:sz w:val="21"/>
        </w:rPr>
        <w:t>. 2022;11:2049486. DOI: 10.1080/2162402X.2022.2049486. PMID: 35309731.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Yu L., Zhao P., Sun Y. et al. Developme</w:t>
      </w:r>
      <w:r>
        <w:rPr>
          <w:sz w:val="21"/>
        </w:rPr>
        <w:t xml:space="preserve">nt of a potent benzonitrile-based inhibitor of glutaminyl-peptide cyclotransferase-like protein (QPCTL) with antitumor efficacy. </w:t>
      </w:r>
      <w:r w:rsidRPr="00454CBA">
        <w:rPr>
          <w:sz w:val="21"/>
        </w:rPr>
        <w:t>Signal Transduction and Targeted Therapy</w:t>
      </w:r>
      <w:r>
        <w:rPr>
          <w:sz w:val="21"/>
        </w:rPr>
        <w:t>. 2023;8:454. DOI: 10.1038/s41392-023-01715-x. PMID: 38097557.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Park E. et al. 2-Amino-1</w:t>
      </w:r>
      <w:r>
        <w:rPr>
          <w:sz w:val="21"/>
        </w:rPr>
        <w:t xml:space="preserve">,3,4-thiadiazoles as Glutaminyl Cyclases Inhibitors Increase Phagocytosis through Modification of CD47-SIRPα Checkpoint. </w:t>
      </w:r>
      <w:r w:rsidRPr="00454CBA">
        <w:rPr>
          <w:sz w:val="21"/>
        </w:rPr>
        <w:t>ACS Medicinal Chemistry Letters</w:t>
      </w:r>
      <w:r>
        <w:rPr>
          <w:sz w:val="21"/>
        </w:rPr>
        <w:t>. 2022;13:1459-1467. DOI: 10.1021/acsmedchemlett.2c00256. PMID: 36105338.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Schloesser M. et al. QPCT/L-de</w:t>
      </w:r>
      <w:r>
        <w:rPr>
          <w:sz w:val="21"/>
        </w:rPr>
        <w:t xml:space="preserve">pendent CD47 signaling contributes to impaired clearance of senescent cells. </w:t>
      </w:r>
      <w:r w:rsidRPr="00454CBA">
        <w:rPr>
          <w:sz w:val="21"/>
        </w:rPr>
        <w:t>Journal of Cell Biology</w:t>
      </w:r>
      <w:r>
        <w:rPr>
          <w:sz w:val="21"/>
        </w:rPr>
        <w:t>. 2023;222:e202207097. DOI: 10.1083/jcb.202207097.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van der Plas J. et al. Pyroglutamation of CD47 and TRP1 affects antibody binding without reducing surface</w:t>
      </w:r>
      <w:r>
        <w:rPr>
          <w:sz w:val="21"/>
        </w:rPr>
        <w:t xml:space="preserve"> CD47. </w:t>
      </w:r>
      <w:r w:rsidRPr="00454CBA">
        <w:rPr>
          <w:sz w:val="21"/>
        </w:rPr>
        <w:t>Communications Biology</w:t>
      </w:r>
      <w:r>
        <w:rPr>
          <w:sz w:val="21"/>
        </w:rPr>
        <w:t>. 2025. DOI: 10.1038/s42003-025-08938-4.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Lerbs T. et al. CD47 prevents the elimination of diseased fibroblasts in scleroderma. </w:t>
      </w:r>
      <w:r w:rsidRPr="00454CBA">
        <w:rPr>
          <w:sz w:val="21"/>
        </w:rPr>
        <w:t>JCI Insight</w:t>
      </w:r>
      <w:r>
        <w:rPr>
          <w:sz w:val="21"/>
        </w:rPr>
        <w:t>. 2020;5:e140458. DOI: 10.1172/jci.insight.140458. PMID: 32814713.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Kanemitsu N. et al. Ph</w:t>
      </w:r>
      <w:r>
        <w:rPr>
          <w:sz w:val="21"/>
        </w:rPr>
        <w:t xml:space="preserve">armacological inhibition of glutaminyl cyclase ameliorates glomerulonephritis in rats. </w:t>
      </w:r>
      <w:r w:rsidRPr="00454CBA">
        <w:rPr>
          <w:sz w:val="21"/>
        </w:rPr>
        <w:t>Naunyn-Schmiedeberg's Archives of Pharmacology</w:t>
      </w:r>
      <w:r>
        <w:rPr>
          <w:sz w:val="21"/>
        </w:rPr>
        <w:t>. 2021;394:941-952. DOI: 10.1007/s00210-020-02013-x. PMID: 33159802.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Renner A., Romanova J., Ferko B. et al. Safety, pharma</w:t>
      </w:r>
      <w:r>
        <w:rPr>
          <w:sz w:val="21"/>
        </w:rPr>
        <w:t xml:space="preserve">cokinetics and pharmacodynamics of XC8 in healthy probands. </w:t>
      </w:r>
      <w:r w:rsidRPr="00454CBA">
        <w:rPr>
          <w:sz w:val="21"/>
        </w:rPr>
        <w:t>Pulmonary Pharmacology &amp; Therapeutics</w:t>
      </w:r>
      <w:r>
        <w:rPr>
          <w:sz w:val="21"/>
        </w:rPr>
        <w:t>. 2019;59:101852. DOI: 10.1016/j.pupt.2019.101852. PMID: 31597083.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Romanova J., Chikina E., Rydlovskaya A. et al. New Anti-Chemokine Oral Drug XC8 in Asthma Pa</w:t>
      </w:r>
      <w:r>
        <w:rPr>
          <w:sz w:val="21"/>
        </w:rPr>
        <w:t xml:space="preserve">tients with Poor Response to Corticosteroids: Phase 2A Randomized Trial. </w:t>
      </w:r>
      <w:r w:rsidRPr="00454CBA">
        <w:rPr>
          <w:sz w:val="21"/>
        </w:rPr>
        <w:t>Pulmonary Therapy</w:t>
      </w:r>
      <w:r>
        <w:rPr>
          <w:sz w:val="21"/>
        </w:rPr>
        <w:t>. 2020;6:351-369. DOI: 10.1007/s41030-020-00134-5. PMID: 33095411. ClinicalTrials.gov: NCT03450434.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Lues I. et al. A phase 1 study to evaluate the safety and pharmaco</w:t>
      </w:r>
      <w:r>
        <w:rPr>
          <w:sz w:val="21"/>
        </w:rPr>
        <w:t xml:space="preserve">kinetics of PQ912, a glutaminyl cyclase inhibitor. </w:t>
      </w:r>
      <w:r w:rsidRPr="00454CBA">
        <w:rPr>
          <w:sz w:val="21"/>
        </w:rPr>
        <w:t>Alzheimer's &amp; Dementia: Translational Research &amp; Clinical Interventions</w:t>
      </w:r>
      <w:r>
        <w:rPr>
          <w:sz w:val="21"/>
        </w:rPr>
        <w:t>. 2015. DOI: 10.1016/j.trci.2015.08.002. PMID: 29854937.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Scheltens P. et al. Safety, tolerability and efficacy of the glutaminyl cycla</w:t>
      </w:r>
      <w:r>
        <w:rPr>
          <w:sz w:val="21"/>
        </w:rPr>
        <w:t xml:space="preserve">se inhibitor PQ912 in Alzheimer's disease. </w:t>
      </w:r>
      <w:r w:rsidRPr="00454CBA">
        <w:rPr>
          <w:sz w:val="21"/>
        </w:rPr>
        <w:t>Alzheimer's Research &amp; Therapy</w:t>
      </w:r>
      <w:r>
        <w:rPr>
          <w:sz w:val="21"/>
        </w:rPr>
        <w:t>. 2018. DOI: 10.1186/s13195-018-0431-6. ClinicalTrials.gov: NCT02389413.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Vijverberg E.G.B. et al. Rationale and study design of VIVIAD with varoglutamstat. 2021. PMID: 34425883. Clini</w:t>
      </w:r>
      <w:r>
        <w:rPr>
          <w:sz w:val="21"/>
        </w:rPr>
        <w:t>calTrials.gov: NCT04498650.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Vivoryon Therapeutics. Phase 2 kidney function and biomarker data presented at ASN Kidney Week 2025. </w:t>
      </w:r>
      <w:r w:rsidRPr="00454CBA">
        <w:rPr>
          <w:sz w:val="21"/>
        </w:rPr>
        <w:t xml:space="preserve">2025. </w:t>
      </w:r>
      <w:r>
        <w:rPr>
          <w:sz w:val="21"/>
        </w:rPr>
        <w:t>URL</w:t>
      </w:r>
      <w:r w:rsidRPr="00454CBA">
        <w:rPr>
          <w:sz w:val="21"/>
        </w:rPr>
        <w:t xml:space="preserve">: </w:t>
      </w:r>
      <w:hyperlink r:id="rId11">
        <w:r w:rsidRPr="00454CBA">
          <w:rPr>
            <w:sz w:val="21"/>
          </w:rPr>
          <w:t>https</w:t>
        </w:r>
        <w:r w:rsidRPr="00454CBA">
          <w:rPr>
            <w:sz w:val="21"/>
          </w:rPr>
          <w:t>://</w:t>
        </w:r>
        <w:r w:rsidRPr="00454CBA">
          <w:rPr>
            <w:sz w:val="21"/>
          </w:rPr>
          <w:t>www</w:t>
        </w:r>
        <w:r w:rsidRPr="00454CBA">
          <w:rPr>
            <w:sz w:val="21"/>
          </w:rPr>
          <w:t>.</w:t>
        </w:r>
        <w:r w:rsidRPr="00454CBA">
          <w:rPr>
            <w:sz w:val="21"/>
          </w:rPr>
          <w:t>vivoryon</w:t>
        </w:r>
        <w:r w:rsidRPr="00454CBA">
          <w:rPr>
            <w:sz w:val="21"/>
          </w:rPr>
          <w:t>.</w:t>
        </w:r>
        <w:r w:rsidRPr="00454CBA">
          <w:rPr>
            <w:sz w:val="21"/>
          </w:rPr>
          <w:t>com</w:t>
        </w:r>
        <w:r w:rsidRPr="00454CBA">
          <w:rPr>
            <w:sz w:val="21"/>
          </w:rPr>
          <w:t>/</w:t>
        </w:r>
        <w:r w:rsidRPr="00454CBA">
          <w:rPr>
            <w:sz w:val="21"/>
          </w:rPr>
          <w:t>vivoryon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therapeutics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n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v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presents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phase</w:t>
        </w:r>
        <w:r w:rsidRPr="00454CBA">
          <w:rPr>
            <w:sz w:val="21"/>
          </w:rPr>
          <w:t>-2-</w:t>
        </w:r>
        <w:r w:rsidRPr="00454CBA">
          <w:rPr>
            <w:sz w:val="21"/>
          </w:rPr>
          <w:t>kidney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function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and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biomarker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data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at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the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american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society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of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nephrology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kidney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week</w:t>
        </w:r>
        <w:r w:rsidRPr="00454CBA">
          <w:rPr>
            <w:sz w:val="21"/>
          </w:rPr>
          <w:t>-2025/</w:t>
        </w:r>
      </w:hyperlink>
      <w:r w:rsidRPr="00454CBA">
        <w:rPr>
          <w:sz w:val="21"/>
        </w:rPr>
        <w:t xml:space="preserve"> (дата обращения: 07.08.2026).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Vivor</w:t>
      </w:r>
      <w:r>
        <w:rPr>
          <w:sz w:val="21"/>
        </w:rPr>
        <w:t xml:space="preserve">yon Therapeutics. Full year 2025 financial results and business update. </w:t>
      </w:r>
      <w:r w:rsidRPr="00454CBA">
        <w:rPr>
          <w:sz w:val="21"/>
        </w:rPr>
        <w:t xml:space="preserve">23.04.2026. </w:t>
      </w:r>
      <w:r>
        <w:rPr>
          <w:sz w:val="21"/>
        </w:rPr>
        <w:t>URL</w:t>
      </w:r>
      <w:r w:rsidRPr="00454CBA">
        <w:rPr>
          <w:sz w:val="21"/>
        </w:rPr>
        <w:t xml:space="preserve">: </w:t>
      </w:r>
      <w:hyperlink r:id="rId12">
        <w:r w:rsidRPr="00454CBA">
          <w:rPr>
            <w:sz w:val="21"/>
          </w:rPr>
          <w:t>https</w:t>
        </w:r>
        <w:r w:rsidRPr="00454CBA">
          <w:rPr>
            <w:sz w:val="21"/>
          </w:rPr>
          <w:t>://</w:t>
        </w:r>
        <w:r w:rsidRPr="00454CBA">
          <w:rPr>
            <w:sz w:val="21"/>
          </w:rPr>
          <w:t>www</w:t>
        </w:r>
        <w:r w:rsidRPr="00454CBA">
          <w:rPr>
            <w:sz w:val="21"/>
          </w:rPr>
          <w:t>.</w:t>
        </w:r>
        <w:r w:rsidRPr="00454CBA">
          <w:rPr>
            <w:sz w:val="21"/>
          </w:rPr>
          <w:t>vivoryon</w:t>
        </w:r>
        <w:r w:rsidRPr="00454CBA">
          <w:rPr>
            <w:sz w:val="21"/>
          </w:rPr>
          <w:t>.</w:t>
        </w:r>
        <w:r w:rsidRPr="00454CBA">
          <w:rPr>
            <w:sz w:val="21"/>
          </w:rPr>
          <w:t>com</w:t>
        </w:r>
        <w:r w:rsidRPr="00454CBA">
          <w:rPr>
            <w:sz w:val="21"/>
          </w:rPr>
          <w:t>/</w:t>
        </w:r>
        <w:r w:rsidRPr="00454CBA">
          <w:rPr>
            <w:sz w:val="21"/>
          </w:rPr>
          <w:t>v</w:t>
        </w:r>
        <w:r w:rsidRPr="00454CBA">
          <w:rPr>
            <w:sz w:val="21"/>
          </w:rPr>
          <w:t>ivoryon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therapeutics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n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v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reports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full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year</w:t>
        </w:r>
        <w:r w:rsidRPr="00454CBA">
          <w:rPr>
            <w:sz w:val="21"/>
          </w:rPr>
          <w:t>-2025-</w:t>
        </w:r>
        <w:r w:rsidRPr="00454CBA">
          <w:rPr>
            <w:sz w:val="21"/>
          </w:rPr>
          <w:t>financial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results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and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provides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business</w:t>
        </w:r>
        <w:r w:rsidRPr="00454CBA">
          <w:rPr>
            <w:sz w:val="21"/>
          </w:rPr>
          <w:t>-</w:t>
        </w:r>
        <w:r w:rsidRPr="00454CBA">
          <w:rPr>
            <w:sz w:val="21"/>
          </w:rPr>
          <w:t>update</w:t>
        </w:r>
        <w:r w:rsidRPr="00454CBA">
          <w:rPr>
            <w:sz w:val="21"/>
          </w:rPr>
          <w:t>/</w:t>
        </w:r>
      </w:hyperlink>
      <w:r w:rsidRPr="00454CBA">
        <w:rPr>
          <w:sz w:val="21"/>
        </w:rPr>
        <w:t xml:space="preserve"> (дата обращения: 07.08.2026).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Rao S. et al. Therapeutic potential of ISM8207, a novel small-molecule inhibitor targeting the CD47-SIRPα axis. </w:t>
      </w:r>
      <w:r w:rsidRPr="00454CBA">
        <w:rPr>
          <w:sz w:val="21"/>
        </w:rPr>
        <w:t>Annals of Oncology</w:t>
      </w:r>
      <w:r>
        <w:rPr>
          <w:sz w:val="21"/>
        </w:rPr>
        <w:t>. 2023;34(Suppl 2):S201. DOI: 10.1016/j.annonc.2023.09.1547.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ClinicalTrials.gov. NCT06445517: A Phase I Study of ISM8207 in Participants With Advanced Malignant Tumors. URL: </w:t>
      </w:r>
      <w:hyperlink r:id="rId13">
        <w:r w:rsidRPr="00454CBA">
          <w:rPr>
            <w:sz w:val="21"/>
          </w:rPr>
          <w:t>https://clinicaltr</w:t>
        </w:r>
        <w:r w:rsidRPr="00454CBA">
          <w:rPr>
            <w:sz w:val="21"/>
          </w:rPr>
          <w:t>ials.gov/study/NCT06445517</w:t>
        </w:r>
      </w:hyperlink>
      <w:r>
        <w:rPr>
          <w:sz w:val="21"/>
        </w:rPr>
        <w:t xml:space="preserve"> (данные реестра проверены 07.08.2026).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Mullenders J. et al. SC-2882, an orally administered QPCTL inhibitor, enhances anti-tumor immunity. </w:t>
      </w:r>
      <w:r w:rsidRPr="00454CBA">
        <w:rPr>
          <w:sz w:val="21"/>
        </w:rPr>
        <w:t>Cancer Research</w:t>
      </w:r>
      <w:r>
        <w:rPr>
          <w:sz w:val="21"/>
        </w:rPr>
        <w:t>. 2024;84(6 Suppl):Abstract 4690. DOI: 10.1158/1538-7445.AM2024-4690.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National Health Research Institutes, Institute of Biotechnology and Pharmaceutical Research. DBPR22998 (BPRQC298), a potent and selective isoQC/QPCTL inhibitor. URL: </w:t>
      </w:r>
      <w:hyperlink r:id="rId14">
        <w:r w:rsidRPr="00454CBA">
          <w:rPr>
            <w:sz w:val="21"/>
          </w:rPr>
          <w:t>https://ibpr.nh</w:t>
        </w:r>
        <w:r w:rsidRPr="00454CBA">
          <w:rPr>
            <w:sz w:val="21"/>
          </w:rPr>
          <w:t>ri.edu.tw/en/index.php/2022/09/27/isoqc/</w:t>
        </w:r>
      </w:hyperlink>
      <w:r>
        <w:rPr>
          <w:sz w:val="21"/>
        </w:rPr>
        <w:t xml:space="preserve"> (дата обращения: 07.08.2026).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Li R., Zhang W.-F., Lei H. et al. Design, synthesis and biological evaluation of novel glutaminyl cyclase inhibitors targeting the CD47-SIRPα axis in breast cancer cells. </w:t>
      </w:r>
      <w:r w:rsidRPr="00454CBA">
        <w:rPr>
          <w:sz w:val="21"/>
        </w:rPr>
        <w:t>Bioorganic &amp; M</w:t>
      </w:r>
      <w:r w:rsidRPr="00454CBA">
        <w:rPr>
          <w:sz w:val="21"/>
        </w:rPr>
        <w:t>edicinal Chemistry</w:t>
      </w:r>
      <w:r>
        <w:rPr>
          <w:sz w:val="21"/>
        </w:rPr>
        <w:t>. 2026;132:118469. DOI: 10.1016/j.bmc.2025.118469. PMID: 41176819.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Sallman D.A. et al. Magrolimab plus azacitidine versus azacitidine in higher-risk myelodysplastic syndromes: ENHANCE. </w:t>
      </w:r>
      <w:r w:rsidRPr="00454CBA">
        <w:rPr>
          <w:sz w:val="21"/>
        </w:rPr>
        <w:t>Journal of Clinical Oncology</w:t>
      </w:r>
      <w:r>
        <w:rPr>
          <w:sz w:val="21"/>
        </w:rPr>
        <w:t>. 2026. DOI: 10.1200/JCO-</w:t>
      </w:r>
      <w:r>
        <w:rPr>
          <w:sz w:val="21"/>
        </w:rPr>
        <w:t>25-00617. PMID: 42441929.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Zeidner J.F. et al. Magrolimab with azacitidine versus physician's choice in TP53-mutated acute myeloid leukemia: ENHANCE-2. </w:t>
      </w:r>
      <w:r w:rsidRPr="00454CBA">
        <w:rPr>
          <w:sz w:val="21"/>
        </w:rPr>
        <w:t>Blood</w:t>
      </w:r>
      <w:r>
        <w:rPr>
          <w:sz w:val="21"/>
        </w:rPr>
        <w:t>. 2025. PMID: 40009500.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Daver N. et al. Magrolimab plus azacitidine and venetoclax in acute myeloid </w:t>
      </w:r>
      <w:r>
        <w:rPr>
          <w:sz w:val="21"/>
        </w:rPr>
        <w:t xml:space="preserve">leukemia: ENHANCE-3. </w:t>
      </w:r>
      <w:r w:rsidRPr="00454CBA">
        <w:rPr>
          <w:sz w:val="21"/>
        </w:rPr>
        <w:t>Blood</w:t>
      </w:r>
      <w:r>
        <w:rPr>
          <w:sz w:val="21"/>
        </w:rPr>
        <w:t>. 2025. DOI: 10.1182/blood.2024027506. PMID: 40233321.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WO2019022600A1. QPCTL inhibitors and uses thereof.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WO2024188734A1. Glutaminyl cyclase inhibitors for treatment of fibrotic diseases.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 xml:space="preserve">WO2025031917A1. QPCT/QPCTL modulators and </w:t>
      </w:r>
      <w:r>
        <w:rPr>
          <w:sz w:val="21"/>
        </w:rPr>
        <w:t>therapeutic uses.</w:t>
      </w:r>
    </w:p>
    <w:p w:rsidR="00B01A2C" w:rsidRPr="00454CBA" w:rsidRDefault="00857E7C" w:rsidP="00454CBA">
      <w:pPr>
        <w:pStyle w:val="ListNumber"/>
        <w:numPr>
          <w:ilvl w:val="0"/>
          <w:numId w:val="27"/>
        </w:numPr>
        <w:tabs>
          <w:tab w:val="clear" w:pos="360"/>
          <w:tab w:val="num" w:pos="567"/>
        </w:tabs>
        <w:spacing w:after="40" w:line="259" w:lineRule="auto"/>
        <w:ind w:left="567" w:hanging="567"/>
        <w:rPr>
          <w:sz w:val="21"/>
        </w:rPr>
      </w:pPr>
      <w:r>
        <w:rPr>
          <w:sz w:val="21"/>
        </w:rPr>
        <w:t>WO2025168423A1. Inhibitors of glutaminyl cyclases for inflammatory and fibrotic disorders.</w:t>
      </w:r>
    </w:p>
    <w:p w:rsidR="00B01A2C" w:rsidRPr="00454CBA" w:rsidRDefault="00B01A2C" w:rsidP="00454CBA">
      <w:pPr>
        <w:pStyle w:val="Heading1"/>
        <w:numPr>
          <w:ilvl w:val="0"/>
          <w:numId w:val="0"/>
        </w:numPr>
        <w:ind w:left="1080"/>
      </w:pPr>
    </w:p>
    <w:sectPr w:rsidR="00B01A2C" w:rsidRPr="00454CBA" w:rsidSect="00034616">
      <w:headerReference w:type="default" r:id="rId15"/>
      <w:footerReference w:type="default" r:id="rId16"/>
      <w:pgSz w:w="11906" w:h="16838"/>
      <w:pgMar w:top="1020" w:right="964" w:bottom="1020" w:left="124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E7C" w:rsidRDefault="00857E7C">
      <w:pPr>
        <w:spacing w:after="0"/>
      </w:pPr>
      <w:r>
        <w:separator/>
      </w:r>
    </w:p>
  </w:endnote>
  <w:endnote w:type="continuationSeparator" w:id="0">
    <w:p w:rsidR="00857E7C" w:rsidRDefault="00857E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84600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738F4" w:rsidRDefault="000738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7E7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738F4" w:rsidRDefault="000738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A2C" w:rsidRDefault="00857E7C">
    <w:pPr>
      <w:pStyle w:val="Footer"/>
      <w:jc w:val="center"/>
    </w:pPr>
    <w:r>
      <w:rPr>
        <w:color w:val="666666"/>
        <w:sz w:val="17"/>
      </w:rPr>
      <w:t xml:space="preserve">Консолидированный отчёт | 10.08.2026 | </w:t>
    </w:r>
    <w:r>
      <w:rPr>
        <w:sz w:val="18"/>
      </w:rPr>
      <w:fldChar w:fldCharType="begin"/>
    </w:r>
    <w:r>
      <w:rPr>
        <w:sz w:val="18"/>
      </w:rPr>
      <w:instrText>PAGE</w:instrText>
    </w:r>
    <w:r w:rsidR="00454CBA">
      <w:rPr>
        <w:sz w:val="18"/>
      </w:rPr>
      <w:fldChar w:fldCharType="separate"/>
    </w:r>
    <w:r w:rsidR="000738F4">
      <w:rPr>
        <w:noProof/>
        <w:sz w:val="18"/>
      </w:rPr>
      <w:t>7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A2C" w:rsidRPr="00454CBA" w:rsidRDefault="00B01A2C" w:rsidP="00454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E7C" w:rsidRDefault="00857E7C">
      <w:pPr>
        <w:spacing w:after="0"/>
      </w:pPr>
      <w:r>
        <w:separator/>
      </w:r>
    </w:p>
  </w:footnote>
  <w:footnote w:type="continuationSeparator" w:id="0">
    <w:p w:rsidR="00857E7C" w:rsidRDefault="00857E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A2C" w:rsidRPr="000738F4" w:rsidRDefault="00B01A2C" w:rsidP="000738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A2C" w:rsidRPr="00454CBA" w:rsidRDefault="00B01A2C" w:rsidP="00454C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362AA6"/>
    <w:multiLevelType w:val="hybridMultilevel"/>
    <w:tmpl w:val="6D4A15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pStyle w:val="Heading7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pStyle w:val="Heading8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pStyle w:val="Heading9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3670EAC"/>
    <w:multiLevelType w:val="hybridMultilevel"/>
    <w:tmpl w:val="2042DDC6"/>
    <w:lvl w:ilvl="0" w:tplc="599AC11A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127F73"/>
    <w:multiLevelType w:val="hybridMultilevel"/>
    <w:tmpl w:val="56E288EE"/>
    <w:lvl w:ilvl="0" w:tplc="751C0D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83664"/>
    <w:multiLevelType w:val="multilevel"/>
    <w:tmpl w:val="844242BA"/>
    <w:styleLink w:val="ListHeaders"/>
    <w:lvl w:ilvl="0">
      <w:start w:val="1"/>
      <w:numFmt w:val="decimal"/>
      <w:pStyle w:val="H2Numbering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pStyle w:val="H3Numbering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pStyle w:val="H4Numbering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pStyle w:val="H5Numbering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13" w15:restartNumberingAfterBreak="0">
    <w:nsid w:val="3A7728EF"/>
    <w:multiLevelType w:val="hybridMultilevel"/>
    <w:tmpl w:val="0AF4811C"/>
    <w:lvl w:ilvl="0" w:tplc="719A8F86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AD12224"/>
    <w:multiLevelType w:val="multilevel"/>
    <w:tmpl w:val="1748A480"/>
    <w:styleLink w:val="StyleListBulletOutlinenumbered12ptLeft0mm"/>
    <w:lvl w:ilvl="0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EE46136"/>
    <w:multiLevelType w:val="multilevel"/>
    <w:tmpl w:val="51246C2E"/>
    <w:styleLink w:val="ListBas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16" w15:restartNumberingAfterBreak="0">
    <w:nsid w:val="61401F23"/>
    <w:multiLevelType w:val="multilevel"/>
    <w:tmpl w:val="28B62DF6"/>
    <w:styleLink w:val="ListBullet0"/>
    <w:lvl w:ilvl="0">
      <w:start w:val="1"/>
      <w:numFmt w:val="bullet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CCC60C8"/>
    <w:multiLevelType w:val="multilevel"/>
    <w:tmpl w:val="9D2C256A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cs="Times New Roman" w:hint="default"/>
        <w:b/>
      </w:rPr>
    </w:lvl>
    <w:lvl w:ilvl="1">
      <w:start w:val="1"/>
      <w:numFmt w:val="decimal"/>
      <w:pStyle w:val="Heading2"/>
      <w:lvlText w:val="%1.%2."/>
      <w:lvlJc w:val="left"/>
      <w:pPr>
        <w:ind w:left="1294" w:hanging="432"/>
      </w:pPr>
      <w:rPr>
        <w:rFonts w:cs="Times New Roman"/>
        <w:i w:val="0"/>
      </w:rPr>
    </w:lvl>
    <w:lvl w:ilvl="2">
      <w:start w:val="1"/>
      <w:numFmt w:val="decimal"/>
      <w:pStyle w:val="Heading3"/>
      <w:lvlText w:val="%1.%2.%3."/>
      <w:lvlJc w:val="left"/>
      <w:pPr>
        <w:ind w:left="3350" w:hanging="504"/>
      </w:pPr>
      <w:rPr>
        <w:rFonts w:cs="Times New Roman"/>
      </w:rPr>
    </w:lvl>
    <w:lvl w:ilvl="3">
      <w:start w:val="1"/>
      <w:numFmt w:val="decimal"/>
      <w:pStyle w:val="Heading4"/>
      <w:lvlText w:val="%1.%2.%3.%4."/>
      <w:lvlJc w:val="left"/>
      <w:pPr>
        <w:ind w:left="2219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2"/>
  </w:num>
  <w:num w:numId="12">
    <w:abstractNumId w:val="12"/>
  </w:num>
  <w:num w:numId="13">
    <w:abstractNumId w:val="12"/>
  </w:num>
  <w:num w:numId="14">
    <w:abstractNumId w:val="15"/>
  </w:num>
  <w:num w:numId="15">
    <w:abstractNumId w:val="16"/>
  </w:num>
  <w:num w:numId="16">
    <w:abstractNumId w:val="12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9"/>
  </w:num>
  <w:num w:numId="22">
    <w:abstractNumId w:val="9"/>
  </w:num>
  <w:num w:numId="23">
    <w:abstractNumId w:val="9"/>
  </w:num>
  <w:num w:numId="24">
    <w:abstractNumId w:val="13"/>
  </w:num>
  <w:num w:numId="25">
    <w:abstractNumId w:val="14"/>
  </w:num>
  <w:num w:numId="26">
    <w:abstractNumId w:val="11"/>
  </w:num>
  <w:num w:numId="27">
    <w:abstractNumId w:val="7"/>
    <w:lvlOverride w:ilvl="0">
      <w:startOverride w:val="1"/>
    </w:lvlOverride>
  </w:num>
  <w:num w:numId="28">
    <w:abstractNumId w:val="7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hideSpellingError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8F4"/>
    <w:rsid w:val="0015074B"/>
    <w:rsid w:val="0029639D"/>
    <w:rsid w:val="00326F90"/>
    <w:rsid w:val="003619CA"/>
    <w:rsid w:val="00454CBA"/>
    <w:rsid w:val="00857E7C"/>
    <w:rsid w:val="00AA1D8D"/>
    <w:rsid w:val="00B01A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2A9D9"/>
  <w14:defaultImageDpi w14:val="300"/>
  <w15:docId w15:val="{2393B1F9-2CF4-48FA-B873-05761926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CBA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Heading1">
    <w:name w:val="heading 1"/>
    <w:aliases w:val="Заголовок 1-2"/>
    <w:basedOn w:val="Normal"/>
    <w:next w:val="Normal"/>
    <w:link w:val="Heading1Char"/>
    <w:uiPriority w:val="99"/>
    <w:rsid w:val="00454CBA"/>
    <w:pPr>
      <w:numPr>
        <w:numId w:val="20"/>
      </w:numPr>
      <w:contextualSpacing/>
      <w:outlineLvl w:val="0"/>
    </w:pPr>
    <w:rPr>
      <w:b/>
      <w:caps/>
      <w:szCs w:val="24"/>
      <w:lang w:val="en-US"/>
    </w:rPr>
  </w:style>
  <w:style w:type="paragraph" w:styleId="Heading2">
    <w:name w:val="heading 2"/>
    <w:basedOn w:val="Heading1"/>
    <w:next w:val="Normal"/>
    <w:link w:val="Heading2Char"/>
    <w:uiPriority w:val="99"/>
    <w:rsid w:val="00454CBA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Заголовок 3 Знак1,Заголовок 3 Знак Знак Знак Знак Знак1"/>
    <w:basedOn w:val="Heading2"/>
    <w:next w:val="Normal"/>
    <w:link w:val="Heading3Char"/>
    <w:uiPriority w:val="99"/>
    <w:rsid w:val="00454CBA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9"/>
    <w:semiHidden/>
    <w:qFormat/>
    <w:rsid w:val="00454CBA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9"/>
    <w:semiHidden/>
    <w:qFormat/>
    <w:rsid w:val="00454CBA"/>
    <w:pPr>
      <w:keepNext/>
      <w:numPr>
        <w:ilvl w:val="0"/>
        <w:numId w:val="0"/>
      </w:numPr>
      <w:tabs>
        <w:tab w:val="left" w:pos="1152"/>
        <w:tab w:val="num" w:pos="1440"/>
      </w:tabs>
      <w:spacing w:before="120" w:after="240"/>
      <w:contextualSpacing w:val="0"/>
      <w:outlineLvl w:val="4"/>
    </w:pPr>
    <w:rPr>
      <w:rFonts w:ascii="Arial" w:hAnsi="Arial" w:cs="Arial"/>
      <w:bCs/>
      <w:i/>
      <w:iCs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454CBA"/>
    <w:pPr>
      <w:spacing w:before="240" w:after="60"/>
      <w:outlineLvl w:val="5"/>
    </w:pPr>
    <w:rPr>
      <w:i/>
      <w:iCs/>
      <w:sz w:val="22"/>
      <w:lang w:val="en-GB"/>
    </w:rPr>
  </w:style>
  <w:style w:type="paragraph" w:styleId="Heading7">
    <w:name w:val="heading 7"/>
    <w:aliases w:val="DO NOT USE,DO NOT USE3,DO NOT USE4,DO NOT USE31,DO NOT USE311, DO NOT USE"/>
    <w:basedOn w:val="Heading6"/>
    <w:next w:val="Normal"/>
    <w:link w:val="Heading7Char"/>
    <w:uiPriority w:val="99"/>
    <w:semiHidden/>
    <w:qFormat/>
    <w:rsid w:val="00454CBA"/>
    <w:pPr>
      <w:keepNext/>
      <w:numPr>
        <w:ilvl w:val="6"/>
        <w:numId w:val="23"/>
      </w:numPr>
      <w:spacing w:before="120" w:after="240"/>
      <w:outlineLvl w:val="6"/>
    </w:pPr>
    <w:rPr>
      <w:rFonts w:ascii="Arial" w:hAnsi="Arial"/>
      <w:b/>
      <w:lang w:val="en-US"/>
    </w:rPr>
  </w:style>
  <w:style w:type="paragraph" w:styleId="Heading8">
    <w:name w:val="heading 8"/>
    <w:aliases w:val="DO NOT USE2,DO NOT USE21,DO NOT USE211"/>
    <w:basedOn w:val="Heading7"/>
    <w:next w:val="Normal"/>
    <w:link w:val="Heading8Char"/>
    <w:uiPriority w:val="99"/>
    <w:semiHidden/>
    <w:qFormat/>
    <w:rsid w:val="00454CBA"/>
    <w:pPr>
      <w:numPr>
        <w:ilvl w:val="7"/>
      </w:numPr>
      <w:outlineLvl w:val="7"/>
    </w:pPr>
  </w:style>
  <w:style w:type="paragraph" w:styleId="Heading9">
    <w:name w:val="heading 9"/>
    <w:aliases w:val="DO NOT USE1,DO NOT USE11,DO NOT USE111"/>
    <w:basedOn w:val="Heading8"/>
    <w:next w:val="Normal"/>
    <w:link w:val="Heading9Char"/>
    <w:uiPriority w:val="99"/>
    <w:semiHidden/>
    <w:qFormat/>
    <w:rsid w:val="00454CBA"/>
    <w:pPr>
      <w:numPr>
        <w:ilvl w:val="8"/>
      </w:numPr>
      <w:tabs>
        <w:tab w:val="num" w:pos="1800"/>
      </w:tabs>
      <w:outlineLvl w:val="8"/>
    </w:pPr>
  </w:style>
  <w:style w:type="character" w:default="1" w:styleId="DefaultParagraphFont">
    <w:name w:val="Default Paragraph Font"/>
    <w:uiPriority w:val="1"/>
    <w:semiHidden/>
    <w:unhideWhenUsed/>
    <w:rsid w:val="00454CB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54CBA"/>
  </w:style>
  <w:style w:type="paragraph" w:styleId="Header">
    <w:name w:val="header"/>
    <w:basedOn w:val="Normal"/>
    <w:link w:val="HeaderChar"/>
    <w:uiPriority w:val="99"/>
    <w:rsid w:val="00454CBA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4CBA"/>
    <w:rPr>
      <w:rFonts w:ascii="Times New Roman" w:eastAsia="Times New Roman" w:hAnsi="Times New Roman" w:cs="Times New Roman"/>
      <w:sz w:val="24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Заголовок 1-2 Char"/>
    <w:basedOn w:val="DefaultParagraphFont"/>
    <w:link w:val="Heading1"/>
    <w:uiPriority w:val="99"/>
    <w:rsid w:val="00454CBA"/>
    <w:rPr>
      <w:rFonts w:ascii="Times New Roman" w:eastAsia="Times New Roman" w:hAnsi="Times New Roman" w:cs="Times New Roman"/>
      <w:b/>
      <w:cap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sid w:val="00454CB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aliases w:val="Заголовок 3 Знак1 Char,Заголовок 3 Знак Знак Знак Знак Знак1 Char"/>
    <w:basedOn w:val="DefaultParagraphFont"/>
    <w:link w:val="Heading3"/>
    <w:uiPriority w:val="99"/>
    <w:rsid w:val="00454CBA"/>
    <w:rPr>
      <w:rFonts w:ascii="Times New Roman" w:eastAsia="Times New Roman" w:hAnsi="Times New Roman" w:cs="Times New Roman"/>
      <w:b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39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54CBA"/>
    <w:pPr>
      <w:numPr>
        <w:numId w:val="24"/>
      </w:numPr>
    </w:pPr>
    <w:rPr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454CB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454CBA"/>
    <w:rPr>
      <w:rFonts w:ascii="Arial" w:eastAsia="Times New Roman" w:hAnsi="Arial" w:cs="Arial"/>
      <w:b/>
      <w:bCs/>
      <w:i/>
      <w:iCs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454CBA"/>
    <w:rPr>
      <w:rFonts w:ascii="Times New Roman" w:eastAsia="Times New Roman" w:hAnsi="Times New Roman" w:cs="Times New Roman"/>
      <w:i/>
      <w:iCs/>
      <w:lang w:val="en-GB"/>
    </w:rPr>
  </w:style>
  <w:style w:type="character" w:customStyle="1" w:styleId="Heading7Char">
    <w:name w:val="Heading 7 Char"/>
    <w:aliases w:val="DO NOT USE Char,DO NOT USE3 Char,DO NOT USE4 Char,DO NOT USE31 Char,DO NOT USE311 Char, DO NOT USE Char"/>
    <w:basedOn w:val="DefaultParagraphFont"/>
    <w:link w:val="Heading7"/>
    <w:uiPriority w:val="99"/>
    <w:semiHidden/>
    <w:rsid w:val="00454CBA"/>
    <w:rPr>
      <w:rFonts w:ascii="Arial" w:eastAsia="Times New Roman" w:hAnsi="Arial" w:cs="Times New Roman"/>
      <w:b/>
      <w:i/>
      <w:iCs/>
    </w:rPr>
  </w:style>
  <w:style w:type="character" w:customStyle="1" w:styleId="Heading8Char">
    <w:name w:val="Heading 8 Char"/>
    <w:aliases w:val="DO NOT USE2 Char,DO NOT USE21 Char,DO NOT USE211 Char"/>
    <w:basedOn w:val="DefaultParagraphFont"/>
    <w:link w:val="Heading8"/>
    <w:uiPriority w:val="99"/>
    <w:semiHidden/>
    <w:rsid w:val="00454CBA"/>
    <w:rPr>
      <w:rFonts w:ascii="Arial" w:eastAsia="Times New Roman" w:hAnsi="Arial" w:cs="Times New Roman"/>
      <w:b/>
      <w:i/>
      <w:iCs/>
    </w:rPr>
  </w:style>
  <w:style w:type="character" w:customStyle="1" w:styleId="Heading9Char">
    <w:name w:val="Heading 9 Char"/>
    <w:aliases w:val="DO NOT USE1 Char,DO NOT USE11 Char,DO NOT USE111 Char"/>
    <w:basedOn w:val="DefaultParagraphFont"/>
    <w:link w:val="Heading9"/>
    <w:uiPriority w:val="99"/>
    <w:semiHidden/>
    <w:rsid w:val="00454CBA"/>
    <w:rPr>
      <w:rFonts w:ascii="Arial" w:eastAsia="Times New Roman" w:hAnsi="Arial" w:cs="Times New Roman"/>
      <w:b/>
      <w:i/>
      <w:iCs/>
    </w:rPr>
  </w:style>
  <w:style w:type="paragraph" w:styleId="Caption">
    <w:name w:val="caption"/>
    <w:basedOn w:val="Normal"/>
    <w:next w:val="Normal"/>
    <w:uiPriority w:val="35"/>
    <w:semiHidden/>
    <w:qFormat/>
    <w:rsid w:val="00454CBA"/>
    <w:pPr>
      <w:spacing w:after="200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454CB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BA"/>
    <w:rPr>
      <w:rFonts w:ascii="Times New Roman" w:eastAsia="Times New Roman" w:hAnsi="Times New Roman" w:cs="Times New Roman"/>
      <w:i/>
      <w:iCs/>
      <w:color w:val="4F81BD" w:themeColor="accent1"/>
      <w:sz w:val="24"/>
      <w:lang w:val="ru-RU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54CBA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54CBA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454CBA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454CBA"/>
    <w:pPr>
      <w:spacing w:after="0" w:line="240" w:lineRule="auto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jc w:val="center"/>
    </w:pPr>
    <w:rPr>
      <w:rFonts w:ascii="Times New Roman" w:eastAsia="Times New Roman" w:hAnsi="Times New Roman"/>
      <w:b/>
      <w:color w:val="000000"/>
      <w:sz w:val="32"/>
    </w:rPr>
  </w:style>
  <w:style w:type="paragraph" w:customStyle="1" w:styleId="ReportBody">
    <w:name w:val="Report Body"/>
    <w:basedOn w:val="Paragraph"/>
    <w:rsid w:val="00454CBA"/>
  </w:style>
  <w:style w:type="paragraph" w:customStyle="1" w:styleId="C-s15-i00">
    <w:name w:val="$C-s1.5-i0.0"/>
    <w:uiPriority w:val="99"/>
    <w:qFormat/>
    <w:rsid w:val="00454CBA"/>
    <w:pPr>
      <w:spacing w:after="0" w:line="30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Header1">
    <w:name w:val="@Header1"/>
    <w:basedOn w:val="C-s15-i00"/>
    <w:next w:val="Normal"/>
    <w:uiPriority w:val="9"/>
    <w:qFormat/>
    <w:rsid w:val="00454CBA"/>
    <w:pPr>
      <w:keepNext/>
      <w:keepLines/>
      <w:pageBreakBefore/>
      <w:suppressLineNumbers/>
      <w:suppressAutoHyphens/>
      <w:outlineLvl w:val="0"/>
    </w:pPr>
    <w:rPr>
      <w:caps/>
      <w:sz w:val="32"/>
    </w:rPr>
  </w:style>
  <w:style w:type="paragraph" w:customStyle="1" w:styleId="Header10">
    <w:name w:val="!Header1"/>
    <w:basedOn w:val="Header1"/>
    <w:next w:val="Normal"/>
    <w:uiPriority w:val="99"/>
    <w:qFormat/>
    <w:rsid w:val="00454CBA"/>
    <w:pPr>
      <w:outlineLvl w:val="9"/>
    </w:pPr>
    <w:rPr>
      <w:lang w:val="ru-RU"/>
    </w:rPr>
  </w:style>
  <w:style w:type="paragraph" w:customStyle="1" w:styleId="L-s10-i05">
    <w:name w:val="$L-s1.0-i0.5"/>
    <w:uiPriority w:val="99"/>
    <w:qFormat/>
    <w:rsid w:val="00454CBA"/>
    <w:pPr>
      <w:keepLines/>
      <w:suppressLineNumbers/>
      <w:suppressAutoHyphens/>
      <w:spacing w:after="0" w:line="240" w:lineRule="auto"/>
      <w:ind w:firstLine="720"/>
    </w:pPr>
    <w:rPr>
      <w:rFonts w:ascii="Times New Roman" w:eastAsia="Times New Roman" w:hAnsi="Times New Roman"/>
      <w:sz w:val="24"/>
      <w:szCs w:val="24"/>
    </w:rPr>
  </w:style>
  <w:style w:type="paragraph" w:customStyle="1" w:styleId="Header2">
    <w:name w:val="@Header2"/>
    <w:basedOn w:val="L-s10-i05"/>
    <w:next w:val="Normal"/>
    <w:uiPriority w:val="9"/>
    <w:qFormat/>
    <w:rsid w:val="00454CBA"/>
    <w:pPr>
      <w:keepNext/>
      <w:spacing w:line="360" w:lineRule="auto"/>
      <w:outlineLvl w:val="1"/>
    </w:pPr>
    <w:rPr>
      <w:caps/>
      <w:sz w:val="28"/>
    </w:rPr>
  </w:style>
  <w:style w:type="paragraph" w:customStyle="1" w:styleId="Header20">
    <w:name w:val="!Header2"/>
    <w:basedOn w:val="Header2"/>
    <w:uiPriority w:val="99"/>
    <w:qFormat/>
    <w:rsid w:val="00454CBA"/>
    <w:pPr>
      <w:outlineLvl w:val="9"/>
    </w:pPr>
  </w:style>
  <w:style w:type="paragraph" w:customStyle="1" w:styleId="L-s15-i05">
    <w:name w:val="$L-s1.5-i0.5"/>
    <w:uiPriority w:val="99"/>
    <w:qFormat/>
    <w:rsid w:val="00454CBA"/>
    <w:pPr>
      <w:suppressLineNumbers/>
      <w:suppressAutoHyphens/>
      <w:spacing w:after="0" w:line="300" w:lineRule="auto"/>
      <w:ind w:firstLine="720"/>
    </w:pPr>
    <w:rPr>
      <w:rFonts w:ascii="Times New Roman" w:eastAsia="Times New Roman" w:hAnsi="Times New Roman"/>
      <w:sz w:val="24"/>
      <w:szCs w:val="24"/>
    </w:rPr>
  </w:style>
  <w:style w:type="paragraph" w:customStyle="1" w:styleId="Header3">
    <w:name w:val="@Header3"/>
    <w:basedOn w:val="L-s15-i05"/>
    <w:next w:val="Normal"/>
    <w:uiPriority w:val="9"/>
    <w:qFormat/>
    <w:rsid w:val="00454CBA"/>
    <w:pPr>
      <w:outlineLvl w:val="2"/>
    </w:pPr>
    <w:rPr>
      <w:sz w:val="28"/>
      <w:szCs w:val="28"/>
      <w:lang w:val="ru-RU"/>
    </w:rPr>
  </w:style>
  <w:style w:type="paragraph" w:customStyle="1" w:styleId="Header30">
    <w:name w:val="!Header3"/>
    <w:basedOn w:val="Header3"/>
    <w:uiPriority w:val="99"/>
    <w:qFormat/>
    <w:rsid w:val="00454CBA"/>
    <w:pPr>
      <w:outlineLvl w:val="9"/>
    </w:pPr>
  </w:style>
  <w:style w:type="character" w:customStyle="1" w:styleId="12N">
    <w:name w:val="#12N"/>
    <w:basedOn w:val="DefaultParagraphFont"/>
    <w:uiPriority w:val="99"/>
    <w:qFormat/>
    <w:rsid w:val="00454CBA"/>
    <w:rPr>
      <w:sz w:val="24"/>
    </w:rPr>
  </w:style>
  <w:style w:type="character" w:customStyle="1" w:styleId="10N">
    <w:name w:val="#10N"/>
    <w:basedOn w:val="12N"/>
    <w:uiPriority w:val="99"/>
    <w:rsid w:val="00454CBA"/>
    <w:rPr>
      <w:sz w:val="20"/>
    </w:rPr>
  </w:style>
  <w:style w:type="character" w:customStyle="1" w:styleId="10B">
    <w:name w:val="#10B"/>
    <w:basedOn w:val="10N"/>
    <w:uiPriority w:val="99"/>
    <w:qFormat/>
    <w:rsid w:val="00454CBA"/>
    <w:rPr>
      <w:b/>
      <w:sz w:val="20"/>
    </w:rPr>
  </w:style>
  <w:style w:type="character" w:customStyle="1" w:styleId="10I">
    <w:name w:val="#10I"/>
    <w:basedOn w:val="10N"/>
    <w:uiPriority w:val="99"/>
    <w:qFormat/>
    <w:rsid w:val="00454CBA"/>
    <w:rPr>
      <w:rFonts w:eastAsia="SimSun"/>
      <w:i/>
      <w:sz w:val="20"/>
      <w:szCs w:val="22"/>
    </w:rPr>
  </w:style>
  <w:style w:type="character" w:customStyle="1" w:styleId="12B">
    <w:name w:val="#12B"/>
    <w:basedOn w:val="12N"/>
    <w:uiPriority w:val="99"/>
    <w:qFormat/>
    <w:rsid w:val="00454CBA"/>
    <w:rPr>
      <w:b/>
      <w:sz w:val="24"/>
    </w:rPr>
  </w:style>
  <w:style w:type="character" w:customStyle="1" w:styleId="12I">
    <w:name w:val="#12I"/>
    <w:basedOn w:val="12N"/>
    <w:uiPriority w:val="99"/>
    <w:qFormat/>
    <w:rsid w:val="00454CBA"/>
    <w:rPr>
      <w:i/>
      <w:sz w:val="24"/>
    </w:rPr>
  </w:style>
  <w:style w:type="character" w:customStyle="1" w:styleId="12U">
    <w:name w:val="#12U"/>
    <w:basedOn w:val="12N"/>
    <w:uiPriority w:val="99"/>
    <w:qFormat/>
    <w:rsid w:val="00454CBA"/>
    <w:rPr>
      <w:sz w:val="24"/>
      <w:u w:val="single"/>
    </w:rPr>
  </w:style>
  <w:style w:type="character" w:customStyle="1" w:styleId="14N">
    <w:name w:val="#14N"/>
    <w:basedOn w:val="DefaultParagraphFont"/>
    <w:uiPriority w:val="99"/>
    <w:qFormat/>
    <w:rsid w:val="00454CBA"/>
    <w:rPr>
      <w:sz w:val="28"/>
    </w:rPr>
  </w:style>
  <w:style w:type="character" w:customStyle="1" w:styleId="16N">
    <w:name w:val="#16N"/>
    <w:basedOn w:val="DefaultParagraphFont"/>
    <w:uiPriority w:val="99"/>
    <w:qFormat/>
    <w:rsid w:val="00454CBA"/>
    <w:rPr>
      <w:b w:val="0"/>
      <w:i w:val="0"/>
      <w:sz w:val="32"/>
    </w:rPr>
  </w:style>
  <w:style w:type="paragraph" w:customStyle="1" w:styleId="Base">
    <w:name w:val="#Base"/>
    <w:link w:val="BaseChar"/>
    <w:uiPriority w:val="99"/>
    <w:qFormat/>
    <w:rsid w:val="00454CBA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aseChar">
    <w:name w:val="#Base Char"/>
    <w:basedOn w:val="DefaultParagraphFont"/>
    <w:link w:val="Base"/>
    <w:uiPriority w:val="99"/>
    <w:rsid w:val="00454CBA"/>
    <w:rPr>
      <w:rFonts w:ascii="Times New Roman" w:eastAsia="Times New Roman" w:hAnsi="Times New Roman"/>
      <w:sz w:val="24"/>
      <w:szCs w:val="24"/>
    </w:rPr>
  </w:style>
  <w:style w:type="paragraph" w:customStyle="1" w:styleId="C-s10-i00">
    <w:name w:val="$C-s1.0-i0.0"/>
    <w:uiPriority w:val="99"/>
    <w:qFormat/>
    <w:rsid w:val="00454CBA"/>
    <w:pPr>
      <w:keepLines/>
      <w:suppressLineNumbers/>
      <w:suppressAutoHyphens/>
      <w:spacing w:after="0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C-s10-i00-22">
    <w:name w:val="$C-s1.0-i0.0-2:2"/>
    <w:basedOn w:val="C-s10-i00"/>
    <w:uiPriority w:val="99"/>
    <w:qFormat/>
    <w:rsid w:val="00454CBA"/>
    <w:pPr>
      <w:spacing w:before="40" w:after="40"/>
    </w:pPr>
    <w:rPr>
      <w:lang w:val="ru-RU"/>
    </w:rPr>
  </w:style>
  <w:style w:type="paragraph" w:customStyle="1" w:styleId="C-s10-i00-33">
    <w:name w:val="$C-s1.0-i0.0-3:3"/>
    <w:basedOn w:val="C-s10-i00"/>
    <w:uiPriority w:val="99"/>
    <w:qFormat/>
    <w:rsid w:val="00454CBA"/>
    <w:pPr>
      <w:spacing w:before="60" w:after="60"/>
    </w:pPr>
    <w:rPr>
      <w:rFonts w:eastAsiaTheme="minorHAnsi"/>
      <w:lang w:val="ru-RU"/>
    </w:rPr>
  </w:style>
  <w:style w:type="paragraph" w:customStyle="1" w:styleId="L-s10-i00">
    <w:name w:val="$L-s1.0-i0.0"/>
    <w:link w:val="L-s10-i00Char"/>
    <w:uiPriority w:val="99"/>
    <w:qFormat/>
    <w:rsid w:val="00454CBA"/>
    <w:pPr>
      <w:keepLines/>
      <w:suppressLineNumbers/>
      <w:suppressAutoHyphens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L-s10-i00Char">
    <w:name w:val="$L-s1.0-i0.0 Char"/>
    <w:basedOn w:val="DefaultParagraphFont"/>
    <w:link w:val="L-s10-i00"/>
    <w:uiPriority w:val="99"/>
    <w:rsid w:val="00454CBA"/>
    <w:rPr>
      <w:rFonts w:ascii="Times New Roman" w:eastAsia="Times New Roman" w:hAnsi="Times New Roman"/>
      <w:sz w:val="24"/>
      <w:szCs w:val="24"/>
    </w:rPr>
  </w:style>
  <w:style w:type="paragraph" w:customStyle="1" w:styleId="L-s10-i00-22">
    <w:name w:val="$L-s1.0-i0.0-2:2"/>
    <w:basedOn w:val="L-s10-i00"/>
    <w:link w:val="L-s10-i00-22Char"/>
    <w:uiPriority w:val="99"/>
    <w:qFormat/>
    <w:rsid w:val="00454CBA"/>
    <w:pPr>
      <w:spacing w:before="40" w:after="40"/>
    </w:pPr>
    <w:rPr>
      <w:lang w:val="ru-RU"/>
    </w:rPr>
  </w:style>
  <w:style w:type="character" w:customStyle="1" w:styleId="L-s10-i00-22Char">
    <w:name w:val="$L-s1.0-i0.0-2:2 Char"/>
    <w:basedOn w:val="L-s10-i00Char"/>
    <w:link w:val="L-s10-i00-22"/>
    <w:uiPriority w:val="99"/>
    <w:rsid w:val="00454CBA"/>
    <w:rPr>
      <w:rFonts w:ascii="Times New Roman" w:eastAsia="Times New Roman" w:hAnsi="Times New Roman"/>
      <w:sz w:val="24"/>
      <w:szCs w:val="24"/>
      <w:lang w:val="ru-RU"/>
    </w:rPr>
  </w:style>
  <w:style w:type="paragraph" w:customStyle="1" w:styleId="L-s10-i00-33">
    <w:name w:val="$L-s1.0-i0.0-3:3"/>
    <w:basedOn w:val="L-s10-i00"/>
    <w:link w:val="L-s10-i00-33Char"/>
    <w:uiPriority w:val="99"/>
    <w:qFormat/>
    <w:rsid w:val="00454CBA"/>
    <w:pPr>
      <w:spacing w:before="60" w:after="60"/>
    </w:pPr>
    <w:rPr>
      <w:rFonts w:eastAsiaTheme="minorHAnsi"/>
      <w:lang w:val="ru-RU"/>
    </w:rPr>
  </w:style>
  <w:style w:type="character" w:customStyle="1" w:styleId="L-s10-i00-33Char">
    <w:name w:val="$L-s1.0-i0.0-3:3 Char"/>
    <w:basedOn w:val="L-s10-i00Char"/>
    <w:link w:val="L-s10-i00-33"/>
    <w:uiPriority w:val="99"/>
    <w:rsid w:val="00454CBA"/>
    <w:rPr>
      <w:rFonts w:ascii="Times New Roman" w:eastAsiaTheme="minorHAnsi" w:hAnsi="Times New Roman"/>
      <w:sz w:val="24"/>
      <w:szCs w:val="24"/>
      <w:lang w:val="ru-RU"/>
    </w:rPr>
  </w:style>
  <w:style w:type="paragraph" w:customStyle="1" w:styleId="L-s15-i00">
    <w:name w:val="$L-s1.5-i0.0"/>
    <w:basedOn w:val="Base"/>
    <w:uiPriority w:val="99"/>
    <w:qFormat/>
    <w:rsid w:val="00454CBA"/>
    <w:pPr>
      <w:spacing w:line="300" w:lineRule="auto"/>
    </w:pPr>
  </w:style>
  <w:style w:type="table" w:customStyle="1" w:styleId="TableCommon">
    <w:name w:val="$Table.Common"/>
    <w:basedOn w:val="TableNormal"/>
    <w:uiPriority w:val="99"/>
    <w:rsid w:val="00454CBA"/>
    <w:pPr>
      <w:spacing w:after="0" w:line="240" w:lineRule="auto"/>
      <w:jc w:val="center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EmployeesLabel">
    <w:name w:val="@Employees.Label"/>
    <w:basedOn w:val="Normal"/>
    <w:link w:val="EmployeesLabelChar"/>
    <w:uiPriority w:val="24"/>
    <w:rsid w:val="00454CBA"/>
    <w:pPr>
      <w:keepNext/>
      <w:keepLines/>
      <w:suppressLineNumbers/>
      <w:suppressAutoHyphens/>
      <w:spacing w:before="100" w:beforeAutospacing="1" w:after="100" w:afterAutospacing="1"/>
      <w:ind w:left="113" w:firstLine="0"/>
      <w:jc w:val="left"/>
    </w:pPr>
    <w:rPr>
      <w:rFonts w:eastAsiaTheme="minorHAnsi" w:cstheme="minorBidi"/>
      <w:szCs w:val="24"/>
    </w:rPr>
  </w:style>
  <w:style w:type="character" w:customStyle="1" w:styleId="EmployeesLabelChar">
    <w:name w:val="@Employees.Label Char"/>
    <w:basedOn w:val="L-s10-i00-22Char"/>
    <w:link w:val="EmployeesLabel"/>
    <w:uiPriority w:val="24"/>
    <w:rsid w:val="00454CBA"/>
    <w:rPr>
      <w:rFonts w:ascii="Times New Roman" w:eastAsiaTheme="minorHAnsi" w:hAnsi="Times New Roman"/>
      <w:sz w:val="24"/>
      <w:szCs w:val="24"/>
      <w:lang w:val="ru-RU"/>
    </w:rPr>
  </w:style>
  <w:style w:type="paragraph" w:customStyle="1" w:styleId="Foot-note">
    <w:name w:val="@Foot-note"/>
    <w:basedOn w:val="L-s10-i00"/>
    <w:uiPriority w:val="49"/>
    <w:qFormat/>
    <w:rsid w:val="00454CBA"/>
    <w:rPr>
      <w:sz w:val="20"/>
      <w:lang w:val="ru-RU"/>
    </w:rPr>
  </w:style>
  <w:style w:type="paragraph" w:customStyle="1" w:styleId="FrontpageCompany">
    <w:name w:val="@Frontpage.Company"/>
    <w:basedOn w:val="C-s10-i00"/>
    <w:uiPriority w:val="24"/>
    <w:qFormat/>
    <w:rsid w:val="00454CBA"/>
    <w:pPr>
      <w:keepNext/>
    </w:pPr>
    <w:rPr>
      <w:caps/>
      <w:lang w:val="ru-RU"/>
    </w:rPr>
  </w:style>
  <w:style w:type="paragraph" w:customStyle="1" w:styleId="FrontpageLabel">
    <w:name w:val="@Frontpage.Label"/>
    <w:basedOn w:val="L-s10-i00"/>
    <w:uiPriority w:val="24"/>
    <w:rsid w:val="00454CBA"/>
    <w:pPr>
      <w:keepNext/>
    </w:pPr>
  </w:style>
  <w:style w:type="paragraph" w:customStyle="1" w:styleId="FrontpageTitle">
    <w:name w:val="@Frontpage.Title"/>
    <w:basedOn w:val="C-s15-i00"/>
    <w:uiPriority w:val="24"/>
    <w:rsid w:val="00454CBA"/>
    <w:rPr>
      <w:caps/>
      <w:sz w:val="28"/>
    </w:rPr>
  </w:style>
  <w:style w:type="paragraph" w:customStyle="1" w:styleId="FrontpagesubTitle">
    <w:name w:val="@Frontpage.subTitle"/>
    <w:basedOn w:val="FrontpageTitle"/>
    <w:uiPriority w:val="24"/>
    <w:rsid w:val="00454CBA"/>
    <w:pPr>
      <w:keepNext/>
      <w:keepLines/>
      <w:suppressLineNumbers/>
      <w:suppressAutoHyphens/>
      <w:spacing w:before="100" w:beforeAutospacing="1" w:after="100" w:afterAutospacing="1"/>
    </w:pPr>
    <w:rPr>
      <w:caps w:val="0"/>
      <w:sz w:val="26"/>
    </w:rPr>
  </w:style>
  <w:style w:type="paragraph" w:customStyle="1" w:styleId="H2Numbering">
    <w:name w:val="@H2_Numbering"/>
    <w:basedOn w:val="Header2"/>
    <w:uiPriority w:val="10"/>
    <w:qFormat/>
    <w:rsid w:val="00454CBA"/>
    <w:pPr>
      <w:numPr>
        <w:numId w:val="16"/>
      </w:numPr>
    </w:pPr>
    <w:rPr>
      <w:rFonts w:eastAsiaTheme="minorHAnsi"/>
      <w:b/>
      <w:sz w:val="24"/>
    </w:rPr>
  </w:style>
  <w:style w:type="paragraph" w:customStyle="1" w:styleId="H3Numbering">
    <w:name w:val="@H3_Numbering"/>
    <w:basedOn w:val="Header3"/>
    <w:uiPriority w:val="10"/>
    <w:qFormat/>
    <w:rsid w:val="00454CBA"/>
    <w:pPr>
      <w:numPr>
        <w:ilvl w:val="1"/>
        <w:numId w:val="16"/>
      </w:numPr>
    </w:pPr>
    <w:rPr>
      <w:rFonts w:eastAsiaTheme="minorHAnsi"/>
      <w:b/>
      <w:sz w:val="24"/>
    </w:rPr>
  </w:style>
  <w:style w:type="paragraph" w:customStyle="1" w:styleId="H4Numbering">
    <w:name w:val="@H4_Numbering"/>
    <w:basedOn w:val="Normal"/>
    <w:uiPriority w:val="10"/>
    <w:qFormat/>
    <w:rsid w:val="00454CBA"/>
    <w:pPr>
      <w:keepNext/>
      <w:keepLines/>
      <w:numPr>
        <w:ilvl w:val="2"/>
        <w:numId w:val="16"/>
      </w:numPr>
      <w:suppressLineNumbers/>
      <w:suppressAutoHyphens/>
      <w:spacing w:after="0" w:line="300" w:lineRule="auto"/>
      <w:jc w:val="left"/>
      <w:outlineLvl w:val="3"/>
    </w:pPr>
    <w:rPr>
      <w:rFonts w:eastAsiaTheme="minorHAnsi" w:cstheme="minorBidi"/>
      <w:b/>
      <w:i/>
      <w:szCs w:val="28"/>
    </w:rPr>
  </w:style>
  <w:style w:type="paragraph" w:customStyle="1" w:styleId="H5Numbering">
    <w:name w:val="@H5_Numbering"/>
    <w:basedOn w:val="Normal"/>
    <w:uiPriority w:val="10"/>
    <w:qFormat/>
    <w:rsid w:val="00454CBA"/>
    <w:pPr>
      <w:keepNext/>
      <w:keepLines/>
      <w:numPr>
        <w:ilvl w:val="3"/>
        <w:numId w:val="16"/>
      </w:numPr>
      <w:suppressLineNumbers/>
      <w:suppressAutoHyphens/>
      <w:spacing w:before="40" w:after="40"/>
      <w:jc w:val="left"/>
      <w:outlineLvl w:val="4"/>
    </w:pPr>
    <w:rPr>
      <w:rFonts w:eastAsiaTheme="minorHAnsi" w:cstheme="minorBidi"/>
      <w:i/>
      <w:szCs w:val="28"/>
    </w:rPr>
  </w:style>
  <w:style w:type="paragraph" w:customStyle="1" w:styleId="Header4">
    <w:name w:val="@Header4"/>
    <w:basedOn w:val="Header3"/>
    <w:uiPriority w:val="9"/>
    <w:qFormat/>
    <w:rsid w:val="00454CBA"/>
    <w:pPr>
      <w:keepLines/>
      <w:outlineLvl w:val="3"/>
    </w:pPr>
    <w:rPr>
      <w:rFonts w:eastAsiaTheme="minorHAnsi"/>
      <w:b/>
      <w:i/>
      <w:sz w:val="24"/>
    </w:rPr>
  </w:style>
  <w:style w:type="paragraph" w:customStyle="1" w:styleId="Header5">
    <w:name w:val="@Header5"/>
    <w:basedOn w:val="Header4"/>
    <w:uiPriority w:val="9"/>
    <w:qFormat/>
    <w:rsid w:val="00454CBA"/>
    <w:pPr>
      <w:keepNext/>
      <w:spacing w:before="40" w:after="40" w:line="240" w:lineRule="auto"/>
      <w:outlineLvl w:val="4"/>
    </w:pPr>
    <w:rPr>
      <w:b w:val="0"/>
    </w:rPr>
  </w:style>
  <w:style w:type="paragraph" w:customStyle="1" w:styleId="Header6">
    <w:name w:val="@Header6"/>
    <w:basedOn w:val="Header5"/>
    <w:uiPriority w:val="9"/>
    <w:qFormat/>
    <w:rsid w:val="00454CBA"/>
    <w:rPr>
      <w:i w:val="0"/>
      <w:u w:val="single"/>
    </w:rPr>
  </w:style>
  <w:style w:type="paragraph" w:customStyle="1" w:styleId="Head-note">
    <w:name w:val="@Head-note"/>
    <w:basedOn w:val="Foot-note"/>
    <w:uiPriority w:val="99"/>
    <w:rsid w:val="00454CBA"/>
  </w:style>
  <w:style w:type="numbering" w:customStyle="1" w:styleId="ListBase">
    <w:name w:val="@List.Base"/>
    <w:basedOn w:val="NoList"/>
    <w:uiPriority w:val="99"/>
    <w:rsid w:val="00454CBA"/>
    <w:pPr>
      <w:numPr>
        <w:numId w:val="14"/>
      </w:numPr>
    </w:pPr>
  </w:style>
  <w:style w:type="numbering" w:customStyle="1" w:styleId="ListBullet0">
    <w:name w:val="@List.Bullet"/>
    <w:uiPriority w:val="99"/>
    <w:rsid w:val="00454CBA"/>
    <w:pPr>
      <w:numPr>
        <w:numId w:val="15"/>
      </w:numPr>
    </w:pPr>
  </w:style>
  <w:style w:type="numbering" w:customStyle="1" w:styleId="ListHeaders">
    <w:name w:val="@List.Headers"/>
    <w:uiPriority w:val="99"/>
    <w:rsid w:val="00454CBA"/>
    <w:pPr>
      <w:numPr>
        <w:numId w:val="16"/>
      </w:numPr>
    </w:pPr>
  </w:style>
  <w:style w:type="paragraph" w:customStyle="1" w:styleId="Paragraph">
    <w:name w:val="@Paragraph"/>
    <w:basedOn w:val="L-s15-i05"/>
    <w:link w:val="ParagraphChar"/>
    <w:qFormat/>
    <w:rsid w:val="00454CBA"/>
    <w:pPr>
      <w:keepLines/>
    </w:pPr>
  </w:style>
  <w:style w:type="character" w:customStyle="1" w:styleId="ParagraphChar">
    <w:name w:val="@Paragraph Char"/>
    <w:basedOn w:val="DefaultParagraphFont"/>
    <w:link w:val="Paragraph"/>
    <w:rsid w:val="00454CBA"/>
    <w:rPr>
      <w:rFonts w:ascii="Times New Roman" w:eastAsia="Times New Roman" w:hAnsi="Times New Roman"/>
      <w:sz w:val="24"/>
      <w:szCs w:val="24"/>
    </w:rPr>
  </w:style>
  <w:style w:type="paragraph" w:customStyle="1" w:styleId="Paragraphs10i00">
    <w:name w:val="@Paragraph s1.0_i0.0"/>
    <w:basedOn w:val="L-s10-i00"/>
    <w:qFormat/>
    <w:rsid w:val="00454CBA"/>
    <w:pPr>
      <w:spacing w:before="40" w:after="40"/>
    </w:pPr>
  </w:style>
  <w:style w:type="table" w:customStyle="1" w:styleId="TableBlank">
    <w:name w:val="@Table.Blank"/>
    <w:basedOn w:val="TableNormal"/>
    <w:uiPriority w:val="99"/>
    <w:rsid w:val="00454CBA"/>
    <w:pPr>
      <w:spacing w:after="0" w:line="240" w:lineRule="auto"/>
      <w:jc w:val="center"/>
    </w:pPr>
    <w:rPr>
      <w:rFonts w:ascii="Times New Roman" w:eastAsia="Times New Roman" w:hAnsi="Times New Roman"/>
      <w:sz w:val="24"/>
      <w:szCs w:val="24"/>
    </w:rPr>
    <w:tblPr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</w:style>
  <w:style w:type="table" w:customStyle="1" w:styleId="TableBorderC">
    <w:name w:val="@Table.Border C"/>
    <w:basedOn w:val="TableBlank"/>
    <w:rsid w:val="00454C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BorderB">
    <w:name w:val="@Table.Border B"/>
    <w:basedOn w:val="TableBorderC"/>
    <w:rsid w:val="00454CBA"/>
    <w:tblPr/>
    <w:tcPr>
      <w:vAlign w:val="bottom"/>
    </w:tcPr>
  </w:style>
  <w:style w:type="table" w:customStyle="1" w:styleId="TableBorderT">
    <w:name w:val="@Table.Border T"/>
    <w:basedOn w:val="TableBorderC"/>
    <w:rsid w:val="00454CBA"/>
    <w:tblPr/>
    <w:tcPr>
      <w:vAlign w:val="top"/>
    </w:tcPr>
  </w:style>
  <w:style w:type="paragraph" w:customStyle="1" w:styleId="TableText">
    <w:name w:val="@Table.Text"/>
    <w:basedOn w:val="C-s10-i00-22"/>
    <w:uiPriority w:val="19"/>
    <w:rsid w:val="00454CBA"/>
  </w:style>
  <w:style w:type="paragraph" w:customStyle="1" w:styleId="TableHeader-C">
    <w:name w:val="@Table.Header-C"/>
    <w:basedOn w:val="TableText"/>
    <w:next w:val="TableText"/>
    <w:uiPriority w:val="19"/>
    <w:rsid w:val="00454CBA"/>
    <w:pPr>
      <w:keepNext/>
      <w:spacing w:before="20" w:after="20"/>
    </w:pPr>
  </w:style>
  <w:style w:type="paragraph" w:customStyle="1" w:styleId="TableHeader-L">
    <w:name w:val="@Table.Header-L"/>
    <w:basedOn w:val="TableText"/>
    <w:next w:val="TableText"/>
    <w:uiPriority w:val="19"/>
    <w:rsid w:val="00454CBA"/>
    <w:pPr>
      <w:keepNext/>
      <w:spacing w:before="20" w:after="20"/>
      <w:ind w:left="113"/>
      <w:jc w:val="left"/>
    </w:pPr>
  </w:style>
  <w:style w:type="paragraph" w:customStyle="1" w:styleId="TableHeader-R">
    <w:name w:val="@Table.Header-R"/>
    <w:basedOn w:val="TableHeader-L"/>
    <w:uiPriority w:val="19"/>
    <w:rsid w:val="00454CBA"/>
    <w:pPr>
      <w:jc w:val="right"/>
    </w:pPr>
  </w:style>
  <w:style w:type="paragraph" w:customStyle="1" w:styleId="TitlePicture">
    <w:name w:val="@Title.Picture"/>
    <w:basedOn w:val="C-s15-i00"/>
    <w:uiPriority w:val="9"/>
    <w:qFormat/>
    <w:rsid w:val="00454CBA"/>
    <w:pPr>
      <w:keepLines/>
      <w:suppressLineNumbers/>
      <w:suppressAutoHyphens/>
    </w:pPr>
  </w:style>
  <w:style w:type="paragraph" w:customStyle="1" w:styleId="TitleTable">
    <w:name w:val="@Title.Table"/>
    <w:basedOn w:val="L-s15-i00"/>
    <w:uiPriority w:val="9"/>
    <w:qFormat/>
    <w:rsid w:val="00454CBA"/>
    <w:pPr>
      <w:keepNext/>
      <w:keepLines/>
      <w:suppressLineNumbers/>
      <w:suppressAutoHyphen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4CB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CBA"/>
    <w:rPr>
      <w:rFonts w:ascii="Segoe UI" w:eastAsia="Times New Roman" w:hAnsi="Segoe UI" w:cs="Segoe UI"/>
      <w:sz w:val="18"/>
      <w:szCs w:val="18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454C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4C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4CBA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C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4CBA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54CBA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54CBA"/>
    <w:rPr>
      <w:rFonts w:ascii="Segoe UI" w:eastAsia="Times New Roman" w:hAnsi="Segoe UI" w:cs="Segoe UI"/>
      <w:sz w:val="16"/>
      <w:szCs w:val="16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454CBA"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semiHidden/>
    <w:rsid w:val="00454CBA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rsid w:val="00454CBA"/>
    <w:rPr>
      <w:rFonts w:ascii="Times New Roman" w:eastAsia="Times New Roman" w:hAnsi="Times New Roman" w:cs="Times New Roman"/>
      <w:sz w:val="24"/>
      <w:szCs w:val="24"/>
    </w:rPr>
  </w:style>
  <w:style w:type="numbering" w:customStyle="1" w:styleId="StyleListBulletOutlinenumbered12ptLeft0mm">
    <w:name w:val="Style @List.Bullet + Outline numbered 12 pt Left:  0 mm"/>
    <w:basedOn w:val="NoList"/>
    <w:rsid w:val="00454CBA"/>
    <w:pPr>
      <w:numPr>
        <w:numId w:val="25"/>
      </w:numPr>
    </w:pPr>
  </w:style>
  <w:style w:type="paragraph" w:styleId="TableofAuthorities">
    <w:name w:val="table of authorities"/>
    <w:basedOn w:val="Normal"/>
    <w:next w:val="Normal"/>
    <w:link w:val="TableofAuthoritiesChar"/>
    <w:uiPriority w:val="99"/>
    <w:semiHidden/>
    <w:unhideWhenUsed/>
    <w:rsid w:val="00454CBA"/>
    <w:pPr>
      <w:spacing w:after="0"/>
      <w:ind w:left="240" w:hanging="240"/>
    </w:pPr>
  </w:style>
  <w:style w:type="character" w:customStyle="1" w:styleId="TableofAuthoritiesChar">
    <w:name w:val="Table of Authorities Char"/>
    <w:basedOn w:val="DefaultParagraphFont"/>
    <w:link w:val="TableofAuthorities"/>
    <w:uiPriority w:val="99"/>
    <w:semiHidden/>
    <w:rsid w:val="00454CBA"/>
    <w:rPr>
      <w:rFonts w:ascii="Times New Roman" w:eastAsia="Times New Roman" w:hAnsi="Times New Roman" w:cs="Times New Roman"/>
      <w:sz w:val="24"/>
      <w:lang w:val="ru-RU"/>
    </w:rPr>
  </w:style>
  <w:style w:type="paragraph" w:styleId="TableofFigures">
    <w:name w:val="table of figures"/>
    <w:aliases w:val="@Table of Figures"/>
    <w:basedOn w:val="TableofAuthorities"/>
    <w:next w:val="Normal"/>
    <w:link w:val="TableofFiguresChar"/>
    <w:uiPriority w:val="99"/>
    <w:semiHidden/>
    <w:rsid w:val="00454CBA"/>
    <w:pPr>
      <w:ind w:left="1701" w:hanging="1701"/>
    </w:pPr>
  </w:style>
  <w:style w:type="character" w:customStyle="1" w:styleId="TableofFiguresChar">
    <w:name w:val="Table of Figures Char"/>
    <w:aliases w:val="@Table of Figures Char"/>
    <w:basedOn w:val="TableofAuthoritiesChar"/>
    <w:link w:val="TableofFigures"/>
    <w:uiPriority w:val="99"/>
    <w:semiHidden/>
    <w:rsid w:val="00454CBA"/>
    <w:rPr>
      <w:rFonts w:ascii="Times New Roman" w:eastAsia="Times New Roman" w:hAnsi="Times New Roman" w:cs="Times New Roman"/>
      <w:sz w:val="24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454C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454CBA"/>
    <w:pPr>
      <w:tabs>
        <w:tab w:val="left" w:pos="1100"/>
        <w:tab w:val="right" w:leader="dot" w:pos="9628"/>
      </w:tabs>
      <w:spacing w:before="200" w:after="80"/>
      <w:ind w:left="352" w:firstLine="352"/>
      <w:jc w:val="left"/>
    </w:pPr>
    <w:rPr>
      <w:caps/>
    </w:rPr>
  </w:style>
  <w:style w:type="paragraph" w:styleId="TOC3">
    <w:name w:val="toc 3"/>
    <w:basedOn w:val="Header30"/>
    <w:next w:val="Normal"/>
    <w:autoRedefine/>
    <w:uiPriority w:val="39"/>
    <w:unhideWhenUsed/>
    <w:qFormat/>
    <w:rsid w:val="00454CBA"/>
    <w:pPr>
      <w:tabs>
        <w:tab w:val="left" w:pos="1400"/>
        <w:tab w:val="right" w:leader="dot" w:pos="9628"/>
      </w:tabs>
      <w:spacing w:before="60" w:after="20"/>
      <w:ind w:left="352" w:firstLine="352"/>
      <w:contextualSpacing/>
    </w:pPr>
    <w:rPr>
      <w:rFonts w:eastAsiaTheme="minorHAnsi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454CBA"/>
    <w:pPr>
      <w:tabs>
        <w:tab w:val="left" w:pos="1819"/>
        <w:tab w:val="right" w:leader="dot" w:pos="9628"/>
      </w:tabs>
      <w:spacing w:before="20" w:after="20"/>
      <w:ind w:left="1400" w:hanging="68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454CBA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454CBA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454CBA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454CBA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454CBA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clinicaltrials.gov/study/NCT0644551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ivoryon.com/vivoryon-therapeutics-n-v-reports-full-year-2025-financial-results-and-provides-business-update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ivoryon.com/vivoryon-therapeutics-n-v-presents-phase-2-kidney-function-and-biomarker-data-at-the-american-society-of-nephrology-kidney-week-2025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ibpr.nhri.edu.tw/en/index.php/2022/09/27/isoq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3C47A8-DC09-42CC-BB2E-920085259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5580</Words>
  <Characters>31806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ингибиторов QPCT/QPCTL для терапии онкологических, воспалительных и фибротических заболеваний</dc:title>
  <dc:subject>Консолидированный научно-аналитический отчёт</dc:subject>
  <dc:creator>OpenAI</dc:creator>
  <cp:keywords>QPCT, QPCTL, CD47, SIRPα, онкология, воспаление, фиброз</cp:keywords>
  <dc:description>Подготовлено по приложенным материалам; дата среза данных 07.08.2026.</dc:description>
  <cp:lastModifiedBy>Fedor</cp:lastModifiedBy>
  <cp:revision>4</cp:revision>
  <dcterms:created xsi:type="dcterms:W3CDTF">2013-12-23T23:15:00Z</dcterms:created>
  <dcterms:modified xsi:type="dcterms:W3CDTF">2026-08-10T06:42:00Z</dcterms:modified>
  <cp:category/>
</cp:coreProperties>
</file>