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 w:after="320"/>
        <w:jc w:val="center"/>
      </w:pPr>
      <w:r>
        <w:rPr>
          <w:rFonts w:ascii="Times New Roman" w:hAnsi="Times New Roman" w:eastAsia="Times New Roman"/>
          <w:b/>
          <w:sz w:val="36"/>
        </w:rPr>
        <w:t>РАЗРАБОТКА ИНГИБИТОРОВ QPCT/QPCTL ДЛЯ ТЕРАПИИ ОНКОЛОГИЧЕСКИХ, ВОСПАЛИТЕЛЬНЫХ И ФИБРОТИЧЕСКИХ ЗАБОЛЕВАНИЙ</w:t>
      </w:r>
    </w:p>
    <w:p>
      <w:pPr>
        <w:spacing w:after="48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КОНСОЛИДИРОВАННЫЙ НАУЧНО-АНАЛИТИЧЕСКИЙ ОТЧЕТ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110" w:type="dxa"/>
              <w:start w:w="85" w:type="dxa"/>
              <w:bottom w:w="110" w:type="dxa"/>
              <w:end w:w="85" w:type="dxa"/>
            </w:tcMar>
            <w:vAlign w:val="center"/>
            <w:shd w:fill="D9E1F2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Версия</w:t>
            </w:r>
          </w:p>
        </w:tc>
        <w:tc>
          <w:tcPr>
            <w:tcW w:type="dxa" w:w="4677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110" w:type="dxa"/>
              <w:start w:w="85" w:type="dxa"/>
              <w:bottom w:w="110" w:type="dxa"/>
              <w:end w:w="85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2.0</w:t>
            </w:r>
          </w:p>
        </w:tc>
      </w:tr>
      <w:tr>
        <w:tc>
          <w:tcPr>
            <w:tcW w:type="dxa" w:w="4677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110" w:type="dxa"/>
              <w:start w:w="85" w:type="dxa"/>
              <w:bottom w:w="110" w:type="dxa"/>
              <w:end w:w="85" w:type="dxa"/>
            </w:tcMar>
            <w:vAlign w:val="center"/>
            <w:shd w:fill="D9E1F2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Дата среза данных</w:t>
            </w:r>
          </w:p>
        </w:tc>
        <w:tc>
          <w:tcPr>
            <w:tcW w:type="dxa" w:w="4677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110" w:type="dxa"/>
              <w:start w:w="85" w:type="dxa"/>
              <w:bottom w:w="110" w:type="dxa"/>
              <w:end w:w="85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10.08.2026</w:t>
            </w:r>
          </w:p>
        </w:tc>
      </w:tr>
      <w:tr>
        <w:tc>
          <w:tcPr>
            <w:tcW w:type="dxa" w:w="4677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110" w:type="dxa"/>
              <w:start w:w="85" w:type="dxa"/>
              <w:bottom w:w="110" w:type="dxa"/>
              <w:end w:w="85" w:type="dxa"/>
            </w:tcMar>
            <w:vAlign w:val="center"/>
            <w:shd w:fill="D9E1F2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Область</w:t>
            </w:r>
          </w:p>
        </w:tc>
        <w:tc>
          <w:tcPr>
            <w:tcW w:type="dxa" w:w="4677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110" w:type="dxa"/>
              <w:start w:w="85" w:type="dxa"/>
              <w:bottom w:w="110" w:type="dxa"/>
              <w:end w:w="85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онкология; воспаление; фиброз</w:t>
            </w:r>
          </w:p>
        </w:tc>
      </w:tr>
      <w:tr>
        <w:tc>
          <w:tcPr>
            <w:tcW w:type="dxa" w:w="4677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110" w:type="dxa"/>
              <w:start w:w="85" w:type="dxa"/>
              <w:bottom w:w="110" w:type="dxa"/>
              <w:end w:w="85" w:type="dxa"/>
            </w:tcMar>
            <w:vAlign w:val="center"/>
            <w:shd w:fill="D9E1F2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Внутренний актив</w:t>
            </w:r>
          </w:p>
        </w:tc>
        <w:tc>
          <w:tcPr>
            <w:tcW w:type="dxa" w:w="4677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110" w:type="dxa"/>
              <w:start w:w="85" w:type="dxa"/>
              <w:bottom w:w="110" w:type="dxa"/>
              <w:end w:w="85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XC7/XC7DCH</w:t>
            </w:r>
          </w:p>
        </w:tc>
      </w:tr>
      <w:tr>
        <w:tc>
          <w:tcPr>
            <w:tcW w:type="dxa" w:w="4677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110" w:type="dxa"/>
              <w:start w:w="85" w:type="dxa"/>
              <w:bottom w:w="110" w:type="dxa"/>
              <w:end w:w="85" w:type="dxa"/>
            </w:tcMar>
            <w:vAlign w:val="center"/>
            <w:shd w:fill="D9E1F2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Статус</w:t>
            </w:r>
          </w:p>
        </w:tc>
        <w:tc>
          <w:tcPr>
            <w:tcW w:type="dxa" w:w="4677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110" w:type="dxa"/>
              <w:start w:w="85" w:type="dxa"/>
              <w:bottom w:w="110" w:type="dxa"/>
              <w:end w:w="85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target validation / early lead assessment</w:t>
            </w:r>
          </w:p>
        </w:tc>
      </w:tr>
      <w:tr>
        <w:tc>
          <w:tcPr>
            <w:tcW w:type="dxa" w:w="4677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110" w:type="dxa"/>
              <w:start w:w="85" w:type="dxa"/>
              <w:bottom w:w="110" w:type="dxa"/>
              <w:end w:w="85" w:type="dxa"/>
            </w:tcMar>
            <w:vAlign w:val="center"/>
            <w:shd w:fill="D9E1F2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Основной вывод</w:t>
            </w:r>
          </w:p>
        </w:tc>
        <w:tc>
          <w:tcPr>
            <w:tcW w:type="dxa" w:w="4677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110" w:type="dxa"/>
              <w:start w:w="85" w:type="dxa"/>
              <w:bottom w:w="110" w:type="dxa"/>
              <w:end w:w="85" w:type="dxa"/>
            </w:tcMar>
            <w:vAlign w:val="center"/>
          </w:tcPr>
          <w:p>
            <w:pPr>
              <w:spacing w:after="0"/>
              <w:ind w:firstLine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development candidate не номинирован; требуется воспроизводимый enzyme-cell-free PK/PD мост</w:t>
            </w:r>
          </w:p>
        </w:tc>
      </w:tr>
    </w:tbl>
    <w:p>
      <w:pPr>
        <w:spacing w:before="900"/>
        <w:ind w:firstLine="0"/>
        <w:jc w:val="center"/>
      </w:pPr>
      <w:r>
        <w:rPr>
          <w:rFonts w:ascii="Times New Roman" w:hAnsi="Times New Roman" w:eastAsia="Times New Roman"/>
          <w:b w:val="0"/>
          <w:i/>
          <w:sz w:val="20"/>
        </w:rPr>
        <w:t>Подготовлено по приложенным материалам и верифицированным публичным источникам</w:t>
      </w:r>
    </w:p>
    <w:p>
      <w:r>
        <w:br w:type="page"/>
      </w:r>
    </w:p>
    <w:p>
      <w:pPr>
        <w:pStyle w:val="Heading1"/>
        <w:ind w:firstLine="0"/>
        <w:keepNext/>
      </w:pPr>
      <w:r>
        <w:t>СОДЕРЖАНИЕ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1. Цель, область применения и вопросы отчета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2. Исполнительное резюме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3. Термины и рабочие определения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4. Методология и управление доказательствами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5. Биология QPCT и QPCTL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6. Причинные цепочки и альтернативные объяснения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7. Ландшафт ингибиторов и критерии сравнения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8. Стандартизация assay cascade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9. Профили ключевых соединений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10. Онкологические заболевания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11. Воспалительные заболевания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12. Фибротические заболевания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13. DMPK, PK и тканевая экспозиция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14. Безопасность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15. Клинический и конкурентный ландшафт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16. Интегрированная приоритизация и план принятия решений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17. Итоговые выводы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18. Приложения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Литература и источники</w:t>
      </w:r>
    </w:p>
    <w:p>
      <w:pPr>
        <w:pStyle w:val="Heading1"/>
        <w:ind w:firstLine="0"/>
        <w:keepNext/>
      </w:pPr>
      <w:r>
        <w:t>РЕЗЮМЕ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Ключевой подтвержденный механизм семейства мишеней - каталитическое образование N-концевого пироглутамата (pE) на субстратах глутаминил-пептидциклотрансферазы QPCT и ее внутриклеточной изоформы QPCTL. Для онкологии наиболее убедительна цепочка QPCTL → pE-CD47 → связывание SIRPα → подавление фагоцитоза. Генетические и клеточные фармакологические данные подтверждают ее причинность, однако терапевтическая эффективность малых молекул in vivo остается предварительной, а клиническая эффективность не установлена [1-4].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QP5038 - сильный клеточный инструмент и ранний lead: QPCTL IC₅₀ 3,8 ± 0,7 нМ, QPCT IC₅₀ 4,0 ± 0,8 нМ, pE-CD47 IC₅₀ 3,3 ± 0,5 нМ. Это не QPCTL-селективная молекула. Ее функциональный опыт выполнен при 10 мкМ, примерно в 3000 раз выше клеточного IC₅₀, а публичный PK/PD-мост отсутствует [7]. ISM8207 - единственный идентифицированный клинический кандидат QPCTL-направленного класса, исследуемый в фазе I NCT06445517. Заявлена QPCTL IC₅₀ &lt;0,5 нМ, но не раскрыты активность против QPCT, структура, численные DMPK/PK, человеческий PD и клинические результаты; текущая запись реестра не позволяет считать программу клинически валидированной [8, 9].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Для воспалительных и почечно-фибротических заболеваний имеются биологически правдоподобные пути через CCL2, CCL7, CX3CL1 и другие субстраты. Наиболее зрелый человеческий опыт относится к двойному ингибитору varoglutamstat/PQ912, но проведен в болезни Альцгеймера. Почечный сигнал eGFR является вторичным анализом исследований другой популяции, преимущественно сообщен разработчиком, и требует специализированного рандомизированного исследования при диабетической болезни почек [14-16]. По состоянию на 10.08.2026 специализированное исследование DKD стадии 3b/4 еще не начато и зависит от дополнительного финансирования или партнерства [16]. Фиброзные выводы пока основаны главным образом на доклинических и корпоративных материалах.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Внутренний пакет XC7/ХС7 после включения сводного документа [S17] содержит предварительные численные результаты: QPCT IC50 1,8 мкМ, QPCTL IC50 около 2,9 мкМ, SPR KD QPCT около 1,46 мкМ, клеточный pE-CD47 IC50 13,8 ± 5,9 мкМ и THP-1 chemotaxis IC50 18,58 ± 5,57 мкМ. Это переводит XC7 из чисто фенотипического актива в предварительный двойной early lead/tool, но первичные raw reports для этих измерений не приложены, свободный PK/PD и in vivo substrate TE отсутствуют. Критические противоречия сохраняются: моделирование использует иные IC50 (5/30 мкМ), быстрый pain phenotype не согласуется с turnover pE-CD47, а H1/H3/H4 PathHunter-сигналы не подтверждены ортогональными анализами [S01-S05, S17].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Рекомендуемая стратегия - не выбирать одно показание на основании общей биологии. Сначала нужен воспроизводимый кандидат с количественным мостом биохимия → клеточный pE-маркер → функция → свободная тканевая экспозиция → эффект. Для онкологии минимальный пакет включает QPCTL/QPCT-селективность, pE-CD47 и total/surface CD47, фагоцитоз с концентрационной зависимостью, опухолевой PK/PD и генетическую эпистатику. Для воспаления и фиброза нужны субстрат-специфические маркеры и разделение QPCT/QPCTL. Без этого приоритизация клинического показания преждевременна.</w:t>
      </w:r>
    </w:p>
    <w:p>
      <w:pPr>
        <w:pStyle w:val="Heading1"/>
        <w:ind w:firstLine="0"/>
        <w:keepNext/>
      </w:pPr>
      <w:r>
        <w:t>1. ЦЕЛЬ, ОБЛАСТЬ ПРИМЕНЕНИЯ И ВОПРОСЫ ОТЧЕТА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Цель отчета - оценить научную валидность, фармакологическую реализуемость и трансляционную готовность ингибирования QPCT/QPCTL для онкологических, воспалительных и фибротических заболеваний; сопоставить публичные кандидаты с внутренним пакетом XC7/ХС7; определить минимальный набор экспериментов для принятия решений о lead optimization и выборе показания.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Рассмотрены следующие вопросы: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Как распределены функции QPCT и QPCTL, какие субстраты имеют причинную связь с заболеванием?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Насколько доказана цепочка QPCTL-pE-CD47-SIRPα и можно ли отделить ее от хемокиновых эффектов?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Какие малые молекулы имеют подтвержденную биохимическую, клеточную, in vivo и клиническую активность?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Какие данные позволяют сопоставить potency с экспозицией и тканевым PD?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Что показывает внутренний пакет XC7/ХС7 и каких данных в нем нет?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Какие показания и комбинации заслуживают приоритетной проверки?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Временная граница поиска - 10.08.2026. Отчет охватывает рецензируемые статьи, реестры клинических исследований, патентные и корпоративные материалы, четыре ранее подготовленных тематических обзора и 15 доступных внутренних отчетов. Все 16 первичных внутренних фармакологических отчетов, включая опыт уксусных корчей №23, были доступны. Дополнительно рассмотрен сводный документ по хроническому болевому синдрому [S17]. Корпоративные сообщения и вторичные внутренние компиляции используются только при отсутствии первичного источника и получают пониженную уверенность.</w:t>
      </w:r>
    </w:p>
    <w:p>
      <w:pPr>
        <w:pStyle w:val="Heading1"/>
        <w:ind w:firstLine="0"/>
        <w:keepNext/>
      </w:pPr>
      <w:r>
        <w:t>2. ИСПОЛНИТЕЛЬНОЕ РЕЗЮМЕ</w:t>
      </w:r>
    </w:p>
    <w:p>
      <w:pPr>
        <w:pStyle w:val="Heading2"/>
        <w:ind w:firstLine="0"/>
        <w:keepNext/>
      </w:pPr>
      <w:r>
        <w:t>2.1. Главные выводы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Мишень биологически валидна, но неоднородна. QPCTL причинно модифицирует CD47 и ряд хемокинов. Поэтому эффект полного knockout или неселективного ингибитора нельзя автоматически назвать CD47-специфическим [1, 3, 5].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Онкологическая причинность сильнее терапевтической доказательности. Наиболее воспроизводимы loss-of-function и клеточные SIRPα/фагоцитозные данные. Для малых молекул недостаточно опубликованных моделей с сопоставлением свободной опухолевой экспозиции и pE-CD47 [1-4, 7].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Клиническая проверка QPCTL еще не состоялась. ISM8207 находится в ранней фазе I; человеческие безопасность, PK/PD, рекомендуемая доза второй фазы (RP2D) и эффективность не опубликованы [8, 9].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QP5038 не является QPCTL-селективным. Сопоставимые IC₅₀ против QPCTL и QPCT исключают корректность такого позиционирования. Потенциальные ограничения - высокая прогнозируемая печеночная экстракция и выраженная индукция CYP3A4 в 10 мкМ [7].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Почечное направление заслуживает проверки, но не подтверждено. Повторяемость направления eGFR-сигнала в двух AD-исследованиях повышает правдоподобие, однако population mismatch, вторичный характер анализа, малые подгруппы и источник данных ограничивают выводы [14-16].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Фиброз - гипотеза с ранней доклинической поддержкой. Данные об уменьшении гломерулосклероза и предполагаемой роли QPCT/L в созревании коллагена интересны, но пока не образуют клинически подтвержденной причинной цепочки [16].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Внутренний XC7/ХС7-пакет содержит предварительный enzyme-cell мост, но пока не является полноценно target-based. Микромолярные QPCT/QPCTL, pE-CD47 и chemotaxis результаты доступны через вторичную компиляцию, тогда как первичные raw reports, свободный PK/PD и in vivo substrate TE отсутствуют. Быстрое начало отдельных эффектов и несогласованность GPCR-скринингов требуют механистического пересмотра [S01-S17].</w:t>
      </w:r>
    </w:p>
    <w:p>
      <w:pPr>
        <w:pStyle w:val="Heading2"/>
        <w:ind w:firstLine="0"/>
        <w:keepNext/>
      </w:pPr>
      <w:r>
        <w:t>2.2. Решение по текущей стадии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По совокупности данных программа находится на стадии target validation / early lead assessment, а не candidate nomination. До выбора development candidate необходимо закрыть пять gates: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химическая идентичность и единая система учета форм соединения;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matched human/mouse/rat QPCT и QPCTL enzymology;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клеточный субстратный PD для предполагаемого показания;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свободная плазменная и тканевая экспозиция выше cellular EC₉₀ на заданный интервал;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генетическое или фармакологическое доказательство причинности терапевтического эффекта.</w:t>
      </w:r>
    </w:p>
    <w:p>
      <w:pPr>
        <w:pStyle w:val="Heading2"/>
        <w:ind w:firstLine="0"/>
        <w:keepNext/>
      </w:pPr>
      <w:r>
        <w:t>2.3. Консолидированная оценка программы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  <w:cantSplit w:val="true"/>
        </w:trPr>
        <w:tc>
          <w:tcPr>
            <w:tcW w:type="dxa" w:w="1871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Направление</w:t>
            </w:r>
          </w:p>
        </w:tc>
        <w:tc>
          <w:tcPr>
            <w:tcW w:type="dxa" w:w="1871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Биологическая причинность</w:t>
            </w:r>
          </w:p>
        </w:tc>
        <w:tc>
          <w:tcPr>
            <w:tcW w:type="dxa" w:w="1871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Малые молекулы in vivo</w:t>
            </w:r>
          </w:p>
        </w:tc>
        <w:tc>
          <w:tcPr>
            <w:tcW w:type="dxa" w:w="1871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Клиническая проверка</w:t>
            </w:r>
          </w:p>
        </w:tc>
        <w:tc>
          <w:tcPr>
            <w:tcW w:type="dxa" w:w="1871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Вывод на дату среза</w:t>
            </w:r>
          </w:p>
        </w:tc>
      </w:tr>
      <w:tr>
        <w:trPr>
          <w:cantSplit w:val="true"/>
        </w:trPr>
        <w:tc>
          <w:tcPr>
            <w:tcW w:type="dxa" w:w="1871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Онкология: QPCTL-pE-CD47-SIRPalpha</w:t>
            </w:r>
          </w:p>
        </w:tc>
        <w:tc>
          <w:tcPr>
            <w:tcW w:type="dxa" w:w="1871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высокая на генетическом и клеточном уровнях</w:t>
            </w:r>
          </w:p>
        </w:tc>
        <w:tc>
          <w:tcPr>
            <w:tcW w:type="dxa" w:w="1871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умеренная, но без полного свободного tumor PK/PD и эпистатики</w:t>
            </w:r>
          </w:p>
        </w:tc>
        <w:tc>
          <w:tcPr>
            <w:tcW w:type="dxa" w:w="1871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ISM8207 - фаза I без публичных результатов</w:t>
            </w:r>
          </w:p>
        </w:tc>
        <w:tc>
          <w:tcPr>
            <w:tcW w:type="dxa" w:w="1871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приоритет для механистической валидации, не для заявления клинической эффективности</w:t>
            </w:r>
          </w:p>
        </w:tc>
      </w:tr>
      <w:tr>
        <w:trPr>
          <w:cantSplit w:val="true"/>
        </w:trPr>
        <w:tc>
          <w:tcPr>
            <w:tcW w:type="dxa" w:w="1871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Воспаление: pE-CCL2/CCL7/CX3CL1</w:t>
            </w:r>
          </w:p>
        </w:tc>
        <w:tc>
          <w:tcPr>
            <w:tcW w:type="dxa" w:w="1871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умеренная; зависит от субстрата и компартмента</w:t>
            </w:r>
          </w:p>
        </w:tc>
        <w:tc>
          <w:tcPr>
            <w:tcW w:type="dxa" w:w="1871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ранняя/неоднородная</w:t>
            </w:r>
          </w:p>
        </w:tc>
        <w:tc>
          <w:tcPr>
            <w:tcW w:type="dxa" w:w="1871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профильные исследования эффективности отсутствуют; XC8 при астме не достиг первичной конечной точки</w:t>
            </w:r>
          </w:p>
        </w:tc>
        <w:tc>
          <w:tcPr>
            <w:tcW w:type="dxa" w:w="1871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приоритет - почечное воспаление с субстратным PD</w:t>
            </w:r>
          </w:p>
        </w:tc>
      </w:tr>
      <w:tr>
        <w:trPr>
          <w:cantSplit w:val="true"/>
        </w:trPr>
        <w:tc>
          <w:tcPr>
            <w:tcW w:type="dxa" w:w="1871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Фиброз</w:t>
            </w:r>
          </w:p>
        </w:tc>
        <w:tc>
          <w:tcPr>
            <w:tcW w:type="dxa" w:w="1871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низкая-умеренная; прямые субстраты матрикса не установлены</w:t>
            </w:r>
          </w:p>
        </w:tc>
        <w:tc>
          <w:tcPr>
            <w:tcW w:type="dxa" w:w="1871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предварительная доклиника</w:t>
            </w:r>
          </w:p>
        </w:tc>
        <w:tc>
          <w:tcPr>
            <w:tcW w:type="dxa" w:w="1871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специализированной подтвержденной клиники нет</w:t>
            </w:r>
          </w:p>
        </w:tc>
        <w:tc>
          <w:tcPr>
            <w:tcW w:type="dxa" w:w="1871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исследовательская гипотеза; наиболее рациональна почечная модель</w:t>
            </w:r>
          </w:p>
        </w:tc>
      </w:tr>
      <w:tr>
        <w:trPr>
          <w:cantSplit w:val="true"/>
        </w:trPr>
        <w:tc>
          <w:tcPr>
            <w:tcW w:type="dxa" w:w="1871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Внутренний XC7</w:t>
            </w:r>
          </w:p>
        </w:tc>
        <w:tc>
          <w:tcPr>
            <w:tcW w:type="dxa" w:w="1871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заявлены микромолярные QPCT/QPCTL, pE-CD47 и chemotaxis результаты</w:t>
            </w:r>
          </w:p>
        </w:tc>
        <w:tc>
          <w:tcPr>
            <w:tcW w:type="dxa" w:w="1871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фенотипы боли, отека и цистита воспроизводятся не во всех режимах</w:t>
            </w:r>
          </w:p>
        </w:tc>
        <w:tc>
          <w:tcPr>
            <w:tcW w:type="dxa" w:w="1871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отсутствует</w:t>
            </w:r>
          </w:p>
        </w:tc>
        <w:tc>
          <w:tcPr>
            <w:tcW w:type="dxa" w:w="1871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early lead/tool; требуется независимая пересборка enzyme-cell-PK/PD цепочки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Итоговое решение: программа соответствует стадии target validation / early lead assessment. Номинация development candidate и выбор клинического показания преждевременны до воспроизводимого подтверждения химической идентичности, matched QPCT/QPCTL potency, proximal substrate PD и свободной тканевой экспозиции.</w:t>
      </w:r>
    </w:p>
    <w:p>
      <w:pPr>
        <w:pStyle w:val="Heading1"/>
        <w:ind w:firstLine="0"/>
        <w:keepNext/>
      </w:pPr>
      <w:r>
        <w:t>3. ТЕРМИНЫ И РАБОЧИЕ ОПРЕДЕЛЕНИЯ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QPCT (glutaminyl-peptide cyclotransferase, секретируемая глутаминилциклиза) - преимущественно секретируемый/внеклеточный фермент, катализирующий образование N-концевого пироглутамата из глутамина или глутамата.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QPCTL (glutaminyl-peptide cyclotransferase-like, внутриклеточная изоглутаминилциклиза) - резидентный белок аппарата Гольджи с гомологичным активным центром; модифицирует секреторные и мембранные белки во время биосинтеза [5, 6].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pE - пироглутамат, циклическая N-концевая модификация, способная повышать устойчивость пептида к аминопептидазам и изменять распознавание рецептором или антителом.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CD47-SIRPα - иммунная контрольная ось, в которой CD47 на клетке-мишени взаимодействует с signal regulatory protein alpha (SIRPα) на миелоидной клетке и подавляет фагоцитоз.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Target engagement (TE) - измеримое взаимодействие препарата с ферментом либо ближайшее функциональное следствие ингибирования. Для QPCTL предпочтительный proximal PD - снижение pE конкретного субстрата при сохранении общего белка.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Developability - совокупность свойств, позволяющих перейти от активной молекулы к кандидату: растворимость, проницаемость, метаболическая стабильность, селективность, PK, безопасность, CMC и воспроизводимость.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Факт / интерпретация / гипотеза. Фактом считается прямой результат источника. Интерпретация связывает несколько результатов. Гипотеза требует проверки. Квадратные скобки [...] обозначают неопределенность или отсутствие данных. Формула «Критическое противоречие» обозначает расхождение, которое должно быть разрешено до принятия решения.</w:t>
      </w:r>
    </w:p>
    <w:p>
      <w:pPr>
        <w:pStyle w:val="Heading1"/>
        <w:ind w:firstLine="0"/>
        <w:keepNext/>
      </w:pPr>
      <w:r>
        <w:t>4. МЕТОДОЛОГИЯ И УПРАВЛЕНИЕ ДОКАЗАТЕЛЬСТВАМИ</w:t>
      </w:r>
    </w:p>
    <w:p>
      <w:pPr>
        <w:pStyle w:val="Heading2"/>
        <w:ind w:firstLine="0"/>
        <w:keepNext/>
      </w:pPr>
      <w:r>
        <w:t>4.1. Иерархия источников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Приоритет отдавался первичным рецензируемым исследованиям и клиническим реестрам. Рандомизированные исследования оценивались выше одногрупповых серий; кандидат-специфические данные - выше переноса характеристик химической серии; количественный PK/PD - выше заявлений «favorable PK». Патентные и корпоративные данные обозначены отдельно.</w:t>
      </w:r>
    </w:p>
    <w:p>
      <w:pPr>
        <w:pStyle w:val="Heading2"/>
        <w:ind w:firstLine="0"/>
        <w:keepNext/>
      </w:pPr>
      <w:r>
        <w:t>4.2. Правила нормализации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Каждому документу присвоен Source ID Sxx.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Свободное основание, дигидрохлорид, TFA-соль и другие формы учитываются как разные сущности, пока не выполнен молярный пересчет и не подтверждена аналитическая идентичность.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Значения IC₅₀, Kᵢ, EC₅₀ и Kd не объединяются.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Разные assay formats, виды, конструкции фермента, pH и субстраты не усредняются.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Для внутренних исследований обязательны assay_type, study_design, replicate_scale, compound_form, stimulation_level. Отсутствие поля означает исключение записи из количественного межисследовательского сравнения.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Одноточечный скрининг не трактуется как potency; он формирует только сигнал для подтверждения.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Для каждого внутреннего фармакологического источника проверялись пять обязательных метаданных. Если хотя бы одно поле отсутствовало, источник сохранялся в реестре, но исключался из расчетных и количественных кросс-платформенных разделов.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Поле</w:t>
            </w:r>
          </w:p>
        </w:tc>
        <w:tc>
          <w:tcPr>
            <w:tcW w:type="dxa" w:w="3118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Допустимые/рабочие значения</w:t>
            </w:r>
          </w:p>
        </w:tc>
        <w:tc>
          <w:tcPr>
            <w:tcW w:type="dxa" w:w="3118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Назначение</w:t>
            </w:r>
          </w:p>
        </w:tc>
      </w:tr>
      <w:tr>
        <w:trPr>
          <w:cantSplit w:val="true"/>
        </w:trPr>
        <w:tc>
          <w:tcPr>
            <w:tcW w:type="dxa" w:w="3118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assay_type</w:t>
            </w:r>
          </w:p>
        </w:tc>
        <w:tc>
          <w:tcPr>
            <w:tcW w:type="dxa" w:w="3118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binding / functional / beta_arrestin</w:t>
            </w:r>
          </w:p>
        </w:tc>
        <w:tc>
          <w:tcPr>
            <w:tcW w:type="dxa" w:w="3118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запрещает усреднение между разными механизмами readout</w:t>
            </w:r>
          </w:p>
        </w:tc>
      </w:tr>
      <w:tr>
        <w:trPr>
          <w:cantSplit w:val="true"/>
        </w:trPr>
        <w:tc>
          <w:tcPr>
            <w:tcW w:type="dxa" w:w="3118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study_design</w:t>
            </w:r>
          </w:p>
        </w:tc>
        <w:tc>
          <w:tcPr>
            <w:tcW w:type="dxa" w:w="3118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single_point / dose_response</w:t>
            </w:r>
          </w:p>
        </w:tc>
        <w:tc>
          <w:tcPr>
            <w:tcW w:type="dxa" w:w="3118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отделяет hit-сигнал от potency</w:t>
            </w:r>
          </w:p>
        </w:tc>
      </w:tr>
      <w:tr>
        <w:trPr>
          <w:cantSplit w:val="true"/>
        </w:trPr>
        <w:tc>
          <w:tcPr>
            <w:tcW w:type="dxa" w:w="3118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replicate_scale</w:t>
            </w:r>
          </w:p>
        </w:tc>
        <w:tc>
          <w:tcPr>
            <w:tcW w:type="dxa" w:w="3118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pct_of_control / pct_inhibition</w:t>
            </w:r>
          </w:p>
        </w:tc>
        <w:tc>
          <w:tcPr>
            <w:tcW w:type="dxa" w:w="3118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определяет необходимость преобразования 100 - value</w:t>
            </w:r>
          </w:p>
        </w:tc>
      </w:tr>
      <w:tr>
        <w:trPr>
          <w:cantSplit w:val="true"/>
        </w:trPr>
        <w:tc>
          <w:tcPr>
            <w:tcW w:type="dxa" w:w="3118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compound_form</w:t>
            </w:r>
          </w:p>
        </w:tc>
        <w:tc>
          <w:tcPr>
            <w:tcW w:type="dxa" w:w="3118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free base / конкретная соль</w:t>
            </w:r>
          </w:p>
        </w:tc>
        <w:tc>
          <w:tcPr>
            <w:tcW w:type="dxa" w:w="3118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предотвращает ложное объединение разных молярных сущностей</w:t>
            </w:r>
          </w:p>
        </w:tc>
      </w:tr>
      <w:tr>
        <w:trPr>
          <w:cantSplit w:val="true"/>
        </w:trPr>
        <w:tc>
          <w:tcPr>
            <w:tcW w:type="dxa" w:w="3118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stimulation_level</w:t>
            </w:r>
          </w:p>
        </w:tc>
        <w:tc>
          <w:tcPr>
            <w:tcW w:type="dxa" w:w="3118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EC₅₀ / EC₈₀ / N/A</w:t>
            </w:r>
          </w:p>
        </w:tc>
        <w:tc>
          <w:tcPr>
            <w:tcW w:type="dxa" w:w="3118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требуется для интерпретации functional assays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Концентрации в рабочих таблицах приводятся в мкМ, а для вычисления pK переводятся в M. Для CEREP XLS со шкалой % of control используется % inhibition = 100 - % of control; для CEREP PDF и Panlabs, где уже передан % inhibition, дополнительный пересчет запрещен. В binding-анализах применимо уравнение Ченга-Прусоффа Kᵢ = IC₅₀ / (1 + [L]/K_d). Расчет K_b из single-point результата допускается только как предварительный и только при полном описании режима; одноточечные PathHunter-данные при 50 мкМ не использовались для расчета K_b.</w:t>
      </w:r>
    </w:p>
    <w:p>
      <w:pPr>
        <w:pStyle w:val="Heading2"/>
        <w:ind w:firstLine="0"/>
        <w:keepNext/>
      </w:pPr>
      <w:r>
        <w:t>4.3. Совместимость внутренних источников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Источник</w:t>
            </w:r>
          </w:p>
        </w:tc>
        <w:tc>
          <w:tcPr>
            <w:tcW w:type="dxa" w:w="3118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Совместимость с расчетным объединением</w:t>
            </w:r>
          </w:p>
        </w:tc>
        <w:tc>
          <w:tcPr>
            <w:tcW w:type="dxa" w:w="3118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Основание</w:t>
            </w:r>
          </w:p>
        </w:tc>
      </w:tr>
      <w:tr>
        <w:trPr>
          <w:cantSplit w:val="true"/>
        </w:trPr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CEREP binding H1-H4, 2019 [S01]</w:t>
            </w:r>
          </w:p>
        </w:tc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частичная</w:t>
            </w:r>
          </w:p>
        </w:tc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dose-response и форма соединения описаны; H3/H4 Kᵢ предварительные из-за малого числа точек выше 50% и отсутствия SEM</w:t>
            </w:r>
          </w:p>
        </w:tc>
      </w:tr>
      <w:tr>
        <w:trPr>
          <w:cantSplit w:val="true"/>
        </w:trPr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Panlabs GTPγS H1/H3, 2016 [S02]</w:t>
            </w:r>
          </w:p>
        </w:tc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 для potency</w:t>
            </w:r>
          </w:p>
        </w:tc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порог 50% не достигнут, IC₅₀/K_b не рассчитываются</w:t>
            </w:r>
          </w:p>
        </w:tc>
      </w:tr>
      <w:tr>
        <w:trPr>
          <w:cantSplit w:val="true"/>
        </w:trPr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CEREP H1 Ca²⁺, 2025 [S03]</w:t>
            </w:r>
          </w:p>
        </w:tc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 для potency</w:t>
            </w:r>
          </w:p>
        </w:tc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одна реплика; EC₅₀ референсного агониста в переданных данных неполон; тестируемое соединение не достигло порога</w:t>
            </w:r>
          </w:p>
        </w:tc>
      </w:tr>
      <w:tr>
        <w:trPr>
          <w:cantSplit w:val="true"/>
        </w:trPr>
        <w:tc>
          <w:tcPr>
            <w:tcW w:type="dxa" w:w="3118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DiscoverX 169 GPCR/gpcrMAX, 2016 [S04, S05]</w:t>
            </w:r>
          </w:p>
        </w:tc>
        <w:tc>
          <w:tcPr>
            <w:tcW w:type="dxa" w:w="3118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 для potency</w:t>
            </w:r>
          </w:p>
        </w:tc>
        <w:tc>
          <w:tcPr>
            <w:tcW w:type="dxa" w:w="3118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single-point 50 мкМ; пригоден только для hazard identification</w:t>
            </w:r>
          </w:p>
        </w:tc>
      </w:tr>
      <w:tr>
        <w:trPr>
          <w:cantSplit w:val="true"/>
        </w:trPr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In vivo модели [S07-S15]</w:t>
            </w:r>
          </w:p>
        </w:tc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отдельный фенотипический слой</w:t>
            </w:r>
          </w:p>
        </w:tc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 являются GPCR/QPCT/QPCTL potency assays; отсутствуют target engagement и unbound PK</w:t>
            </w:r>
          </w:p>
        </w:tc>
      </w:tr>
    </w:tbl>
    <w:p>
      <w:pPr>
        <w:spacing w:after="0"/>
      </w:pPr>
    </w:p>
    <w:p>
      <w:pPr>
        <w:pStyle w:val="Heading2"/>
        <w:ind w:firstLine="0"/>
        <w:keepNext/>
      </w:pPr>
      <w:r>
        <w:t>4.4. Уровни уверенности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Уровень</w:t>
            </w:r>
          </w:p>
        </w:tc>
        <w:tc>
          <w:tcPr>
            <w:tcW w:type="dxa" w:w="3118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Критерий</w:t>
            </w:r>
          </w:p>
        </w:tc>
        <w:tc>
          <w:tcPr>
            <w:tcW w:type="dxa" w:w="3118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Допустимый вывод</w:t>
            </w:r>
          </w:p>
        </w:tc>
      </w:tr>
      <w:tr>
        <w:trPr>
          <w:cantSplit w:val="true"/>
        </w:trPr>
        <w:tc>
          <w:tcPr>
            <w:tcW w:type="dxa" w:w="3118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Высокий</w:t>
            </w:r>
          </w:p>
        </w:tc>
        <w:tc>
          <w:tcPr>
            <w:tcW w:type="dxa" w:w="3118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независимое воспроизведение, причинный контроль, количественный PD или контролируемая клиника</w:t>
            </w:r>
          </w:p>
        </w:tc>
        <w:tc>
          <w:tcPr>
            <w:tcW w:type="dxa" w:w="3118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подтвержденный механизм/эффект</w:t>
            </w:r>
          </w:p>
        </w:tc>
      </w:tr>
      <w:tr>
        <w:trPr>
          <w:cantSplit w:val="true"/>
        </w:trPr>
        <w:tc>
          <w:tcPr>
            <w:tcW w:type="dxa" w:w="3118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Умеренный</w:t>
            </w:r>
          </w:p>
        </w:tc>
        <w:tc>
          <w:tcPr>
            <w:tcW w:type="dxa" w:w="3118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один качественный первичный источник и согласующаяся внешняя биология</w:t>
            </w:r>
          </w:p>
        </w:tc>
        <w:tc>
          <w:tcPr>
            <w:tcW w:type="dxa" w:w="3118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правдоподобный, но не окончательный вывод</w:t>
            </w:r>
          </w:p>
        </w:tc>
      </w:tr>
      <w:tr>
        <w:trPr>
          <w:cantSplit w:val="true"/>
        </w:trPr>
        <w:tc>
          <w:tcPr>
            <w:tcW w:type="dxa" w:w="3118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Низкий</w:t>
            </w:r>
          </w:p>
        </w:tc>
        <w:tc>
          <w:tcPr>
            <w:tcW w:type="dxa" w:w="3118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один источник, неполные методы, post hoc или developer-only</w:t>
            </w:r>
          </w:p>
        </w:tc>
        <w:tc>
          <w:tcPr>
            <w:tcW w:type="dxa" w:w="3118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предварительный сигнал</w:t>
            </w:r>
          </w:p>
        </w:tc>
      </w:tr>
      <w:tr>
        <w:trPr>
          <w:cantSplit w:val="true"/>
        </w:trPr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Недостаточно</w:t>
            </w:r>
          </w:p>
        </w:tc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 нужного измерения или данные противоречат друг другу</w:t>
            </w:r>
          </w:p>
        </w:tc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вывод не допускается</w:t>
            </w:r>
          </w:p>
        </w:tc>
      </w:tr>
    </w:tbl>
    <w:p>
      <w:pPr>
        <w:spacing w:after="0"/>
      </w:pPr>
    </w:p>
    <w:p>
      <w:pPr>
        <w:pStyle w:val="Heading1"/>
        <w:ind w:firstLine="0"/>
        <w:keepNext/>
      </w:pPr>
      <w:r>
        <w:t>5. БИОЛОГИЯ QPCT И QPCTL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773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chanis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73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Рисунок 1. Компартментная биология QPCT/QPCTL и терапевтические ветви.</w:t>
      </w:r>
    </w:p>
    <w:p>
      <w:pPr>
        <w:pStyle w:val="Heading2"/>
        <w:ind w:firstLine="0"/>
        <w:keepNext/>
      </w:pPr>
      <w:r>
        <w:t>5.1. Структура, локализация и каталитическая функция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QPCT и QPCTL относятся к цинк-зависимым глутаминилциклизам и имеют сходный каталитический карман. Структурные данные показывают основу общей восприимчивости к малым молекулам, поэтому QPCTL-селективность требует прямого matched counter-screen против QPCT; она не следует из названия программы [5]. QPCTL локализован в аппарате Гольджи, а QPCT преимущественно секретируется. Это различие определяет доступность мишени, тканевую экспозицию и выбор PD-маркера [6].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QPCTL воздействует на формирующиеся белки. Для зрелого поверхностного CD47 ингибирование фермента должно прежде всего предотвращать pE-модификацию вновь синтезируемых молекул, а не мгновенно удалять уже сформированный pE-эпитоп. Поэтому длительность экспозиции и оборот субстрата являются частью фармакологии, а не технической деталью.</w:t>
      </w:r>
    </w:p>
    <w:p>
      <w:pPr>
        <w:pStyle w:val="Heading2"/>
        <w:ind w:firstLine="0"/>
        <w:keepNext/>
      </w:pPr>
      <w:r>
        <w:t>5.2. Субстратная сеть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Субстрат/система</w:t>
            </w:r>
          </w:p>
        </w:tc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Наиболее вероятная изоформа</w:t>
            </w:r>
          </w:p>
        </w:tc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Следствие pE</w:t>
            </w:r>
          </w:p>
        </w:tc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Релевантность</w:t>
            </w:r>
          </w:p>
        </w:tc>
      </w:tr>
      <w:tr>
        <w:trPr>
          <w:cantSplit w:val="true"/>
        </w:trPr>
        <w:tc>
          <w:tcPr>
            <w:tcW w:type="dxa" w:w="233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CD47</w:t>
            </w:r>
          </w:p>
        </w:tc>
        <w:tc>
          <w:tcPr>
            <w:tcW w:type="dxa" w:w="233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QPCTL</w:t>
            </w:r>
          </w:p>
        </w:tc>
        <w:tc>
          <w:tcPr>
            <w:tcW w:type="dxa" w:w="233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высокоаффинное связывание SIRPα; распознавание некоторых антител</w:t>
            </w:r>
          </w:p>
        </w:tc>
        <w:tc>
          <w:tcPr>
            <w:tcW w:type="dxa" w:w="233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опухолевая иммунология [1, 4]</w:t>
            </w:r>
          </w:p>
        </w:tc>
      </w:tr>
      <w:tr>
        <w:trPr>
          <w:cantSplit w:val="true"/>
        </w:trPr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CCL2, CCL7</w:t>
            </w:r>
          </w:p>
        </w:tc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QPCTL/QPCT-контекст зависит от компартмента</w:t>
            </w:r>
          </w:p>
        </w:tc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защита от N-концевой протеолитической инактивации</w:t>
            </w:r>
          </w:p>
        </w:tc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моноцитарная инфильтрация, воспаление [3, 10]</w:t>
            </w:r>
          </w:p>
        </w:tc>
      </w:tr>
      <w:tr>
        <w:trPr>
          <w:cantSplit w:val="true"/>
        </w:trPr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CX3CL1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преимущественно QPCTL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изменение хемокиновой функции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миелоидный трафик [3]</w:t>
            </w:r>
          </w:p>
        </w:tc>
      </w:tr>
      <w:tr>
        <w:trPr>
          <w:cantSplit w:val="true"/>
        </w:trPr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TRP1</w:t>
            </w:r>
          </w:p>
        </w:tc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QPCTL</w:t>
            </w:r>
          </w:p>
        </w:tc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изменение эпитопа и связывания антител</w:t>
            </w:r>
          </w:p>
        </w:tc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меланома; интерпретация antibody assays [4]</w:t>
            </w:r>
          </w:p>
        </w:tc>
      </w:tr>
      <w:tr>
        <w:trPr>
          <w:cantSplit w:val="true"/>
        </w:trPr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pE-Aβ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QPCT/QPCTL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стабилизация патологического пептида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нейродегенерация, не CD47 [11-13]</w:t>
            </w:r>
          </w:p>
        </w:tc>
      </w:tr>
      <w:tr>
        <w:trPr>
          <w:cantSplit w:val="true"/>
        </w:trPr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Коллаген/фиброзная сеть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[изоформа и прямой субстрат не установлены]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предполагаемое влияние на созревание матрикса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ранняя почечно-фиброзная гипотеза [16]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Главное следствие многообразия субстратов: отсутствие pE-CD47 в опыте не означает отсутствия фармакологического эффекта, но эффект нельзя назвать CD47-опосредованным без соответствующего proximal и functional PD.</w:t>
      </w:r>
    </w:p>
    <w:p>
      <w:pPr>
        <w:pStyle w:val="Heading2"/>
        <w:ind w:firstLine="0"/>
        <w:keepNext/>
      </w:pPr>
      <w:r>
        <w:t>5.3. Turnover и временная динамика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QPCTL действует в аппарате Гольджи на вновь синтезируемые молекулы CD47. Уже присутствующий на поверхности pE-CD47 не должен немедленно терять модификацию после ингибирования фермента. Наблюдаемый cellular PD поэтому является сверткой четырех процессов: ингибирование внутриклеточного QPCTL, синтез нового CD47, доставка на мембрану и удаление/рециклинг исходного поверхностного пула. Практическое следствие - сравнение ингибиторов требует одинаковой длительности предобработки; 24, 48 и 72 ч нельзя объединять как эквивалентные условия.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Для CCL2/CCL7 временная динамика может быть быстрее из-за индуцируемой секреции, но она должна быть измерена напрямую. Поэтому анальгетический эффект XC7/ХС7 через 15-60 мин является критическим кинетическим противоречием для механизма через замену зрелого pE-CD47 и лишь гипотетически совместим с быстро обновляющимся секретируемым субстратом.</w:t>
      </w:r>
    </w:p>
    <w:p>
      <w:pPr>
        <w:pStyle w:val="Heading2"/>
        <w:ind w:firstLine="0"/>
        <w:keepNext/>
      </w:pPr>
      <w:r>
        <w:t>5.4. Межвидовые различия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Экстраполяция требует matched human/mouse/rat QPCT и QPCTL, поскольку межвидовые различия могут затрагивать последовательность субстрата, экспрессию фермента, кинетику хемокинов и фармакокинетику соединения. Мышиная противоопухолевая активность не подтверждает человеческую potency без human cellular bridge. Аналогично, положительный анальгетический фенотип у мыши или крысы не определяет релевантный человеческий субстрат.</w:t>
      </w:r>
    </w:p>
    <w:p>
      <w:pPr>
        <w:pStyle w:val="Heading2"/>
        <w:ind w:firstLine="0"/>
        <w:keepNext/>
      </w:pPr>
      <w:r>
        <w:t>5.5. Селективное и двойное ингибирование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QPCTL-селективный профиль теоретически предпочтителен для избирательного воздействия на Golgi-зависимые CD47/хемокиновые механизмы при меньшем влиянии на внеклеточные субстраты QPCT. Двойное ингибирование может быть выгодно при заболеваниях с вкладом обеих изоформ, но увеличивает ширину фармакологии и требования к безопасности. Выбор профиля должен быть экспериментальным: selective-QPCTL, selective-QPCT и dual reference compounds сравниваются при matched cellular target engagement, а не по номинальному названию серии.</w:t>
      </w:r>
    </w:p>
    <w:p>
      <w:pPr>
        <w:pStyle w:val="Heading1"/>
        <w:ind w:firstLine="0"/>
        <w:keepNext/>
      </w:pPr>
      <w:r>
        <w:t>6. ПРИЧИННЫЕ ЦЕПОЧКИ И АЛЬТЕРНАТИВНЫЕ ОБЪЯСНЕНИЯ</w:t>
      </w:r>
    </w:p>
    <w:p>
      <w:pPr>
        <w:pStyle w:val="Heading2"/>
        <w:ind w:firstLine="0"/>
        <w:keepNext/>
      </w:pPr>
      <w:r>
        <w:t>6.1. Онкология: наиболее сильная цепочка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Наиболее строго поддерживается следующая последовательность: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QPCTL activity → pE-CD47 → SIRPα binding → inhibitory myeloid signaling → снижение фагоцитоза.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Генетические CRISPR-исследования выявили QPCTL как регулятор взаимодействия CD47-SIRPα. QPCTL knockout уменьшал pE-CD47/SIRPα-binding, не требуя снижения общего поверхностного CD47; фармакологические ингибиторы воспроизводили ключевую часть фенотипа [1, 2]. Исследование 2025 г. дополнительно показало, что пироглутамилирование влияет и на связывание magrolimab, поэтому потеря antibody signal не должна интерпретироваться как уменьшение surface CD47 без независимого антитела или mass-spectrometry readout [4].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Функциональный эффект зависит от наличия про-фагоцитарного сигнала. В ряде систем QPCTL inhibition усиливал действие опсонизирующих антител или checkpoint blockade, но сам по себе не обеспечивал одинаково сильный ответ. Это поддерживает комбинационную, а не универсальную монотерапевтическую модель.</w:t>
      </w:r>
    </w:p>
    <w:p>
      <w:pPr>
        <w:pStyle w:val="Heading2"/>
        <w:ind w:firstLine="0"/>
        <w:keepNext/>
      </w:pPr>
      <w:r>
        <w:t>6.2. Хемокиновая ветвь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QPCTL loss нарушает созревание CCL2/CCL7, меняет гомеостаз моноцитов и состав опухолевого микроокружения. В мышиных моделях это ограничивало рост опухоли и усиливало anti-PD-L1 [3]. Поэтому наблюдаемое уменьшение моноцитов или изменение T-cell signatures после ингибитора может быть связано не только с CD47, но и с ремоделированием хемокиновой сети.</w:t>
      </w:r>
    </w:p>
    <w:p>
      <w:pPr>
        <w:pStyle w:val="Heading2"/>
        <w:ind w:firstLine="0"/>
        <w:keepNext/>
      </w:pPr>
      <w:r>
        <w:t>6.3. Фиброзная ветвь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Рабочая гипотеза: ингибирование QPCT/QPCTL снижает хроническую моноцитарно-макрофагальную активацию через хемокины и/или непосредственно изменяет созревание внеклеточного матрикса. На сегодня цепочка не закрыта субстрат-специфическим PD, rescue и клиническим доказательством. Данные о гломерулосклерозе и коллагене следует считать programme-generating, а не подтверждающими показание [16].</w:t>
      </w:r>
    </w:p>
    <w:p>
      <w:pPr>
        <w:pStyle w:val="Heading2"/>
        <w:ind w:firstLine="0"/>
        <w:keepNext/>
      </w:pPr>
      <w:r>
        <w:t>6.4. Критические альтернативы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изменение общего синтеза, транспорта или жизнеспособности клеток;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неселективное ингибирование QPCT;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GPCR/off-target-фармакология при высоких концентрациях;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различия формы соединения и свободной концентрации;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иммуногенность, Fc-зависимость или activity партнера в комбинации;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batch, vehicle и route effects;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статистические ложноположительные результаты при множественных time points.</w:t>
      </w:r>
    </w:p>
    <w:p>
      <w:pPr>
        <w:sectPr>
          <w:footerReference w:type="default" r:id="rId9"/>
          <w:pgSz w:w="11906" w:h="16838"/>
          <w:pgMar w:top="1134" w:right="850" w:bottom="1020" w:left="1701" w:header="454" w:footer="454" w:gutter="0"/>
          <w:cols w:space="720"/>
          <w:docGrid w:linePitch="360"/>
        </w:sectPr>
      </w:pPr>
    </w:p>
    <w:p>
      <w:pPr>
        <w:pStyle w:val="Heading1"/>
        <w:pageBreakBefore w:val="0"/>
        <w:ind w:firstLine="0"/>
        <w:keepNext/>
      </w:pPr>
      <w:r>
        <w:t>7. ЛАНДШАФТ ИНГИБИТОРОВ И КРИТЕРИИ СРАВНЕНИЯ</w:t>
      </w:r>
    </w:p>
    <w:p>
      <w:pPr>
        <w:pStyle w:val="Heading2"/>
        <w:pageBreakBefore w:val="0"/>
        <w:ind w:firstLine="0"/>
        <w:keepNext/>
      </w:pPr>
      <w:r>
        <w:t>7.1. Основные соединения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971"/>
        <w:gridCol w:w="2971"/>
        <w:gridCol w:w="2971"/>
        <w:gridCol w:w="2971"/>
        <w:gridCol w:w="2971"/>
      </w:tblGrid>
      <w:tr>
        <w:trPr>
          <w:tblHeader w:val="true"/>
          <w:cantSplit w:val="true"/>
        </w:trPr>
        <w:tc>
          <w:tcPr>
            <w:tcW w:type="dxa" w:w="2971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Соединение</w:t>
            </w:r>
          </w:p>
        </w:tc>
        <w:tc>
          <w:tcPr>
            <w:tcW w:type="dxa" w:w="2971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Публичная биохимия</w:t>
            </w:r>
          </w:p>
        </w:tc>
        <w:tc>
          <w:tcPr>
            <w:tcW w:type="dxa" w:w="2971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Селективность QPCTL/QPCT</w:t>
            </w:r>
          </w:p>
        </w:tc>
        <w:tc>
          <w:tcPr>
            <w:tcW w:type="dxa" w:w="2971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Самая зрелая стадия</w:t>
            </w:r>
          </w:p>
        </w:tc>
        <w:tc>
          <w:tcPr>
            <w:tcW w:type="dxa" w:w="2971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Ключевое ограничение</w:t>
            </w:r>
          </w:p>
        </w:tc>
      </w:tr>
      <w:tr>
        <w:trPr>
          <w:cantSplit w:val="true"/>
        </w:trPr>
        <w:tc>
          <w:tcPr>
            <w:tcW w:type="dxa" w:w="2971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PBD150</w:t>
            </w:r>
          </w:p>
        </w:tc>
        <w:tc>
          <w:tcPr>
            <w:tcW w:type="dxa" w:w="2971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активен против QC; assay-dependent</w:t>
            </w:r>
          </w:p>
        </w:tc>
        <w:tc>
          <w:tcPr>
            <w:tcW w:type="dxa" w:w="2971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двойной/неполно определена</w:t>
            </w:r>
          </w:p>
        </w:tc>
        <w:tc>
          <w:tcPr>
            <w:tcW w:type="dxa" w:w="2971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доклиника</w:t>
            </w:r>
          </w:p>
        </w:tc>
        <w:tc>
          <w:tcPr>
            <w:tcW w:type="dxa" w:w="2971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ограниченная developability и разнородные форматы [10]</w:t>
            </w:r>
          </w:p>
        </w:tc>
      </w:tr>
      <w:tr>
        <w:trPr>
          <w:cantSplit w:val="true"/>
        </w:trPr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SEN177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QPCTL IC₅₀ 131,2 ± 38,1 нМ в серии QP5038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не установлена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tool/scaffold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недостаточная potency для кандидата [7]</w:t>
            </w:r>
          </w:p>
        </w:tc>
      </w:tr>
      <w:tr>
        <w:trPr>
          <w:cantSplit w:val="true"/>
        </w:trPr>
        <w:tc>
          <w:tcPr>
            <w:tcW w:type="dxa" w:w="2971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PQ912/varoglutamstat</w:t>
            </w:r>
          </w:p>
        </w:tc>
        <w:tc>
          <w:tcPr>
            <w:tcW w:type="dxa" w:w="2971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QPCT Kd 17 нМ; Kᵢ около 20 нМ, зависит от assay</w:t>
            </w:r>
          </w:p>
        </w:tc>
        <w:tc>
          <w:tcPr>
            <w:tcW w:type="dxa" w:w="2971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двойной QPCT/QPCTL</w:t>
            </w:r>
          </w:p>
        </w:tc>
        <w:tc>
          <w:tcPr>
            <w:tcW w:type="dxa" w:w="2971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фазы I-II при AD</w:t>
            </w:r>
          </w:p>
        </w:tc>
        <w:tc>
          <w:tcPr>
            <w:tcW w:type="dxa" w:w="2971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нет клинического CD47/QPCTL PD [11-16]</w:t>
            </w:r>
          </w:p>
        </w:tc>
      </w:tr>
      <w:tr>
        <w:trPr>
          <w:cantSplit w:val="true"/>
        </w:trPr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QP529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активен против QPCT/QPCTL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двойной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доклиника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не development candidate [1]</w:t>
            </w:r>
          </w:p>
        </w:tc>
      </w:tr>
      <w:tr>
        <w:trPr>
          <w:cantSplit w:val="true"/>
        </w:trPr>
        <w:tc>
          <w:tcPr>
            <w:tcW w:type="dxa" w:w="2971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QP5020</w:t>
            </w:r>
          </w:p>
        </w:tc>
        <w:tc>
          <w:tcPr>
            <w:tcW w:type="dxa" w:w="2971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QPCTL IC₅₀ 15,0 ± 5,5 нМ</w:t>
            </w:r>
          </w:p>
        </w:tc>
        <w:tc>
          <w:tcPr>
            <w:tcW w:type="dxa" w:w="2971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QPCT counter-screen неполон</w:t>
            </w:r>
          </w:p>
        </w:tc>
        <w:tc>
          <w:tcPr>
            <w:tcW w:type="dxa" w:w="2971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lead series</w:t>
            </w:r>
          </w:p>
        </w:tc>
        <w:tc>
          <w:tcPr>
            <w:tcW w:type="dxa" w:w="2971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нет полноценного PK/PD [7]</w:t>
            </w:r>
          </w:p>
        </w:tc>
      </w:tr>
      <w:tr>
        <w:trPr>
          <w:cantSplit w:val="true"/>
        </w:trPr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QP5038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QPCTL 3,8 ± 0,7 нМ; QPCT 4,0 ± 0,8 нМ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двойной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early lead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DMPK и in vivo bridge недостаточны [7]</w:t>
            </w:r>
          </w:p>
        </w:tc>
      </w:tr>
      <w:tr>
        <w:trPr>
          <w:cantSplit w:val="true"/>
        </w:trPr>
        <w:tc>
          <w:tcPr>
            <w:tcW w:type="dxa" w:w="2971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22b</w:t>
            </w:r>
          </w:p>
        </w:tc>
        <w:tc>
          <w:tcPr>
            <w:tcW w:type="dxa" w:w="2971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QPCT 17 нМ; QPCTL 73 нМ</w:t>
            </w:r>
          </w:p>
        </w:tc>
        <w:tc>
          <w:tcPr>
            <w:tcW w:type="dxa" w:w="2971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QPCT-предпочтительный</w:t>
            </w:r>
          </w:p>
        </w:tc>
        <w:tc>
          <w:tcPr>
            <w:tcW w:type="dxa" w:w="2971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доклиника</w:t>
            </w:r>
          </w:p>
        </w:tc>
        <w:tc>
          <w:tcPr>
            <w:tcW w:type="dxa" w:w="2971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ранняя серия</w:t>
            </w:r>
          </w:p>
        </w:tc>
      </w:tr>
      <w:tr>
        <w:trPr>
          <w:cantSplit w:val="true"/>
        </w:trPr>
        <w:tc>
          <w:tcPr>
            <w:tcW w:type="dxa" w:w="2971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Compound 30</w:t>
            </w:r>
          </w:p>
        </w:tc>
        <w:tc>
          <w:tcPr>
            <w:tcW w:type="dxa" w:w="2971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QPCTL 590 нМ; QPCT 830 нМ</w:t>
            </w:r>
          </w:p>
        </w:tc>
        <w:tc>
          <w:tcPr>
            <w:tcW w:type="dxa" w:w="2971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слабая разница</w:t>
            </w:r>
          </w:p>
        </w:tc>
        <w:tc>
          <w:tcPr>
            <w:tcW w:type="dxa" w:w="2971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доклиника</w:t>
            </w:r>
          </w:p>
        </w:tc>
        <w:tc>
          <w:tcPr>
            <w:tcW w:type="dxa" w:w="2971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низкая potency</w:t>
            </w:r>
          </w:p>
        </w:tc>
      </w:tr>
      <w:tr>
        <w:trPr>
          <w:cantSplit w:val="true"/>
        </w:trPr>
        <w:tc>
          <w:tcPr>
            <w:tcW w:type="dxa" w:w="2971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SC-2882</w:t>
            </w:r>
          </w:p>
        </w:tc>
        <w:tc>
          <w:tcPr>
            <w:tcW w:type="dxa" w:w="2971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[potency не раскрыта]</w:t>
            </w:r>
          </w:p>
        </w:tc>
        <w:tc>
          <w:tcPr>
            <w:tcW w:type="dxa" w:w="2971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заявлена QPCTL</w:t>
            </w:r>
          </w:p>
        </w:tc>
        <w:tc>
          <w:tcPr>
            <w:tcW w:type="dxa" w:w="2971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доклиника; заявлялся IND-enabling</w:t>
            </w:r>
          </w:p>
        </w:tc>
        <w:tc>
          <w:tcPr>
            <w:tcW w:type="dxa" w:w="2971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клиническая регистрация не идентифицирована; developer/abstract-only [25]</w:t>
            </w:r>
          </w:p>
        </w:tc>
      </w:tr>
      <w:tr>
        <w:trPr>
          <w:cantSplit w:val="true"/>
        </w:trPr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BPRQC298/DBPR22998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заявлена sub-nM QPCTL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заявлена QPCTL-селективность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доклиника; candidate nomination заявлена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code inconsistency; нет независимой репликации; 14-дневная non-GLP токсикология [26]</w:t>
            </w:r>
          </w:p>
        </w:tc>
      </w:tr>
      <w:tr>
        <w:trPr>
          <w:cantSplit w:val="true"/>
        </w:trPr>
        <w:tc>
          <w:tcPr>
            <w:tcW w:type="dxa" w:w="2971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XC7/XC7DCH</w:t>
            </w:r>
          </w:p>
        </w:tc>
        <w:tc>
          <w:tcPr>
            <w:tcW w:type="dxa" w:w="2971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QPCT IC50 1,8 мкМ; QPCTL 2,9 мкМ; pE-CD47 13,8 мкМ [S17]</w:t>
            </w:r>
          </w:p>
        </w:tc>
        <w:tc>
          <w:tcPr>
            <w:tcW w:type="dxa" w:w="2971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предварительно двойной</w:t>
            </w:r>
          </w:p>
        </w:tc>
        <w:tc>
          <w:tcPr>
            <w:tcW w:type="dxa" w:w="2971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early lead/tool</w:t>
            </w:r>
          </w:p>
        </w:tc>
        <w:tc>
          <w:tcPr>
            <w:tcW w:type="dxa" w:w="2971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source-level raw data, unbound PK/PD и in vivo TE отсутствуют</w:t>
            </w:r>
          </w:p>
        </w:tc>
      </w:tr>
      <w:tr>
        <w:trPr>
          <w:cantSplit w:val="true"/>
        </w:trPr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ISM8207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заявлена QPCTL IC₅₀ &lt;0,5 нМ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[QPCT не раскрыт]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фаза I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непрозрачные chemistry/DMPK/human data [8, 9]</w:t>
            </w:r>
          </w:p>
        </w:tc>
      </w:tr>
      <w:tr>
        <w:trPr>
          <w:cantSplit w:val="true"/>
        </w:trPr>
        <w:tc>
          <w:tcPr>
            <w:tcW w:type="dxa" w:w="2971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XC8</w:t>
            </w:r>
          </w:p>
        </w:tc>
        <w:tc>
          <w:tcPr>
            <w:tcW w:type="dxa" w:w="2971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клеточная QPCT/QPCTL potency [не валидирована]</w:t>
            </w:r>
          </w:p>
        </w:tc>
        <w:tc>
          <w:tcPr>
            <w:tcW w:type="dxa" w:w="2971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[не установлена]</w:t>
            </w:r>
          </w:p>
        </w:tc>
        <w:tc>
          <w:tcPr>
            <w:tcW w:type="dxa" w:w="2971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фаза IIa при астме</w:t>
            </w:r>
          </w:p>
        </w:tc>
        <w:tc>
          <w:tcPr>
            <w:tcW w:type="dxa" w:w="2971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первичный endpoint отрицательный [17, 18]</w:t>
            </w:r>
          </w:p>
        </w:tc>
      </w:tr>
      <w:tr>
        <w:trPr>
          <w:cantSplit w:val="true"/>
        </w:trPr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VY2149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заявлен next-generation QPCT/L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[не раскрыта]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доклиника</w:t>
            </w:r>
          </w:p>
        </w:tc>
        <w:tc>
          <w:tcPr>
            <w:tcW w:type="dxa" w:w="2971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5"/>
              </w:rPr>
              <w:t>развитие зависит от финансирования/партнера [16]</w:t>
            </w:r>
          </w:p>
        </w:tc>
      </w:tr>
    </w:tbl>
    <w:p>
      <w:pPr>
        <w:spacing w:after="0"/>
      </w:pPr>
    </w:p>
    <w:p>
      <w:pPr>
        <w:sectPr>
          <w:pgSz w:w="16838" w:h="11906" w:orient="landscape"/>
          <w:pgMar w:top="1134" w:right="850" w:bottom="1020" w:left="1134" w:header="454" w:footer="454" w:gutter="0"/>
          <w:cols w:space="720"/>
          <w:docGrid w:linePitch="360"/>
        </w:sectPr>
      </w:pPr>
    </w:p>
    <w:p>
      <w:pPr>
        <w:pStyle w:val="Heading2"/>
        <w:ind w:firstLine="0"/>
        <w:keepNext/>
      </w:pPr>
      <w:r>
        <w:t>7.2. Вывод по ландшафту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Ни одна публичная молекула одновременно не имеет полного набора: раскрытая химическая идентичность, высокая и воспроизводимая QPCTL/QPCT-селективность, клеточный субстратный PD, свободный тканевой PK/PD, причинная in vivo эффективность и человеческая клиническая валидация. ISM8207 наиболее зрелый организационно; QP5038 наиболее прозрачен академически; PQ912 наиболее информативен по человеческой PK и общей переносимости. SC-2882 и DBPR22998 остаются доклиническими программами по открытым данным на дату среза [25, 26]. Это разные преимущества, их нельзя сводить к одному рейтингу potency.</w:t>
      </w:r>
    </w:p>
    <w:p>
      <w:pPr>
        <w:pStyle w:val="Heading1"/>
        <w:ind w:firstLine="0"/>
        <w:keepNext/>
      </w:pPr>
      <w:r>
        <w:t>8. СТАНДАРТИЗАЦИЯ ASSAY CASCADE</w:t>
      </w:r>
    </w:p>
    <w:p>
      <w:pPr>
        <w:pStyle w:val="Heading2"/>
        <w:ind w:firstLine="0"/>
        <w:keepNext/>
      </w:pPr>
      <w:r>
        <w:t>8.1. Биохимический уровень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Минимальная matched panel должна включать human, mouse и rat QPCTL и QPCT при одинаковых pH, substrate, preincubation, temperature и readout. Для каждого результата нужны IC₅₀ и, для приоритетных соединений, Kᵢ/механизм ингибирования, Hill slope, n, confidence interval и контроль артефактов. При наличии медленного связывания измеряется residence time.</w:t>
      </w:r>
    </w:p>
    <w:p>
      <w:pPr>
        <w:pStyle w:val="Heading2"/>
        <w:ind w:firstLine="0"/>
        <w:keepNext/>
      </w:pPr>
      <w:r>
        <w:t>8.2. Клеточный уровень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Для онкологии рекомендуются: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pE-CD47 concentration-response и time course;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total CD47 и surface CD47 с pE-независимым реагентом;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SIRPα-Fc binding;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viability, cell-cycle и global secretion controls;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QPCTL knockout и rescue wild-type/catalytically dead;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intracellular compound concentration.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Для воспаления и фиброза нужны отдельные readouts pE-CCL2/CCL7/CX3CL1, intact/proteolysed chemokine, monocyte chemotaxis и matrix/collagen markers. Один pE-CD47 не валидирует эти показания.</w:t>
      </w:r>
    </w:p>
    <w:p>
      <w:pPr>
        <w:pStyle w:val="Heading2"/>
        <w:ind w:firstLine="0"/>
        <w:keepNext/>
      </w:pPr>
      <w:r>
        <w:t>8.3. Функциональный уровень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Фагоцитоз и killing должны иметь полную концентрационную кривую, E:T ratio, клеточные источники, опсонизирующий партнер, Fc controls, Emax, EC₅₀ и viability. Нужны режимы с и без партнера, чтобы отделить снятие anti-phagocytic сигнала от дополнительной активности комбинации.</w:t>
      </w:r>
    </w:p>
    <w:p>
      <w:pPr>
        <w:pStyle w:val="Heading2"/>
        <w:ind w:firstLine="0"/>
        <w:keepNext/>
      </w:pPr>
      <w:r>
        <w:t>8.4. In vivo PK/PD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Обязательны free plasma, blood и target-tissue concentrations, fu, blood-to-plasma ratio, time-above-cellular-EC₉₀ и тканевой pE-marker. Доза в мг/кг без этих данных не позволяет сравнивать соединения. Для опухолей измеряются intratumoral pE-CD47, total CD47, SIRPα-binding и иммунный состав; для почки - renal exposure, pE-хемокины, воспаление, альбуминурия, eGFR/клиренс и гистология.</w:t>
      </w:r>
    </w:p>
    <w:p>
      <w:pPr>
        <w:pStyle w:val="Heading1"/>
        <w:ind w:firstLine="0"/>
        <w:keepNext/>
      </w:pPr>
      <w:r>
        <w:t>9. ПРОФИЛИ КЛЮЧЕВЫХ СОЕДИНЕНИЙ</w:t>
      </w:r>
    </w:p>
    <w:p>
      <w:pPr>
        <w:pStyle w:val="Heading2"/>
        <w:ind w:firstLine="0"/>
        <w:keepNext/>
      </w:pPr>
      <w:r>
        <w:t>9.1. QP5038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QP5038 (compound 28) - 3-(6-fluoropyridin-3-yl)-2-(4-(1-methyl-1H-imidazol-5-yl)piperidin-1-yl)benzonitrile; нейтральная формула C₂₁H₂₀FN₅, молекулярная масса 361,42. В публикации после preparative HPLC использована TFA-соль; указана чистота 97,6%. Следовательно, расчеты растворов и экспозиции должны учитывать конкретную форму [7].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Biochemical potency. QPCTL IC₅₀ 3,8 ± 0,7 нМ и QPCT IC₅₀ 4,0 ± 0,8 нМ получены в сопоставимом human recombinant assay. Патентный reassay дал 2 и 5 нМ соответственно, то есть только 2,5-кратную разницу. Вывод: QP5038 - мощный двойной ингибитор, но не QPCTL-селективный.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Cellular pharmacology. pE-CD47 surrogate IC₅₀ 3,3 ± 0,5 нМ; SIRPα-Fc binding IC₅₀ 8,5 ± 4,9 нМ. Общее количество поверхностного CD47 сохранялось. Это сильный согласованный биохимико-клеточный мост.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Functional pharmacology. В фагоцитозном опыте применялось 10 мкМ после 48-часовой экспозиции и опсонизирующее антитело. Концентрация примерно в 3000 раз выше pE-CD47 IC₅₀; dose-response, functional EC₅₀ и контроль вклада QPCT/off-targets не представлены. Результат подтверждает возможность эффекта, но не количественный therapeutic window.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In vivo. В B16F10 использовали 25 мг/кг внутрибрюшинно ежедневно. Наиболее сильный эффект наблюдался с anti-PD-1; монотерапия была слабой. Не раскрыты свободная опухолевая концентрация, intratumoral pE-CD47, duration above EC₉₀ и survival. Термин «синергия» без формального interaction test не применяется.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DMPK. Caco-2 Papp 61×10⁻⁶ см/с, efflux ratio 0,8 указывают на хорошую проницаемость. Одновременно predicted hepatic extraction QH 97% и CYP3A4 induction 58,5-fold при 10 мкМ создают существенные developability-риски. [Cmax, AUC, F, t½, clearance, fu и metabolite ID отсутствуют].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Вердикт. Ранний lead/сильный in vitro tool; недостаточно данных для candidate nomination.</w:t>
      </w:r>
    </w:p>
    <w:p>
      <w:pPr>
        <w:pStyle w:val="Heading2"/>
        <w:ind w:firstLine="0"/>
        <w:keepNext/>
      </w:pPr>
      <w:r>
        <w:t>9.2. ISM8207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ISM8207 - пероральный маломолекулярный кандидат Insilico Medicine/Fosun Pharma в первой фазе исследования у пациентов с распространенными солидными опухолями и рецидивирующей/рефрактерной B-клеточной лимфомой [8, 9].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Заявлена QPCTL IC₅₀ &lt;0,5 нМ и снижение SIRPα-binding в клетках тройного негативного рака молочной железы без потери жизнеспособности [8]. QPCT potency, matched species data, candidate-specific cellular pE-CD47 EC₅₀ и количественный фагоцитоз не опубликованы. Поэтому «селективный QPCTL inhibitor» - заявленное, но не верифицированное свойство.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В модели 4T1 при 30 мг/кг два раза в сутки сообщена умеренная монотерапевтическая активность и около 50% TGI в комбинации с anti-PD-1. Недостаточно сведений о route, vehicle, n, randomization, blinding, individual curves и опухолевом PK/PD. Периферическое уменьшение SIRPα-binding и изменение циркулирующих моноцитов согласуются с target biology, но не заменяют pE-CD47 в опухоли.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Спонсор сообщает о завершенных ADME, PK/PD, toxicology и CMC-работах, но численные данные публично не раскрыты. Структура, CAS, formula, stereochemistry и API form не установлены. Клинический реестр фиксирует исследование NCT06445517 как recruiting; последнее обновление опубликовано 24.07.2026, плановая первичная дата завершения - 30.11.2026. Публичные human safety, PK/PD, DLT, RP2D и efficacy отсутствуют [9]. Организационная клиническая стадия не тождественна клинической валидации механизма.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Вердикт. Ранний клинический кандидат; не Phase II-ready по публичным данным.</w:t>
      </w:r>
    </w:p>
    <w:p>
      <w:pPr>
        <w:pStyle w:val="Heading2"/>
        <w:ind w:firstLine="0"/>
        <w:keepNext/>
      </w:pPr>
      <w:r>
        <w:t>9.3. PQ912/varoglutamstat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PQ912 - обратимый ингибитор QPCT/QPCTL с человеческим опытом. Для QPCT описаны Kd 17 нМ, koff 0,023 с⁻¹ и зависимые от assay Kᵢ около 20-65 нМ [11]. В фазе I показаны дозозависимое ингибирование serum/CSF QC и проникновение в CSF; концентрация в CSF составляла около 20% свободной плазменной [12]. Это наиболее зрелый PK/TE-пакет класса, но он валидирует QC и CNS delivery, а не QPCTL-CD47.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В SAPHIR 800 мг дважды в сутки сопровождались кожными/подкожными и желудочно-кишечными явлениями, неприверженностью и прекращениями [13]. VIVIAD и VIVA-MIND не подтвердили клинически значимого когнитивного/функционального эффекта. Программа сместилась к почечной болезни после анализа eGFR. Отрицательная AD-эффективность не опровергает QPCTL/CD47, но показывает, что target occupancy и модельная активность не гарантируют клинический benefit.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Вердикт. Клинически охарактеризованный двойной inhibitor/reference asset; не подтвержденный препарат для онкологии, воспаления или фиброза.</w:t>
      </w:r>
    </w:p>
    <w:p>
      <w:pPr>
        <w:pStyle w:val="Heading2"/>
        <w:ind w:firstLine="0"/>
        <w:keepNext/>
      </w:pPr>
      <w:r>
        <w:t>9.4. XC7/XC7DCH: консолидированный профиль внутреннего актива</w:t>
      </w:r>
    </w:p>
    <w:p>
      <w:pPr>
        <w:pStyle w:val="Heading3"/>
        <w:ind w:firstLine="0"/>
        <w:keepNext/>
      </w:pPr>
      <w:r>
        <w:t>9.4.1. Статус источника и идентичность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Новый сводный документ по хроническому болевому синдрому [S17] содержит численные результаты, которых не было в ранее доступном наборе: ингибирование рекомбинантных QPCT/QPCTL, SPR-связывание с QPCT, клеточные pE-CD47 и chemotaxis readouts, BioMAP-профиль, PK/распределение и моделирование тканевого ингибирования. Однако первичные лабораторные протоколы, индивидуальные кривые, raw data и аналитические сертификаты для этих блоков в приложенном наборе отсутствуют. Поэтому результаты включены как предварительные заявленные данные и не приравнены к верифицированным первичным отчетам.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Обозначения XC7, XC7DCH, XC7·2HCl и ХС7 нельзя считать взаимозаменяемыми без molar identity bridge. Для каждого опыта должны быть зафиксированы структура, соль/солват, молекулярная масса, чистота, номер серии и фактическая концентрация свободного основания.</w:t>
      </w:r>
    </w:p>
    <w:p>
      <w:pPr>
        <w:pStyle w:val="Heading3"/>
        <w:ind w:firstLine="0"/>
        <w:keepNext/>
      </w:pPr>
      <w:r>
        <w:t>9.4.2. Биохимическая и биофизическая активность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Уровень</w:t>
            </w:r>
          </w:p>
        </w:tc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Система</w:t>
            </w:r>
          </w:p>
        </w:tc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Результат</w:t>
            </w:r>
          </w:p>
        </w:tc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Консолидированная интерпретация</w:t>
            </w:r>
          </w:p>
        </w:tc>
      </w:tr>
      <w:tr>
        <w:trPr>
          <w:cantSplit w:val="true"/>
        </w:trPr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Фермент QPCT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SensoLyte Green, human recombinant, 0,25-1024 мкМ, два независимых опыта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IC50 0,72 и 2,88 мкМ; среднее 1,8 мкМ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прямая микромолярная активность заявлена; четырехкратная межопытная вариабельность требует повторения</w:t>
            </w:r>
          </w:p>
        </w:tc>
      </w:tr>
      <w:tr>
        <w:trPr>
          <w:cantSplit w:val="true"/>
        </w:trPr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Фермент QPCTL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SensoLyte Green, matched формат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IC50 2,55 и 3,22 мкМ; среднее 2,9 мкМ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воспроизводимость лучше, но potency умеренная</w:t>
            </w:r>
          </w:p>
        </w:tc>
      </w:tr>
      <w:tr>
        <w:trPr>
          <w:cantSplit w:val="true"/>
        </w:trPr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Фермент QPCTL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Viva BioTech, Q-AMC, 10 точек, 3-кратное разведение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IC50 2,93 ± 1,36 мкМ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согласуется со средним SensoLyte; исходный отчет не приложен</w:t>
            </w:r>
          </w:p>
        </w:tc>
      </w:tr>
      <w:tr>
        <w:trPr>
          <w:cantSplit w:val="true"/>
        </w:trPr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SPR QPCT</w:t>
            </w:r>
          </w:p>
        </w:tc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pH 7,0</w:t>
            </w:r>
          </w:p>
        </w:tc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KD kinetic 1,46 мкМ; KD affinity 1,47 мкМ; ka 1,96x10^4 M-1s-1; kd 0,0286 s-1; t1/2 24,2 с</w:t>
            </w:r>
          </w:p>
        </w:tc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подтверждает обратимое микромолярное связывание с QPCT на уровне сводного источника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Средние IC50 указывают лишь на приблизительно 1,6-кратное предпочтение QPCT, то есть XC7 следует считать предварительным двойным, а не изоформ-селективным ингибитором. Отношение нельзя трактовать как доказанную селективность без matched повторов, доверительных интервалов и контроля состава соединения.</w:t>
      </w:r>
    </w:p>
    <w:p>
      <w:pPr>
        <w:pStyle w:val="Heading3"/>
        <w:ind w:firstLine="0"/>
        <w:keepNext/>
      </w:pPr>
      <w:r>
        <w:t>9.4.3. Клеточный мост к мишени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Readout</w:t>
            </w:r>
          </w:p>
        </w:tc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Заявленный результат</w:t>
            </w:r>
          </w:p>
        </w:tc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Что подтверждает</w:t>
            </w:r>
          </w:p>
        </w:tc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Что остается незакрытым</w:t>
            </w:r>
          </w:p>
        </w:tc>
      </w:tr>
      <w:tr>
        <w:trPr>
          <w:cantSplit w:val="true"/>
        </w:trPr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LX-2, immunocytochemistry pE-CD47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IC50 13,8 ± 5,9 мкМ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предварительный proximal cellular PD для QPCTL-CD47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клон/эпитоп антитела, total/surface CD47, viability, time course и raw images не приложены</w:t>
            </w:r>
          </w:p>
        </w:tc>
      </w:tr>
      <w:tr>
        <w:trPr>
          <w:cantSplit w:val="true"/>
        </w:trPr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THP-1, LPS-индуцированная миграция</w:t>
            </w:r>
          </w:p>
        </w:tc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IC50 18,58 ± 5,57 мкМ</w:t>
            </w:r>
          </w:p>
        </w:tc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функциональный противомиграционный эффект</w:t>
            </w:r>
          </w:p>
        </w:tc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pE-CCL2/total CCL2 и QPCTL-rescue не измерены; атрибуция к мишени неполна</w:t>
            </w:r>
          </w:p>
        </w:tc>
      </w:tr>
      <w:tr>
        <w:trPr>
          <w:cantSplit w:val="true"/>
        </w:trPr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BioMAP Diversity Plus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снижение total MCP-1/CCL2 в Th1-endothelial и Th2-bronchial системах при 0,37-30 мкМ без цитотоксичности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противовоспалительный фенотип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total MCP-1 не является pE-специфическим TE; возможны транскрипционные/off-target механизмы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Клеточная потеря potency относительно среднего QPCTL IC50 составляет около 4,8 раза для pE-CD47 и 6,4 раза для chemotaxis. Такая величина сама по себе правдоподобна для внутриклеточной мишени аппарата Гольджи, но без первичных кривых и контроля свободной внутриклеточной концентрации вывод остается предварительным.</w:t>
      </w:r>
    </w:p>
    <w:p>
      <w:pPr>
        <w:pStyle w:val="Heading3"/>
        <w:ind w:firstLine="0"/>
        <w:keepNext/>
      </w:pPr>
      <w:r>
        <w:t>9.4.4. PK, распределение и моделируемое ингибирование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Сводный источник содержит плазменные и тканевые концентрации и сценарии 14-дневного режима у человека 200 мг. Представленные проценты ингибирования рассчитаны по модели I = C/(C + IC50), то есть являются модельным производным, а не измеренным in vivo target engagement. Использование общих тканевых концентраций без fu,tissue и внутриклеточной доступности в аппарате Гольджи систематически завышает уверенность в QPCTL coverage.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Критическое противоречие: в расчетах использованы IC50 5 мкМ для QPCT и 30 мкМ для QPCTL, тогда как в том же документе приведены экспериментальные средние 1,8 и 2,9 мкМ. Обоснование замены не представлено. До пересчета на единый potency set, учета свободной фракции и подтверждения pE-субстратов оценки тканевого ингибирования не используются для номинации дозы.</w:t>
      </w:r>
    </w:p>
    <w:p>
      <w:pPr>
        <w:pStyle w:val="Heading3"/>
        <w:ind w:firstLine="0"/>
        <w:keepNext/>
      </w:pPr>
      <w:r>
        <w:t>9.4.5. In vivo фенотип и временная причинность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Внутренние модели показывают активность в отдельных режимах: раннее снижение уксусных корчей через 30 мин при 60-300 мг/кг per os [S13], эффекты в capsaicin и i.p. hot-plate моделях [S06, S14], противоотечные сигналы в carrageenan и Compound 48/80 [S07, S10, S15], а также изменение болевого порога при хроническом цистите без улучшения массы мочевого пузыря [S16]. Эффекты непостоянны по времени, пути введения и дозе; поздние уксусные корчи и часть per os hot-plate режимов отрицательны [S08, S09, S12]. Метааналитическое объединение этих опытов некорректно из-за различий протоколов и неполного PK/PD.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Начало анальгетического эффекта через 20-30 мин плохо согласуется с механизмом, требующим обновления зрелого поверхностного pE-CD47. Для быстро секретируемых CCL2/CCL7 такая динамика теоретически возможна, но time-resolved pE-chemokine не измерялся. Следовательно, быстрый фенотип рассматривается как механизм-неспецифический до генетической эпистатики и временного субстратного PD.</w:t>
      </w:r>
    </w:p>
    <w:p>
      <w:pPr>
        <w:pStyle w:val="Heading3"/>
        <w:ind w:firstLine="0"/>
        <w:keepNext/>
      </w:pPr>
      <w:r>
        <w:t>9.4.6. Off-target противоречие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В одноточечном DiscoverX PathHunter при 50 мкМ зарегистрированы H1 agonism 88%, H4 agonism 93% и H3 antagonism 81% [S04, S05]. Ортогональные первичные отчеты дают лишь предварительные binding Ki 4,4 мкМ для H3 и 28 мкМ для H4, не подтверждают пороговую функциональную активность H1/H3 до 10 мкМ и не подтверждают H1 Ca2+ agonism/antagonism до 648 мкМ [S01-S03]. Значения KB 0,59/5,2/3,5 мкМ, приведенные в сводном болевом документе, не прослеживаются до приложенных первичных отчетов и исключены из количественного анализа. Требуется новый matched concentration-response пакет в одной химической форме.</w:t>
      </w:r>
    </w:p>
    <w:p>
      <w:pPr>
        <w:pStyle w:val="Heading3"/>
        <w:ind w:firstLine="0"/>
        <w:keepNext/>
      </w:pPr>
      <w:r>
        <w:t>9.4.7. Статус XC7 и обязательные gates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XC7 переводится из категории «чисто фенотипический актив» в категорию «предварительный двойной QPCT/QPCTL early lead/tool». Этот апгрейд не является номинацией кандидата: прямые enzyme/cellular данные доступны только через вторичный сводный документ, potency находится в микромолярном диапазоне, свободный PK/PD-мост и in vivo substrate TE отсутствуют, а off-target и кинетические противоречия не разрешены.</w:t>
      </w:r>
    </w:p>
    <w:p>
      <w:pPr>
        <w:pStyle w:val="Heading2"/>
        <w:ind w:firstLine="0"/>
        <w:keepNext/>
      </w:pPr>
      <w:r>
        <w:t>9.5. Доказательный каскад XC7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177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c7_casca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77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/>
        <w:jc w:val="center"/>
      </w:pPr>
      <w:r>
        <w:rPr>
          <w:rFonts w:ascii="Times New Roman" w:hAnsi="Times New Roman" w:eastAsia="Times New Roman"/>
          <w:b w:val="0"/>
          <w:i/>
          <w:sz w:val="18"/>
        </w:rPr>
        <w:t>Рисунок 2. Доказательный мост XC7 и незакрытые stop/go gates.</w:t>
      </w:r>
    </w:p>
    <w:p>
      <w:pPr>
        <w:sectPr>
          <w:pgSz w:w="11906" w:h="16838"/>
          <w:pgMar w:top="1134" w:right="850" w:bottom="1020" w:left="1701" w:header="454" w:footer="454" w:gutter="0"/>
          <w:cols w:space="720"/>
          <w:docGrid w:linePitch="360"/>
        </w:sectPr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713"/>
        <w:gridCol w:w="3713"/>
        <w:gridCol w:w="3713"/>
        <w:gridCol w:w="3713"/>
      </w:tblGrid>
      <w:tr>
        <w:trPr>
          <w:tblHeader w:val="true"/>
          <w:cantSplit w:val="true"/>
        </w:trPr>
        <w:tc>
          <w:tcPr>
            <w:tcW w:type="dxa" w:w="3713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145" w:type="dxa"/>
              <w:start w:w="85" w:type="dxa"/>
              <w:bottom w:w="14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Ступень</w:t>
            </w:r>
          </w:p>
        </w:tc>
        <w:tc>
          <w:tcPr>
            <w:tcW w:type="dxa" w:w="3713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145" w:type="dxa"/>
              <w:start w:w="85" w:type="dxa"/>
              <w:bottom w:w="14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Наличие данных</w:t>
            </w:r>
          </w:p>
        </w:tc>
        <w:tc>
          <w:tcPr>
            <w:tcW w:type="dxa" w:w="3713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145" w:type="dxa"/>
              <w:start w:w="85" w:type="dxa"/>
              <w:bottom w:w="14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Уровень уверенности</w:t>
            </w:r>
          </w:p>
        </w:tc>
        <w:tc>
          <w:tcPr>
            <w:tcW w:type="dxa" w:w="3713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145" w:type="dxa"/>
              <w:start w:w="85" w:type="dxa"/>
              <w:bottom w:w="14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9"/>
              </w:rPr>
              <w:t>Решение</w:t>
            </w:r>
          </w:p>
        </w:tc>
      </w:tr>
      <w:tr>
        <w:trPr>
          <w:cantSplit w:val="true"/>
        </w:trPr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Химическая идентичность партии</w:t>
            </w:r>
          </w:p>
        </w:tc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частично</w:t>
            </w:r>
          </w:p>
        </w:tc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низкий</w:t>
            </w:r>
          </w:p>
        </w:tc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зафиксировать форму, чистоту и molar bridge</w:t>
            </w:r>
          </w:p>
        </w:tc>
      </w:tr>
      <w:tr>
        <w:trPr>
          <w:cantSplit w:val="true"/>
        </w:trPr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Рекомбинантные QPCT/QPCTL</w:t>
            </w:r>
          </w:p>
        </w:tc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да, через сводный источник</w:t>
            </w:r>
          </w:p>
        </w:tc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низкий-умеренный</w:t>
            </w:r>
          </w:p>
        </w:tc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независимо воспроизвести matched assay</w:t>
            </w:r>
          </w:p>
        </w:tc>
      </w:tr>
      <w:tr>
        <w:trPr>
          <w:cantSplit w:val="true"/>
        </w:trPr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Biophysical binding</w:t>
            </w:r>
          </w:p>
        </w:tc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QPCT SPR</w:t>
            </w:r>
          </w:p>
        </w:tc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низкий</w:t>
            </w:r>
          </w:p>
        </w:tc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приложить первичный sensorgram и reference control</w:t>
            </w:r>
          </w:p>
        </w:tc>
      </w:tr>
      <w:tr>
        <w:trPr>
          <w:cantSplit w:val="true"/>
        </w:trPr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Proximal cellular PD</w:t>
            </w:r>
          </w:p>
        </w:tc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pE-CD47 в LX-2</w:t>
            </w:r>
          </w:p>
        </w:tc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низкий</w:t>
            </w:r>
          </w:p>
        </w:tc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повторить с total/surface CD47, viability и time course</w:t>
            </w:r>
          </w:p>
        </w:tc>
      </w:tr>
      <w:tr>
        <w:trPr>
          <w:cantSplit w:val="true"/>
        </w:trPr>
        <w:tc>
          <w:tcPr>
            <w:tcW w:type="dxa" w:w="3713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Substrate-specific inflammation PD</w:t>
            </w:r>
          </w:p>
        </w:tc>
        <w:tc>
          <w:tcPr>
            <w:tcW w:type="dxa" w:w="3713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нет</w:t>
            </w:r>
          </w:p>
        </w:tc>
        <w:tc>
          <w:tcPr>
            <w:tcW w:type="dxa" w:w="3713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недостаточно</w:t>
            </w:r>
          </w:p>
        </w:tc>
        <w:tc>
          <w:tcPr>
            <w:tcW w:type="dxa" w:w="3713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разработать pE-CCL2/CCL7 assay</w:t>
            </w:r>
          </w:p>
        </w:tc>
      </w:tr>
      <w:tr>
        <w:trPr>
          <w:cantSplit w:val="true"/>
        </w:trPr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Функциональный клеточный эффект</w:t>
            </w:r>
          </w:p>
        </w:tc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chemotaxis и BioMAP</w:t>
            </w:r>
          </w:p>
        </w:tc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низкий</w:t>
            </w:r>
          </w:p>
        </w:tc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добавить генетический rescue/epistasis</w:t>
            </w:r>
          </w:p>
        </w:tc>
      </w:tr>
      <w:tr>
        <w:trPr>
          <w:cantSplit w:val="true"/>
        </w:trPr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 vivo phenotype</w:t>
            </w:r>
          </w:p>
        </w:tc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да, неоднородно</w:t>
            </w:r>
          </w:p>
        </w:tc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умеренный для отдельных моделей</w:t>
            </w:r>
          </w:p>
        </w:tc>
        <w:tc>
          <w:tcPr>
            <w:tcW w:type="dxa" w:w="3713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приписывать мишени без PD</w:t>
            </w:r>
          </w:p>
        </w:tc>
      </w:tr>
      <w:tr>
        <w:trPr>
          <w:cantSplit w:val="true"/>
        </w:trPr>
        <w:tc>
          <w:tcPr>
            <w:tcW w:type="dxa" w:w="3713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Свободный plasma/tissue PK</w:t>
            </w:r>
          </w:p>
        </w:tc>
        <w:tc>
          <w:tcPr>
            <w:tcW w:type="dxa" w:w="3713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нет полного набора</w:t>
            </w:r>
          </w:p>
        </w:tc>
        <w:tc>
          <w:tcPr>
            <w:tcW w:type="dxa" w:w="3713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недостаточно</w:t>
            </w:r>
          </w:p>
        </w:tc>
        <w:tc>
          <w:tcPr>
            <w:tcW w:type="dxa" w:w="3713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определить fu,p/fu,tissue и intracellular coverage</w:t>
            </w:r>
          </w:p>
        </w:tc>
      </w:tr>
      <w:tr>
        <w:trPr>
          <w:cantSplit w:val="true"/>
        </w:trPr>
        <w:tc>
          <w:tcPr>
            <w:tcW w:type="dxa" w:w="3713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In vivo substrate TE</w:t>
            </w:r>
          </w:p>
        </w:tc>
        <w:tc>
          <w:tcPr>
            <w:tcW w:type="dxa" w:w="3713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нет</w:t>
            </w:r>
          </w:p>
        </w:tc>
        <w:tc>
          <w:tcPr>
            <w:tcW w:type="dxa" w:w="3713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недостаточно</w:t>
            </w:r>
          </w:p>
        </w:tc>
        <w:tc>
          <w:tcPr>
            <w:tcW w:type="dxa" w:w="3713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обязательный stop/go gate</w:t>
            </w:r>
          </w:p>
        </w:tc>
      </w:tr>
      <w:tr>
        <w:trPr>
          <w:cantSplit w:val="true"/>
        </w:trPr>
        <w:tc>
          <w:tcPr>
            <w:tcW w:type="dxa" w:w="3713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Клинические данные</w:t>
            </w:r>
          </w:p>
        </w:tc>
        <w:tc>
          <w:tcPr>
            <w:tcW w:type="dxa" w:w="3713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нет</w:t>
            </w:r>
          </w:p>
        </w:tc>
        <w:tc>
          <w:tcPr>
            <w:tcW w:type="dxa" w:w="3713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отсутствует</w:t>
            </w:r>
          </w:p>
        </w:tc>
        <w:tc>
          <w:tcPr>
            <w:tcW w:type="dxa" w:w="3713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155" w:type="dxa"/>
              <w:start w:w="85" w:type="dxa"/>
              <w:bottom w:w="15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не экстраполировать</w:t>
            </w:r>
          </w:p>
        </w:tc>
      </w:tr>
    </w:tbl>
    <w:p>
      <w:pPr>
        <w:spacing w:after="0"/>
      </w:pPr>
    </w:p>
    <w:p>
      <w:pPr>
        <w:sectPr>
          <w:pgSz w:w="16838" w:h="11906" w:orient="landscape"/>
          <w:pgMar w:top="1134" w:right="850" w:bottom="1020" w:left="1134" w:header="454" w:footer="454" w:gutter="0"/>
          <w:cols w:space="720"/>
          <w:docGrid w:linePitch="360"/>
        </w:sectPr>
      </w:pPr>
    </w:p>
    <w:p>
      <w:pPr>
        <w:pStyle w:val="Heading1"/>
        <w:ind w:firstLine="0"/>
        <w:keepNext/>
      </w:pPr>
      <w:r>
        <w:t>10. ОНКОЛОГИЧЕСКИЕ ЗАБОЛЕВАНИЯ</w:t>
      </w:r>
    </w:p>
    <w:p>
      <w:pPr>
        <w:pStyle w:val="Heading2"/>
        <w:ind w:firstLine="0"/>
        <w:keepNext/>
      </w:pPr>
      <w:r>
        <w:t>10.1. Валидация мишени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Онкология имеет наиболее прямой proximal biomarker - pE-CD47. Генетические данные, SIRPα-binding и фагоцитоз формируют убедительный target-validation package [1-4]. Дополнительное преимущество малой молекулы - воздействие на биосинтез нового CD47 без необходимости системного связывания большого antigen sink. Однако предполагаемое уменьшение анемии по сравнению с anti-CD47-антителами остается гипотезой до появления человеческих данных QPCTL inhibitors.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Сила причинной цепочки неодинакова по уровням. Связь QPCTL с pE-CD47 и SIRPα-binding подтверждена сильно; усиление фагоцитоза - умеренно-сильно и зависит от pro-phagocytic partner; регрессия опухоли через этот конкретный субстрат - предварительно, поскольку опубликованные in vivo эксперименты не закрывают опухолевой PK/PD и эпистаз.</w:t>
      </w:r>
    </w:p>
    <w:p>
      <w:pPr>
        <w:pStyle w:val="Heading2"/>
        <w:ind w:firstLine="0"/>
        <w:keepNext/>
      </w:pPr>
      <w:r>
        <w:t>10.2. Клеточные системы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Минимальный human cellular panel должен включать B-клеточную опухоль с anti-CD20, HER2-положительную линию с trastuzumab, TNBC и одну опухоль с низким исходным SIRPα-binding. В каждой системе измеряются QPCTL abundance, total/surface CD47, pE-CD47 независимым от терапевтического эпитопа методом, SIRPα-Fc binding, intracellular compound, viability и фагоцитоз первичными человеческими макрофагами. QPCTL knockout, wild-type rescue и catalytically dead rescue отделяют target-specific эффект от общей цитотоксичности и нарушения секреторного пути.</w:t>
      </w:r>
    </w:p>
    <w:p>
      <w:pPr>
        <w:pStyle w:val="Heading2"/>
        <w:ind w:firstLine="0"/>
        <w:keepNext/>
      </w:pPr>
      <w:r>
        <w:t>10.3. Животные модели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Модель должна одновременно обеспечивать иммунокомпетентный фон, species-active compound и возможность измерить опухолевой PD. Для QP5038 B16F10 подтверждает иммунозависимый add-on эффект с anti-PD-1, но не доказывает CD47-специфичность [7]. Для ISM8207 4T1 поддерживает комбинационную активность, однако публичные методы и опухолевой PK/PD неполны [8]. Следующий подтверждающий опыт должен включать опухолевую концентрацию свободного препарата, time-course pE-CD47, SIRPα-binding, состав миелоидных и T-клеточных популяций и заранее заданный тест взаимодействия препаратов.</w:t>
      </w:r>
    </w:p>
    <w:p>
      <w:pPr>
        <w:pStyle w:val="Heading2"/>
        <w:ind w:firstLine="0"/>
        <w:keepNext/>
      </w:pPr>
      <w:r>
        <w:t>10.4. Комбинационные стратегии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Приоритетны комбинации, создающие независимый сигнал «eat me» или адаптивное иммунное давление: anti-CD20 для B-клеточных опухолей, trastuzumab для HER2-положительных опухолей, anti-PD-1/PD-L1 при подтвержденном ремоделировании микроокружения. Монотерапия нужна как обязательная контрольная группа, но не должна быть единственным критерием жизнеспособности программы. Для каждого партнера требуются Fc-competent/Fc-silent controls либо иной способ отделить опсонизацию от прямого цитостатического эффекта.</w:t>
      </w:r>
    </w:p>
    <w:p>
      <w:pPr>
        <w:pStyle w:val="Heading2"/>
        <w:ind w:firstLine="0"/>
        <w:keepNext/>
      </w:pPr>
      <w:r>
        <w:t>10.5. Выбор опухолей и биомаркеров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B-клеточные опухоли. Сильный Fc-зависимый партнер anti-CD20, измеримый ex vivo response и возможность серийного анализа pE-CD47.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HER2-положительные опухоли. Биологически логичная опсонизация, но клинический benchmark evorpacept требует строгого контроля добавочной пользы.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TNBC. Поддерживается доклинической программой ISM8207; необходимы human primary systems и разделение CD47- и CCL2-зависимых эффектов.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Меланома. Учитывать модификацию TRP1 и зависимость antibody binding от пироглутамилирования [4].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Предпочтительная биомаркерная панель: QPCTL expression/activity, доля pE-CD47 при сохраненном total CD47, baseline SIRPα-binding, Fc-receptor competence эффекторных клеток, CCL2/CCL7 signatures и присутствие опсонизируемого опухолевого антигена. Одна высокая экспрессия CD47 недостаточна.</w:t>
      </w:r>
    </w:p>
    <w:p>
      <w:pPr>
        <w:pStyle w:val="Heading2"/>
        <w:ind w:firstLine="0"/>
        <w:keepNext/>
      </w:pPr>
      <w:r>
        <w:t>10.6. Клинический контекст оси CD47-SIRPα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Три рандомизированных исследования III фазы magrolimab не подтвердили пользу: ENHANCE при высокорисковом миелодиспластическом синдроме, ENHANCE-2 при TP53-мутированном остром миелоидном лейкозе и ENHANCE-3 при впервые диагностированном ОМЛ у пациентов, непригодных для интенсивной терапии. ENHANCE-3 сопровождался избытком фатальных событий [19-21]. Два контролируемых исследования evorpacept при HNSCC также не установили добавочную эффективность [23]. Предварительные сигналы evorpacept в HER2-положительном раке желудка и ligufalimab при ОМЛ остаются неподтвержденными [22, 24].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Эти результаты не доказывают неэффективность QPCTL inhibition: малая молекула меняет pE созревающего CD47, одновременно влияет на хемокины и не имеет Fc. Но они повышают требования к программе: нужна биомаркерная селекция; комбинация должна иметь независимый pro-phagocytic signal; comparator arm должен отделять вклад партнера; анемия, тромбоцитопения, инфекции и миелоидные изменения должны измеряться проспективно; ранний ORR не заменяет PFS/OS.</w:t>
      </w:r>
    </w:p>
    <w:p>
      <w:pPr>
        <w:pStyle w:val="Heading2"/>
        <w:ind w:firstLine="0"/>
        <w:keepNext/>
      </w:pPr>
      <w:r>
        <w:t>10.7. Итог по онкологии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Go допускается, если одновременно достигнуты: ≥30-fold matched biochemical QPCTL/QPCT selectivity или обоснованный dual profile; cellular pE-CD47 EC₉₀ при переносимой свободной экспозиции; функциональная EC₅₀ в пределах ≤10-fold от pE-CD47 EC₅₀; intratumoral pE-CD47 PD; потеря эффекта в QPCTL-null или CD47/SIRPα-epistasis control; воспроизводимая комбинационная польза с interaction analysis. Иначе - no-go для клинической онкологии, но не обязательно для химической серии.</w:t>
      </w:r>
    </w:p>
    <w:p>
      <w:pPr>
        <w:pStyle w:val="Heading1"/>
        <w:ind w:firstLine="0"/>
        <w:keepNext/>
      </w:pPr>
      <w:r>
        <w:t>11. ВОСПАЛИТЕЛЬНЫЕ ЗАБОЛЕВАНИЯ</w:t>
      </w:r>
    </w:p>
    <w:p>
      <w:pPr>
        <w:pStyle w:val="Heading2"/>
        <w:ind w:firstLine="0"/>
        <w:keepNext/>
      </w:pPr>
      <w:r>
        <w:t>11.1. Хемокиновая биология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QPCTL поддерживает стабильность и функцию CCL2/CCL7, а loss-of-function изменяет моноцитарную миграцию и воспалительную инфильтрацию [3, 10]. Это делает воспалительные заболевания логичным направлением, особенно при биомаркерно подтвержденной CCL2-axis activation. Одновременно множественность субстратов создает риск широкого иммунного ремоделирования и требует определения желательного уровня, длительности и компартмента ингибирования.</w:t>
      </w:r>
    </w:p>
    <w:p>
      <w:pPr>
        <w:pStyle w:val="Heading2"/>
        <w:ind w:firstLine="0"/>
        <w:keepNext/>
      </w:pPr>
      <w:r>
        <w:t>11.2. Почечное воспаление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Почка является наиболее трансляционно развитым воспалительным направлением из-за повторяющегося eGFR-сигнала varoglutamstat и сообщения о связи снижения pE-CCL2 с улучшением eGFR slope [14-16]. Однако доказательная цепочка еще не завершена: нужна верификация pE-CCL2 assay, контроль total CCL2 и функции CCR2, отделение гемодинамического эффекта от противовоспалительного и специализированное исследование при DKD на фоне современного standard of care.</w:t>
      </w:r>
    </w:p>
    <w:p>
      <w:pPr>
        <w:pStyle w:val="Heading2"/>
        <w:ind w:firstLine="0"/>
        <w:keepNext/>
      </w:pPr>
      <w:r>
        <w:t>11.3. Другие воспалительные показания и внутренние модели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Астма как человеческий precedent.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XC8 прошел фазу I и фазу IIa при астме [17, 18]. В фазе I не было тяжелых нежелательных явлений, изучена системная PK. В фазе IIa активная группа улучшалась относительно baseline, но placebo также улучшился; первичная межгрупповая конечная точка FEV₁ не была достигнута. Сигналы в малых подгруппах с эозинофилами или IFN-γ имеют высокий риск post hoc/multiplicity bias. Поскольку QPCT/QPCTL potency, pE-хемокины и target coverage не были надежно связаны, исследование информирует о molecule/program, но не является строгой проверкой класса.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Внутренние отчеты показывают фенотипические эффекты: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Модель</w:t>
            </w:r>
          </w:p>
        </w:tc>
        <w:tc>
          <w:tcPr>
            <w:tcW w:type="dxa" w:w="3118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Режим/основной сигнал</w:t>
            </w:r>
          </w:p>
        </w:tc>
        <w:tc>
          <w:tcPr>
            <w:tcW w:type="dxa" w:w="3118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Интерпретация для QPCT/QPCTL</w:t>
            </w:r>
          </w:p>
        </w:tc>
      </w:tr>
      <w:tr>
        <w:trPr>
          <w:cantSplit w:val="true"/>
        </w:trPr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Каррагениновый отек/аллодиния</w:t>
            </w:r>
          </w:p>
        </w:tc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перорально 6-54 мг/кг; эффекты в отдельных сроках 2-24 ч</w:t>
            </w:r>
          </w:p>
        </w:tc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поддержка противовоспалительного/анальгетического фенотипа; target causality отсутствует [S07, S10]</w:t>
            </w:r>
          </w:p>
        </w:tc>
      </w:tr>
      <w:tr>
        <w:trPr>
          <w:cantSplit w:val="true"/>
        </w:trPr>
        <w:tc>
          <w:tcPr>
            <w:tcW w:type="dxa" w:w="3118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Циклофосфамидный хронический цистит</w:t>
            </w:r>
          </w:p>
        </w:tc>
        <w:tc>
          <w:tcPr>
            <w:tcW w:type="dxa" w:w="3118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4,5-54 мг/кг ежедневно; улучшение болевых порогов</w:t>
            </w:r>
          </w:p>
        </w:tc>
        <w:tc>
          <w:tcPr>
            <w:tcW w:type="dxa" w:w="3118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disease-model signal; нет enzyme/PD/PK [S16]</w:t>
            </w:r>
          </w:p>
        </w:tc>
      </w:tr>
      <w:tr>
        <w:trPr>
          <w:cantSplit w:val="true"/>
        </w:trPr>
        <w:tc>
          <w:tcPr>
            <w:tcW w:type="dxa" w:w="3118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Уксусные корчи</w:t>
            </w:r>
          </w:p>
        </w:tc>
        <w:tc>
          <w:tcPr>
            <w:tcW w:type="dxa" w:w="3118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эффект через 1 ч при 15-300 мг/кг; нет эффекта через 4-6 ч до 600 мг/кг</w:t>
            </w:r>
          </w:p>
        </w:tc>
        <w:tc>
          <w:tcPr>
            <w:tcW w:type="dxa" w:w="3118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острый фенотип, выраженная зависимость от time point; положительные контроли на поздних сроках также не сработали [S08, S09, S11]</w:t>
            </w:r>
          </w:p>
        </w:tc>
      </w:tr>
      <w:tr>
        <w:trPr>
          <w:cantSplit w:val="true"/>
        </w:trPr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Капсаициновая боль</w:t>
            </w:r>
          </w:p>
        </w:tc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18-180 мг/кг, начало около 15 мин, увеличение порога</w:t>
            </w:r>
          </w:p>
        </w:tc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Критическое противоречие: кинетически трудно связать с обновлением pE-субстрата без быстрого PK/PD [S14]</w:t>
            </w:r>
          </w:p>
        </w:tc>
      </w:tr>
      <w:tr>
        <w:trPr>
          <w:cantSplit w:val="true"/>
        </w:trPr>
        <w:tc>
          <w:tcPr>
            <w:tcW w:type="dxa" w:w="3118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Compound 48/80</w:t>
            </w:r>
          </w:p>
        </w:tc>
        <w:tc>
          <w:tcPr>
            <w:tcW w:type="dxa" w:w="3118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30-90 мг/кг, увеличение latency</w:t>
            </w:r>
          </w:p>
        </w:tc>
        <w:tc>
          <w:tcPr>
            <w:tcW w:type="dxa" w:w="3118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допускает влияние на гистамин/мастоциты; QPCT/QPCTL не измерены [S15]</w:t>
            </w:r>
          </w:p>
        </w:tc>
      </w:tr>
      <w:tr>
        <w:trPr>
          <w:cantSplit w:val="true"/>
        </w:trPr>
        <w:tc>
          <w:tcPr>
            <w:tcW w:type="dxa" w:w="3118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Горячая пластина, per os</w:t>
            </w:r>
          </w:p>
        </w:tc>
        <w:tc>
          <w:tcPr>
            <w:tcW w:type="dxa" w:w="3118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7,5-300 мг/кг, анальгезия не подтверждена</w:t>
            </w:r>
          </w:p>
        </w:tc>
        <w:tc>
          <w:tcPr>
            <w:tcW w:type="dxa" w:w="3118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информативный отрицательный результат; comparator также частично не сработал [S12]</w:t>
            </w:r>
          </w:p>
        </w:tc>
      </w:tr>
      <w:tr>
        <w:trPr>
          <w:cantSplit w:val="true"/>
        </w:trPr>
        <w:tc>
          <w:tcPr>
            <w:tcW w:type="dxa" w:w="3118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Горячая пластина, i.p.</w:t>
            </w:r>
          </w:p>
        </w:tc>
        <w:tc>
          <w:tcPr>
            <w:tcW w:type="dxa" w:w="3118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6-60 мг/кг, +17-31%, начало 1 ч, до 8 ч</w:t>
            </w:r>
          </w:p>
        </w:tc>
        <w:tc>
          <w:tcPr>
            <w:tcW w:type="dxa" w:w="3118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route-dependent phenotype; требует plasma/brain PK и target PD [S06]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Эти данные не следует объединять в pooled effect: формы, routes, doses, виды боли и статистика различаются. Для вывода о QPCT/QPCTL нужны как минимум enzyme potency соответствующей формы, unbound PK, pE-CCL2/CCL7 или иной субстратный маркер и повторяемая dose-exposure-PD-effect relationship.</w:t>
      </w:r>
    </w:p>
    <w:p>
      <w:pPr>
        <w:pStyle w:val="Heading2"/>
        <w:ind w:firstLine="0"/>
        <w:keepNext/>
      </w:pPr>
      <w:r>
        <w:t>11.4. Итог по воспалению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Критическое противоречие: эффект через 15-60 минут может возникнуть раньше, чем существенно обновится пул зрелых pE-модифицированных мембранных/секреторных субстратов. Это не исключает QPCT/QPCTL-механизм полностью: часть хемокинов может иметь быстрый оборот, а высокая тканевая экспозиция может быстро блокировать образование новых молекул. Но без time-resolved substrate PD более простыми объяснениями остаются off-target-рецепторы, общая антиноцицепция, route/vehicle effect или статистическая вариабельность.</w:t>
      </w:r>
    </w:p>
    <w:p>
      <w:pPr>
        <w:pStyle w:val="Heading1"/>
        <w:ind w:firstLine="0"/>
        <w:keepNext/>
      </w:pPr>
      <w:r>
        <w:t>12. ФИБРОТИЧЕСКИЕ ЗАБОЛЕВАНИЯ</w:t>
      </w:r>
    </w:p>
    <w:p>
      <w:pPr>
        <w:pStyle w:val="Heading2"/>
        <w:ind w:firstLine="0"/>
        <w:keepNext/>
      </w:pPr>
      <w:r>
        <w:t>12.1. Общая патогенетическая рамка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Связь QPCT/QPCTL с фиброзом пока лучше описывается как воспалительно-фибротическая цепочка, а не как доказанный прямой эффект на коллаген: pE-хемокины → сохранение хемотаксической активности → рекрутирование моноцитов/макрофагов → хроническая продукция TGF-β и других профибротических медиаторов → активация миофибробластов и накопление матрикса. Прямая роль QPCT/QPCTL в созревании коллагена заявлена в корпоративных материалах, но конкретный субстрат, сайт модификации и rescue-эксперимент публично не установлены [16].</w:t>
      </w:r>
    </w:p>
    <w:p>
      <w:pPr>
        <w:pStyle w:val="Heading2"/>
        <w:ind w:firstLine="0"/>
        <w:keepNext/>
      </w:pPr>
      <w:r>
        <w:t>12.2. Легочный фиброз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Для идиопатического легочного фиброза и других интерстициальных заболеваний прямой кандидат-специфический пакет не найден. Биологическая правдоподобность основана на CCL2/моноцитарной оси и хронической активации макрофагов, но отсутствуют matched данные в bleomycin- или silica-моделях с разделением воспалительной и фибротической фаз. До позиционирования показания требуются профилактический и терапевтический режимы, lung unbound PK, pE-CCL2/CCL7, hydroxyproline, quantitative histomorphometry и pulmonary function.</w:t>
      </w:r>
    </w:p>
    <w:p>
      <w:pPr>
        <w:pStyle w:val="Heading2"/>
        <w:ind w:firstLine="0"/>
        <w:keepNext/>
      </w:pPr>
      <w:r>
        <w:t>12.3. Печеночный фиброз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Для MASH/печеночного фиброза CCL2-зависимое рекрутирование моноцитов является релевантной ветвью, однако прямые данные по QPCT/QPCTL inhibitor в валидированной модели с exposure-PD bridge ограничены. Нужны модели с устойчивым фиброзом, а не только стеатозом/воспалением; обязательны liver compound concentration, pE-хемокины, collagen proportionate area, hydroxyproline и раздельная оценка гепатоцеллюлярного повреждения.</w:t>
      </w:r>
    </w:p>
    <w:p>
      <w:pPr>
        <w:pStyle w:val="Heading2"/>
        <w:ind w:firstLine="0"/>
        <w:keepNext/>
      </w:pPr>
      <w:r>
        <w:t>12.4. Почечный фиброз и клинический почечный сигнал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В анализе VIVIAD сообщена разница slope eGFR около +3,4 мл/мин/1,73 м²/год; в малой диабетической подгруппе - более крупный эффект. Направление сигнала было также описано в VIVA-MIND. Однако это исследования ранней болезни Альцгеймера, а не специализированные DKD trials; endpoint не был основной disease-efficacy конечной точкой, диабетические подгруппы малы, а полные почечные результаты преимущественно представлены разработчиком [14-16]. В 2025 г. разработчик сообщил корреляцию снижения pE-CCL2 с улучшением eGFR slope, что усиливает механистическую согласованность, но остается вторичным анализом и не заменяет рандомизированное подтверждение в DKD. Классификация: предварительный клинический сигнал, низкая-умеренная уверенность.</w:t>
      </w:r>
    </w:p>
    <w:p>
      <w:pPr>
        <w:pStyle w:val="Heading2"/>
        <w:ind w:firstLine="0"/>
        <w:keepNext/>
      </w:pPr>
      <w:r>
        <w:t>12.5. Другие органы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Для сердечного, кожного и кишечного фиброза прямой публичный пакет недостаточен. Эти направления не следует ранжировать только по наличию CCL2 в патогенезе: требуется доказательство экспрессии/активности QPCT/QPCTL, существования релевантного pE-субстрата и возможности достичь органной экспозиции без неприемлемой системной иммуномодуляции.</w:t>
      </w:r>
    </w:p>
    <w:p>
      <w:pPr>
        <w:pStyle w:val="Heading2"/>
        <w:ind w:firstLine="0"/>
        <w:keepNext/>
      </w:pPr>
      <w:r>
        <w:t>12.6. Валидность антифибротического фенотипа и доклиническая поддержка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Разработчик сообщил, что varoglutamstat в ReninAAV uninephrectomized db/db model уменьшал CD11c-сигнал, гломерулосклероз и plasma creatinine; также предложена новая роль QPCT/L в созревании коллагена [16]. Эти данные полезны для дизайна подтверждающего пакета, но требуют peer-reviewed methods, individual data, exposure/PD, воспроизведения и substrate assignment.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Антифибротический вывод допустим только при отделении от общетоксического, противовоспалительного и гемодинамического эффектов. Снижение экспрессии COL1A1/αSMA/fibronectin in vitro должно сопровождаться viability, proliferation и global protein synthesis controls; в vivo - количественной морфометрией, биохимическим коллагеном и функциональным органным endpoint. Обратная или немонотонная dose-response без intracellular exposure не подтверждает специфическую фармакологию.</w:t>
      </w:r>
    </w:p>
    <w:p>
      <w:pPr>
        <w:pStyle w:val="Heading2"/>
        <w:ind w:firstLine="0"/>
        <w:keepNext/>
      </w:pPr>
      <w:r>
        <w:t>12.7. Предлагаемая последовательность подтверждения и go/no-go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Подтвердить QPCT/QPCTL expression, activity и pE-substrate landscape в человеческой DKD-почке и фиброзных тканях.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Сопоставить selective-QPCTL, selective-QPCT и dual compounds в одинаковой модели.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Измерить renal unbound exposure и pE-CCL2/CCL7/другие релевантные субстраты.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Проверить ранние воспалительные endpoints и поздние matrix/histology endpoints.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Выполнить genetic rescue или substrate-resistant control.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Только после dose-exposure-PD-effect bridge выбирать биомаркерную клиническую популяцию.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Go требует воспроизводимого эффекта минимум в двух моделях с различной этиологией, согласованного renal PD, сохранения эффекта после поправки на гемодинамику/глюкозу и наличия human translational marker. Снижение одного histology score без renal exposure и pE-marker недостаточно.</w:t>
      </w:r>
    </w:p>
    <w:p>
      <w:pPr>
        <w:pStyle w:val="Heading1"/>
        <w:ind w:firstLine="0"/>
        <w:keepNext/>
      </w:pPr>
      <w:r>
        <w:t>13. DMPK, PK И ТКАНЕВАЯ ЭКСПОЗИЦИЯ</w:t>
      </w:r>
    </w:p>
    <w:p>
      <w:pPr>
        <w:pStyle w:val="Heading2"/>
        <w:ind w:firstLine="0"/>
        <w:keepNext/>
      </w:pPr>
      <w:r>
        <w:t>13.1. ADME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Для внутриклеточного Golgi target недостаточно высокой plasma total concentration. Нужны свободная фракция, клеточная проницаемость, lysosomal trapping/organellar distribution, active efflux и фактическая внутриклеточная концентрация. Для QPCTL также важны время до обновления субстрата и длительность удержания PD после снижения плазменной концентрации.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Минимальный ADME-пакет включает kinetic solubility в релевантных pH, passive permeability и efflux, plasma/protein binding, blood-to-plasma ratio, microsomal и hepatocyte stability у человека/мыши/крысы, metabolite identification, CYP inhibition/induction и transporter liabilities. Значения должны относиться к конкретной форме и batch соединения. Для QP5038 сочетание высокой Caco-2 permeability с прогнозируемой высокой печеночной экстракцией показывает, почему один параметр не определяет developability [7].</w:t>
      </w:r>
    </w:p>
    <w:p>
      <w:pPr>
        <w:pStyle w:val="Heading2"/>
        <w:ind w:firstLine="0"/>
        <w:keepNext/>
      </w:pPr>
      <w:r>
        <w:t>13.2. Фармакокинетика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3118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Кандидат</w:t>
            </w:r>
          </w:p>
        </w:tc>
        <w:tc>
          <w:tcPr>
            <w:tcW w:type="dxa" w:w="3118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Сильная сторона</w:t>
            </w:r>
          </w:p>
        </w:tc>
        <w:tc>
          <w:tcPr>
            <w:tcW w:type="dxa" w:w="3118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Критический пробел</w:t>
            </w:r>
          </w:p>
        </w:tc>
      </w:tr>
      <w:tr>
        <w:trPr>
          <w:cantSplit w:val="true"/>
        </w:trPr>
        <w:tc>
          <w:tcPr>
            <w:tcW w:type="dxa" w:w="3118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QP5038</w:t>
            </w:r>
          </w:p>
        </w:tc>
        <w:tc>
          <w:tcPr>
            <w:tcW w:type="dxa" w:w="3118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высокая Caco-2 permeability, cellular potency</w:t>
            </w:r>
          </w:p>
        </w:tc>
        <w:tc>
          <w:tcPr>
            <w:tcW w:type="dxa" w:w="3118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 численного PK; QH 97%; CYP3A4 induction [7]</w:t>
            </w:r>
          </w:p>
        </w:tc>
      </w:tr>
      <w:tr>
        <w:trPr>
          <w:cantSplit w:val="true"/>
        </w:trPr>
        <w:tc>
          <w:tcPr>
            <w:tcW w:type="dxa" w:w="3118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ISM8207</w:t>
            </w:r>
          </w:p>
        </w:tc>
        <w:tc>
          <w:tcPr>
            <w:tcW w:type="dxa" w:w="3118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oral clinical formulation; sponsor reports completed PK/PD</w:t>
            </w:r>
          </w:p>
        </w:tc>
        <w:tc>
          <w:tcPr>
            <w:tcW w:type="dxa" w:w="3118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численные human/animal PK и fu не раскрыты [8, 9]</w:t>
            </w:r>
          </w:p>
        </w:tc>
      </w:tr>
      <w:tr>
        <w:trPr>
          <w:cantSplit w:val="true"/>
        </w:trPr>
        <w:tc>
          <w:tcPr>
            <w:tcW w:type="dxa" w:w="3118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PQ912</w:t>
            </w:r>
          </w:p>
        </w:tc>
        <w:tc>
          <w:tcPr>
            <w:tcW w:type="dxa" w:w="3118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human plasma/CSF PK и QC target engagement</w:t>
            </w:r>
          </w:p>
        </w:tc>
        <w:tc>
          <w:tcPr>
            <w:tcW w:type="dxa" w:w="3118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 доказан QPCTL/CD47 или renal substrate PD [12-16]</w:t>
            </w:r>
          </w:p>
        </w:tc>
      </w:tr>
      <w:tr>
        <w:trPr>
          <w:cantSplit w:val="true"/>
        </w:trPr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XC7/ХС7</w:t>
            </w:r>
          </w:p>
        </w:tc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preliminary QPCT/QPCTL, SPR, cellular pE-CD47 и несколько in vivo dose/route studies</w:t>
            </w:r>
          </w:p>
        </w:tc>
        <w:tc>
          <w:tcPr>
            <w:tcW w:type="dxa" w:w="3118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первичные raw reports, molar identity bridge, unbound PK и in vivo substrate PD отсутствуют [S01-S17]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Для сравнения режимов нужны clearance, Vss, t½, absolute oral bioavailability, dose proportionality, accumulation, active metabolites и inter-animal variability. Наблюдаемая активность XC7/ХС7 после i.p., но не oral hot-plate dosing, делает route-specific PK обязательным объясняющим слоем; одни дозы в мг/кг не позволяют различить недостаточную экспозицию и фармакодинамическую неактивность.</w:t>
      </w:r>
    </w:p>
    <w:p>
      <w:pPr>
        <w:pStyle w:val="Heading2"/>
        <w:ind w:firstLine="0"/>
        <w:keepNext/>
      </w:pPr>
      <w:r>
        <w:t>13.3. Тканевая экспозиция и PK/PD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Для каждой дозы и формы рассчитываются unbound Cmax, AUC, trough, time above biochemical IC₉₀ и cellular EC₉₀. Нужен molar conversion с учетом salt factor. PK/PD model должен включать lag between enzyme inhibition and substrate turnover. Для acute pain studies обязательны ранние точки 5, 15, 30, 60 минут, чтобы проверить совместимость с наблюдаемым onset.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В опухоли, почке, печени и легком измеряется не только total tissue concentration, но и unbound tissue exposure либо валидированная surrogate-оценка. Для QPCTL предпочтителен одновременный time-course внутриклеточной концентрации и субстратного PD. Достаточным мостом считается согласованная зависимость dose → unbound tissue concentration → pE-substrate suppression → functional endpoint, а не совпадение эффекта с номинальной дозой.</w:t>
      </w:r>
    </w:p>
    <w:p>
      <w:pPr>
        <w:pStyle w:val="Heading1"/>
        <w:ind w:firstLine="0"/>
        <w:keepNext/>
      </w:pPr>
      <w:r>
        <w:t>14. БЕЗОПАСНОСТЬ</w:t>
      </w:r>
    </w:p>
    <w:p>
      <w:pPr>
        <w:pStyle w:val="Heading2"/>
        <w:ind w:firstLine="0"/>
        <w:keepNext/>
      </w:pPr>
      <w:r>
        <w:t>14.1. Потенциальные on-target-риски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нарушение физиологической миграции моноцитов и ответа на инфекцию;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изменение нескольких хемокиновых осей;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влияние на эндокринные пептиды и CNS substrates при dual/brain-penetrant inhibition;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нарушение нормальной функции CD47-SIRPα в тканевом гомеостазе;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тканеспецифические последствия хронического изменения матрикса.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Опыт PQ912 указывает на кожные/подкожные и желудочно-кишечные явления при высокой дозе, но их точная on-target природа не доказана [12, 13]. Отсутствие массивного antigen sink у малой молекулы не гарантирует отсутствия анемии или тромбоцитопении. Для ISM8207 клиническая гематологическая безопасность пока публично неизвестна [9].</w:t>
      </w:r>
    </w:p>
    <w:p>
      <w:pPr>
        <w:pStyle w:val="Heading2"/>
        <w:ind w:firstLine="0"/>
        <w:keepNext/>
      </w:pPr>
      <w:r>
        <w:t>14.2. Гематологическая безопасность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Потенциальное преимущество QPCTL inhibitor состоит в том, что зрелые эритроциты и тромбоциты не синтезируют новый CD47, поэтому краткосрочное ингибирование QPCTL не должно быстро заменять их исходный pE-CD47. Это механистически отличает подход от прямого anti-CD47, но не исключает хронические эффекты на клетки-предшественники, тромбоцитарный turnover и миелоидный гомеостаз. Нужны serial CBC, reticulocytes, hemolysis markers, platelet production/clearance, bone-marrow immunophenotyping и ex vivo SIRPα-binding на молодых и зрелых клеточных пулах.</w:t>
      </w:r>
    </w:p>
    <w:p>
      <w:pPr>
        <w:pStyle w:val="Heading2"/>
        <w:ind w:firstLine="0"/>
        <w:keepNext/>
      </w:pPr>
      <w:r>
        <w:t>14.3. Органная токсичность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Для хронических воспалительных и фибротических показаний критичны печень, почка, кожа/слизистые, желудочно-кишечный тракт и иммунная система. Оценка должна различать токсичность исходной молекулы, метаболита и on-target эффект широкого подавления pE-субстратов. CNS exposure желательно контролировать отдельно: для периферических показаний избыточное проникновение может расширить воздействие на нейропептидные субстраты без терапевтической необходимости.</w:t>
      </w:r>
    </w:p>
    <w:p>
      <w:pPr>
        <w:pStyle w:val="Heading2"/>
        <w:ind w:firstLine="0"/>
        <w:keepNext/>
      </w:pPr>
      <w:r>
        <w:t>14.4. Off-target pharmacology XC7/ХС7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В одноточечном PathHunter gpcrMAX-скрининге XC7·2HCl при 50 мкМ отмечены H1 agonism 88%, H4 agonism 93% и H3 antagonism 81%; CX3CR1 antagonism составил 40% [S04, S05]. В CEREP binding для DHC были получены предварительные H3 Kᵢ 4,4 мкМ и H4 Kᵢ 28 мкМ, H1/H2 были неактивны [S01]. В GTPγS 1 нМ-10 мкМ H1/H3 не достигли 50% активности, а в H1 Ca²⁺-анализе до 648 мкМ не выявлено подтвержденного agonism/antagonism [S02, S03].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Критическое противоречие: результаты функционально и количественно не согласуются. Возможные причины: различия chemical form/batch, receptor construct, cell background, pathway amplification, высокая единичная концентрация, precipitation/aggregation, reference normalization или технический артефакт. Корректный вывод - наличие сигнала риска, требующего подтверждения, а не доказанный H1/H4-агонизм.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Подтверждающая панель должна использовать один аналитически подтвержденный batch и одну форму, 10-12 concentrations, triplicate wells в ≥3 независимых запусках, vehicle/solubility controls, agonist и antagonist modes, orthogonal binding и second-messenger readouts. Приоритет: H1, H3, H4, CX3CR1, затем FFAR1, HTR1A и EDG1/S1PR1, где зарегистрированы атипичные отрицательные «potentiation» signals.</w:t>
      </w:r>
    </w:p>
    <w:p>
      <w:pPr>
        <w:pStyle w:val="Heading2"/>
        <w:ind w:firstLine="0"/>
        <w:keepNext/>
      </w:pPr>
      <w:r>
        <w:t>14.5. Иммунологические риски комбинаций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Комбинации с anti-PD-1/PD-L1, опсонизирующими антителами или цитотоксическими препаратами могут изменять риск инфекции, цитопений, воспалительного повреждения и нарушения репарации. Повторное введение должно включать функциональные host-defense assays, инфекционный мониторинг, cytokine panels и оценку wound healing. Нельзя переносить safety margin монотерапии на комбинацию без отдельного экспозиционного анализа.</w:t>
      </w:r>
    </w:p>
    <w:p>
      <w:pPr>
        <w:pStyle w:val="Heading2"/>
        <w:ind w:firstLine="0"/>
        <w:keepNext/>
      </w:pPr>
      <w:r>
        <w:t>14.6. Safety margin и минимальный пакет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hERG, Nav1.5, Cav1.2, broad receptor/ion-channel panel при кратной свободной клинической экспозиции; CYP inhibition/induction; transporter panel; reactive metabolites; Ames/micronucleus; cardiovascular/respiratory/CNS safety pharmacology; repeat-dose toxicology с hematology, cytokines, immunophenotyping, infections, liver/kidney and histopathology. Для хронических показаний нужен особый контроль иммунной компетентности и wound healing.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Safety margin рассчитывается по unbound concentrations: отношение минимальной экспозиции, вызывающей liability, к unbound exposure, обеспечивающей целевой tissue PD. Для предварительного решения желательно ≥10-кратное окно к подтвержденным GPCR/CYP liabilities и более консервативное окно для hERG, необратимых или реактивно-метаболитных рисков.</w:t>
      </w:r>
    </w:p>
    <w:p>
      <w:pPr>
        <w:pStyle w:val="Heading1"/>
        <w:ind w:firstLine="0"/>
        <w:keepNext/>
      </w:pPr>
      <w:r>
        <w:t>15. КЛИНИЧЕСКИЙ И КОНКУРЕНТНЫЙ ЛАНДШАФТ</w:t>
      </w:r>
    </w:p>
    <w:p>
      <w:pPr>
        <w:pStyle w:val="Heading2"/>
        <w:ind w:firstLine="0"/>
        <w:keepNext/>
      </w:pPr>
      <w:r>
        <w:t>15.1. Клиническая зрелость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На дату среза не идентифицирован QPCT/QPCTL inhibitor с подтвержденной клинической эффективностью в онкологии, воспалении или фиброзе. ISM8207 - recruiting phase I без публичных результатов [9]. Varoglutamstat имеет человеческую PK/безопасность, но отрицательную AD-эффективность и предварительный renal signal; специализированная DKD phase IIb остается планируемой и зависит от финансирования/партнерства [12-16]. XC8 достиг фазы IIa при астме, но не достиг первичного межгруппового endpoint [17, 18]. SC-2882 и DBPR22998 остаются доклиническими по найденным открытым данным [25, 26].</w:t>
      </w:r>
    </w:p>
    <w:p>
      <w:pPr>
        <w:pStyle w:val="Heading2"/>
        <w:ind w:firstLine="0"/>
        <w:keepNext/>
      </w:pPr>
      <w:r>
        <w:t>15.2. Конкурентные классы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Онкологическая конкуренция включает anti-CD47, anti-SIRPα, SIRPα-Fc decoys и bispecific formats. Отрицательные фазы III magrolimab делают рынок более требовательным к дифференциации. Для QPCTL inhibitor дифференцирующими признаками могут быть oral dosing, отсутствие Fc и возможность комбинированного CD47/chemokine remodeling. Эти преимущества пока предполагаемые; их нельзя считать установленными без клинических данных.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В DKD и фиброзе конкурентный стандарт включает SGLT2 inhibitors, finerenone, GLP-1 receptor agonists и множество anti-inflammatory/anti-fibrotic approaches. Небольшой eGFR-сигнал должен демонстрировать добавочную пользу поверх актуального standard of care, а не сравниваться с историческими placebo trajectories.</w:t>
      </w:r>
    </w:p>
    <w:p>
      <w:pPr>
        <w:pStyle w:val="Heading2"/>
        <w:ind w:firstLine="0"/>
        <w:keepNext/>
      </w:pPr>
      <w:r>
        <w:t>15.3. IP и CMC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Для QP5038 существует академическая disclosure и пересекающиеся патентные серии; точное заключение по claims и freedom-to-operate требует профессионального claim chart. Для ISM8207 опубликованы composition/crystal-form/combination families, но отсутствие code-to-structure mapping не позволяет независимо подтвердить покрытие конкретной сущности. IP зрелость серии не заменяет chemistry identity и CMC comparability.</w:t>
      </w:r>
    </w:p>
    <w:p>
      <w:pPr>
        <w:pStyle w:val="Heading1"/>
        <w:ind w:firstLine="0"/>
        <w:keepNext/>
      </w:pPr>
      <w:r>
        <w:t>16. ИНТЕГРИРОВАННАЯ ПРИОРИТИЗАЦИЯ И ПЛАН ПРИНЯТИЯ РЕШЕНИЙ</w:t>
      </w:r>
    </w:p>
    <w:p>
      <w:pPr>
        <w:pStyle w:val="Heading2"/>
        <w:ind w:firstLine="0"/>
        <w:keepNext/>
      </w:pPr>
      <w:r>
        <w:t>16.1. Сравнение направлений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 w:val="true"/>
          <w:cantSplit w:val="true"/>
        </w:trPr>
        <w:tc>
          <w:tcPr>
            <w:tcW w:type="dxa" w:w="155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Направление</w:t>
            </w:r>
          </w:p>
        </w:tc>
        <w:tc>
          <w:tcPr>
            <w:tcW w:type="dxa" w:w="155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Биологическая причинность</w:t>
            </w:r>
          </w:p>
        </w:tc>
        <w:tc>
          <w:tcPr>
            <w:tcW w:type="dxa" w:w="155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Человеческий сигнал</w:t>
            </w:r>
          </w:p>
        </w:tc>
        <w:tc>
          <w:tcPr>
            <w:tcW w:type="dxa" w:w="155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Доступный PD</w:t>
            </w:r>
          </w:p>
        </w:tc>
        <w:tc>
          <w:tcPr>
            <w:tcW w:type="dxa" w:w="155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Главный риск</w:t>
            </w:r>
          </w:p>
        </w:tc>
        <w:tc>
          <w:tcPr>
            <w:tcW w:type="dxa" w:w="155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Текущий приоритет</w:t>
            </w:r>
          </w:p>
        </w:tc>
      </w:tr>
      <w:tr>
        <w:trPr>
          <w:cantSplit w:val="true"/>
        </w:trPr>
        <w:tc>
          <w:tcPr>
            <w:tcW w:type="dxa" w:w="155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Онкология</w:t>
            </w:r>
          </w:p>
        </w:tc>
        <w:tc>
          <w:tcPr>
            <w:tcW w:type="dxa" w:w="155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высокая для QPCTL-pE-CD47; смешанная для TME</w:t>
            </w:r>
          </w:p>
        </w:tc>
        <w:tc>
          <w:tcPr>
            <w:tcW w:type="dxa" w:w="155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отсутствует для QPCTL inhibitor</w:t>
            </w:r>
          </w:p>
        </w:tc>
        <w:tc>
          <w:tcPr>
            <w:tcW w:type="dxa" w:w="155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pE-CD47/SIRPα</w:t>
            </w:r>
          </w:p>
        </w:tc>
        <w:tc>
          <w:tcPr>
            <w:tcW w:type="dxa" w:w="155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отрицательный benchmark оси, комбинационная зависимость</w:t>
            </w:r>
          </w:p>
        </w:tc>
        <w:tc>
          <w:tcPr>
            <w:tcW w:type="dxa" w:w="155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для target validation</w:t>
            </w:r>
          </w:p>
        </w:tc>
      </w:tr>
      <w:tr>
        <w:trPr>
          <w:cantSplit w:val="true"/>
        </w:trPr>
        <w:tc>
          <w:tcPr>
            <w:tcW w:type="dxa" w:w="155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DKD/почка</w:t>
            </w:r>
          </w:p>
        </w:tc>
        <w:tc>
          <w:tcPr>
            <w:tcW w:type="dxa" w:w="155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умеренная, multi-substrate</w:t>
            </w:r>
          </w:p>
        </w:tc>
        <w:tc>
          <w:tcPr>
            <w:tcW w:type="dxa" w:w="155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предварительный eGFR signal</w:t>
            </w:r>
          </w:p>
        </w:tc>
        <w:tc>
          <w:tcPr>
            <w:tcW w:type="dxa" w:w="155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pE-хемокины [нужно валидировать]</w:t>
            </w:r>
          </w:p>
        </w:tc>
        <w:tc>
          <w:tcPr>
            <w:tcW w:type="dxa" w:w="155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population/post hoc bias</w:t>
            </w:r>
          </w:p>
        </w:tc>
        <w:tc>
          <w:tcPr>
            <w:tcW w:type="dxa" w:w="155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 для translational replication</w:t>
            </w:r>
          </w:p>
        </w:tc>
      </w:tr>
      <w:tr>
        <w:trPr>
          <w:cantSplit w:val="true"/>
        </w:trPr>
        <w:tc>
          <w:tcPr>
            <w:tcW w:type="dxa" w:w="155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Другие воспалительные</w:t>
            </w:r>
          </w:p>
        </w:tc>
        <w:tc>
          <w:tcPr>
            <w:tcW w:type="dxa" w:w="155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умеренная</w:t>
            </w:r>
          </w:p>
        </w:tc>
        <w:tc>
          <w:tcPr>
            <w:tcW w:type="dxa" w:w="155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XC8 primary endpoint negative</w:t>
            </w:r>
          </w:p>
        </w:tc>
        <w:tc>
          <w:tcPr>
            <w:tcW w:type="dxa" w:w="155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pE-CCL2/CCL7</w:t>
            </w:r>
          </w:p>
        </w:tc>
        <w:tc>
          <w:tcPr>
            <w:tcW w:type="dxa" w:w="155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широкая иммуномодуляция</w:t>
            </w:r>
          </w:p>
        </w:tc>
        <w:tc>
          <w:tcPr>
            <w:tcW w:type="dxa" w:w="155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</w:tr>
      <w:tr>
        <w:trPr>
          <w:cantSplit w:val="true"/>
        </w:trPr>
        <w:tc>
          <w:tcPr>
            <w:tcW w:type="dxa" w:w="155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Фиброз вне почки</w:t>
            </w:r>
          </w:p>
        </w:tc>
        <w:tc>
          <w:tcPr>
            <w:tcW w:type="dxa" w:w="155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низкая-умеренная</w:t>
            </w:r>
          </w:p>
        </w:tc>
        <w:tc>
          <w:tcPr>
            <w:tcW w:type="dxa" w:w="155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отсутствует</w:t>
            </w:r>
          </w:p>
        </w:tc>
        <w:tc>
          <w:tcPr>
            <w:tcW w:type="dxa" w:w="155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[не определен]</w:t>
            </w:r>
          </w:p>
        </w:tc>
        <w:tc>
          <w:tcPr>
            <w:tcW w:type="dxa" w:w="155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developer-only и неясный субстрат</w:t>
            </w:r>
          </w:p>
        </w:tc>
        <w:tc>
          <w:tcPr>
            <w:tcW w:type="dxa" w:w="155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</w:tr>
      <w:tr>
        <w:trPr>
          <w:cantSplit w:val="true"/>
        </w:trPr>
        <w:tc>
          <w:tcPr>
            <w:tcW w:type="dxa" w:w="155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Острая боль</w:t>
            </w:r>
          </w:p>
        </w:tc>
        <w:tc>
          <w:tcPr>
            <w:tcW w:type="dxa" w:w="155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target causality низкая</w:t>
            </w:r>
          </w:p>
        </w:tc>
        <w:tc>
          <w:tcPr>
            <w:tcW w:type="dxa" w:w="155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отсутствует</w:t>
            </w:r>
          </w:p>
        </w:tc>
        <w:tc>
          <w:tcPr>
            <w:tcW w:type="dxa" w:w="155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[не определен]</w:t>
            </w:r>
          </w:p>
        </w:tc>
        <w:tc>
          <w:tcPr>
            <w:tcW w:type="dxa" w:w="155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быстрый onset/off-targets</w:t>
            </w:r>
          </w:p>
        </w:tc>
        <w:tc>
          <w:tcPr>
            <w:tcW w:type="dxa" w:w="155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exploratory only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Приоритет 1 имеет два параллельных смысла: онкология - лучший контекст для строгой механистической проверки; почка - лучший шанс воспроизвести уже наблюдавшийся человеческий сигнал. Это не означает готовность немедленно выбирать клиническую индикацию.</w:t>
      </w:r>
    </w:p>
    <w:p>
      <w:pPr>
        <w:pStyle w:val="Heading2"/>
        <w:ind w:firstLine="0"/>
        <w:keepNext/>
      </w:pPr>
      <w:r>
        <w:t>16.2. Профиль селективности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Для QP5038 доказан мощный, но двойной QPCTL/QPCT-профиль; для ISM8207 QPCTL potency заявлена, но публичный QPCT counter-screen отсутствует; для XC7/ХС7 заявлены matched QPCTL/QPCT значения около 2,9 и 1,8 мкМ, указывающие на отсутствие практической изоформной селективности, но они требуют воспроизведения по первичным протоколам. Следовательно, профиль внутреннего соединения пока нельзя надежно ранжировать относительно публичных кандидатов. GPCR-хиты не заменяют ферментную селективность и должны рассматриваться отдельным safety/off-target слоем.</w:t>
      </w:r>
    </w:p>
    <w:p>
      <w:pPr>
        <w:pStyle w:val="Heading2"/>
        <w:ind w:firstLine="0"/>
        <w:keepNext/>
      </w:pPr>
      <w:r>
        <w:t>16.3. Ранжирование показаний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Почка и онкология получают одинаковый верхний уровень приоритета, но по разным основаниям: почка - из-за предварительного человеческого eGFR/pE-CCL2 сигнала; онкология - из-за наиболее строгого причинного biomarker cascade. Воспалительные показания без почки занимают второй уровень; фиброз легкого/печени - третий до появления organ-specific exposure-PD; острая боль остается фенотипическим исследовательским направлением, не подтвержденным как QPCT/QPCTL-mediated.</w:t>
      </w:r>
    </w:p>
    <w:p>
      <w:pPr>
        <w:pStyle w:val="Heading2"/>
        <w:ind w:firstLine="0"/>
        <w:keepNext/>
      </w:pPr>
      <w:r>
        <w:t>16.4. Анализ противоречий и 12-месячный экспериментальный пакет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Ключевые противоречия: мощные PathHunter-сигналы H1/H4 не воспроизводятся в ортогональных assays; oral hot-plate отрицателен при положительном i.p. режиме; уксусные корчи положительны через 1 ч, но отрицательны через 4-6 ч; капсаициновый эффект начинается через 15 мин без субстратного PD; фенотипические эффекты не связаны с QPCT/QPCTL potency или unbound exposure. Эти расхождения являются не «шумом вокруг положительного эффекта», а обязательными объектами следующего экспериментального цикла.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Пакет A - chemistry/identity (0-2 месяца). LC-MS/NMR/purity, salt/solvate, solubility, aggregation, molar equivalence; синтез или закупка QP5038/PQ912 reference compounds.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Пакет B - matched enzymology (1-4 месяца). Human/mouse/rat QPCTL/QPCT, orthogonal readout, mechanism, selectivity; binding/cellular artifact controls.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Пакет C - cellular causality (2-6 месяцев). pE-CD47, pE-CCL2/7, total substrates, SIRPα, chemotaxis, phagocytosis, genetic rescue. Сравнение XC7/ХС7 с reference inhibitors.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Пакет D - DMPK/safety (2-7 месяцев). microsomes/hepatocytes, CYP/transporter, protein binding, permeability, hERG/GPCR confirmation, rodent PK.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Пакет E - in vivo PK/PD (5-10 месяцев). одна опухолевая модель с опсонизирующим partner и одна renal/inflammation model; time-resolved unbound tissue exposure и substrate PD.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Пакет F - decision dossier (10-12 месяцев). интегрированная exposure-PD-efficacy модель, safety margin, reproducibility audit, indication gate.</w:t>
      </w:r>
    </w:p>
    <w:p>
      <w:pPr>
        <w:pStyle w:val="Heading2"/>
        <w:ind w:firstLine="0"/>
        <w:keepNext/>
      </w:pPr>
      <w:r>
        <w:t>16.5. Go/no-go решения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Если заявленные QPCT/QPCTL и pE-CD47 результаты XC7 не воспроизводятся в blinded matched assay на аналитически подтвержденной партии либо требуемая свободная экспозиция недостижима, его фенотипическую программу отделить от QPCT/QPCTL-проекта.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Если GPCR-сигналы подтверждаются в low-micromolar range, объяснить acute pain phenotype и оценить safety margin до дальнейшей target attribution.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Если pE-CD47 снижается, но функциональная EC₅₀ &gt;10-30-fold выше, исследовать partner dependence, intracellular exposure и off-target contribution.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Если renal effect не сопровождается pE-хемокиновым или иным proximal PD, не позиционировать его как QPCT/QPCTL-mediated.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Если эффективная свободная экспозиция перекрывает CYP/GPCR liabilities менее чем в 10 раз, серия требует re-optimization.</w:t>
      </w:r>
    </w:p>
    <w:p>
      <w:pPr>
        <w:pStyle w:val="Heading2"/>
        <w:ind w:firstLine="0"/>
        <w:keepNext/>
      </w:pPr>
      <w:r>
        <w:t>16.6. Портфельная рекомендация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Приоритет</w:t>
            </w:r>
          </w:p>
        </w:tc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Программа</w:t>
            </w:r>
          </w:p>
        </w:tc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Обоснование</w:t>
            </w:r>
          </w:p>
        </w:tc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Ближайший решающий эксперимент</w:t>
            </w:r>
          </w:p>
        </w:tc>
      </w:tr>
      <w:tr>
        <w:trPr>
          <w:cantSplit w:val="true"/>
        </w:trPr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1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Онкологический mechanistic benchmark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наиболее сильная причинная цепочка QPCTL-pE-CD47-SIRPalpha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human macrophage phagocytosis с pE-CD47 time course, genetic epistasis и reference QP5038</w:t>
            </w:r>
          </w:p>
        </w:tc>
      </w:tr>
      <w:tr>
        <w:trPr>
          <w:cantSplit w:val="true"/>
        </w:trPr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2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Почечное воспаление/ранний фиброз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повторяющийся, но вторичный человеческий renal signal varoglutamstat и субстратная гипотеза CCL2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pE-CCL2/total CCL2/CCR2 функция в kidney-relevant human system и disease model с unbound PK/PD</w:t>
            </w:r>
          </w:p>
        </w:tc>
      </w:tr>
      <w:tr>
        <w:trPr>
          <w:cantSplit w:val="true"/>
        </w:trPr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3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XC7 lead clarification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есть предварительная enzyme-cell цепочка и внутренние фенотипы, но микромолярная potency и противоречия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независимая blinded пересборка chemistry-enzyme-cell-PK/PD с QP5038/PQ912 controls</w:t>
            </w:r>
          </w:p>
        </w:tc>
      </w:tr>
      <w:tr>
        <w:trPr>
          <w:cantSplit w:val="true"/>
        </w:trPr>
        <w:tc>
          <w:tcPr>
            <w:tcW w:type="dxa" w:w="233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4</w:t>
            </w:r>
          </w:p>
        </w:tc>
        <w:tc>
          <w:tcPr>
            <w:tcW w:type="dxa" w:w="233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Системный органный фиброз вне почки</w:t>
            </w:r>
          </w:p>
        </w:tc>
        <w:tc>
          <w:tcPr>
            <w:tcW w:type="dxa" w:w="233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ранняя биология и слабый substrate assignment</w:t>
            </w:r>
          </w:p>
        </w:tc>
        <w:tc>
          <w:tcPr>
            <w:tcW w:type="dxa" w:w="233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 расширять до подтверждения прямого матриксного субстрата и воспроизводимого PD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Решение по ресурсам: основной бюджет следует направить на воспроизводимость и proximal PD, а не на расширение числа моделей. Если XC7 не подтверждает QPCT/QPCTL potency и cellular PD в одной аналитически подтвержденной партии либо требуемая свободная экспозиция недостижима с приемлемым safety margin, его фенотипическую программу следует отделить от проекта QPCT/QPCTL.</w:t>
      </w:r>
    </w:p>
    <w:p>
      <w:pPr>
        <w:pStyle w:val="Heading1"/>
        <w:ind w:firstLine="0"/>
        <w:keepNext/>
      </w:pPr>
      <w:r>
        <w:t>17. ИТОГОВЫЕ ВЫВОДЫ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QPCTL является причинным ферментным регулятором pE-CD47 и SIRPα-binding; это наиболее подтвержденная часть концепции.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Многочисленные субстраты QPCTL/QPCT исключают упрощенное отнесение всех иммунных и противоопухолевых эффектов к CD47.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QP5038 - мощный двойной inhibitor и ценный benchmark, но его публичный DMPK/PK/PD-пакет недостаточен для development candidate.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ISM8207 подтверждает достижимость клинической разработки QPCTL-направленной малой молекулы, но публично не подтверждает selectivity, human PD или efficacy.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Varoglutamstat подтверждает возможность хронического системного и CNS exposure к QC inhibitor; отсутствие AD efficacy и побочные явления на высоких дозах важны для расчета риска.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Почечный eGFR signal требует независимого специализированного подтверждения поверх современного standard of care.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Фиброзная гипотеза перспективна для механистической работы, но не имеет достаточной клинической зрелости.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Внутренний пакет XC7/ХС7 подтверждает отдельные фенотипические эффекты и содержит предварительный микромолярный enzyme-cell мост, но еще не доказывает причинную связь in vivo с QPCT/QPCTL.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Несогласованность H1/H3/H4 скринингов и быстрый onset анальгезии - приоритетные противоречия для разрешения.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Следующее рациональное решение должно основываться на едином benchmarked assay cascade и количественном PK/PD, а не на сумме разнородных in vivo endpoints.</w:t>
      </w:r>
    </w:p>
    <w:p>
      <w:pPr>
        <w:pStyle w:val="Heading1"/>
        <w:ind w:firstLine="0"/>
        <w:keepNext/>
      </w:pPr>
      <w:r>
        <w:t>18. ПРИЛОЖЕНИЯ</w:t>
      </w:r>
    </w:p>
    <w:p>
      <w:pPr>
        <w:pStyle w:val="Heading2"/>
        <w:ind w:firstLine="0"/>
        <w:keepNext/>
      </w:pPr>
      <w:r>
        <w:t>18.1. Реестр внутренних источников и происхождение данных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Source ID</w:t>
            </w:r>
          </w:p>
        </w:tc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Документ/исследование</w:t>
            </w:r>
          </w:p>
        </w:tc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Доказательный слой</w:t>
            </w:r>
          </w:p>
        </w:tc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Статус использования</w:t>
            </w:r>
          </w:p>
        </w:tc>
      </w:tr>
      <w:tr>
        <w:trPr>
          <w:cantSplit w:val="true"/>
        </w:trPr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S01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XC7DHC H1/H2/H3/H4, Eurofins CEREP, 2019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GPCR binding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первичный; предварительные H3/H4 Ki</w:t>
            </w:r>
          </w:p>
        </w:tc>
      </w:tr>
      <w:tr>
        <w:trPr>
          <w:cantSplit w:val="true"/>
        </w:trPr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S02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XC7DHC H1/H3, Eurofins Panlabs, 2016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GTPgammaS functional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первичный; порог 50% не достигнут</w:t>
            </w:r>
          </w:p>
        </w:tc>
      </w:tr>
      <w:tr>
        <w:trPr>
          <w:cantSplit w:val="true"/>
        </w:trPr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S03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XC7DHC H1, Eurofins CEREP, 2025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H1 Ca2+ functional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первичный; identity ambiguity XC7/XC9 отмечена</w:t>
            </w:r>
          </w:p>
        </w:tc>
      </w:tr>
      <w:tr>
        <w:trPr>
          <w:cantSplit w:val="true"/>
        </w:trPr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S04</w:t>
            </w:r>
          </w:p>
        </w:tc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XC7·2HCl 169 GPCRs, DiscoverX, 2016</w:t>
            </w:r>
          </w:p>
        </w:tc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single-point hazard screen</w:t>
            </w:r>
          </w:p>
        </w:tc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первичный; не используется как potency</w:t>
            </w:r>
          </w:p>
        </w:tc>
      </w:tr>
      <w:tr>
        <w:trPr>
          <w:cantSplit w:val="true"/>
        </w:trPr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S05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XC7 gpcrMAX, DiscoverX, 2016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single-point hazard screen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первичный; не используется как potency</w:t>
            </w:r>
          </w:p>
        </w:tc>
      </w:tr>
      <w:tr>
        <w:trPr>
          <w:cantSplit w:val="true"/>
        </w:trPr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S06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Горячая пластина, опыт 21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анальгетический phenotype, i.p.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первичный; target attribution отсутствует</w:t>
            </w:r>
          </w:p>
        </w:tc>
      </w:tr>
      <w:tr>
        <w:trPr>
          <w:cantSplit w:val="true"/>
        </w:trPr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S07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Каррагениновый отек, опыт 9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воспалительный phenotype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первичный; heterogenous time-dose effects</w:t>
            </w:r>
          </w:p>
        </w:tc>
      </w:tr>
      <w:tr>
        <w:trPr>
          <w:cantSplit w:val="true"/>
        </w:trPr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S08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Уксусные корчи, опыт 26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поздний phenotype, 4 ч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первичный; отрицательный режим</w:t>
            </w:r>
          </w:p>
        </w:tc>
      </w:tr>
      <w:tr>
        <w:trPr>
          <w:cantSplit w:val="true"/>
        </w:trPr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S09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Уксусные корчи, опыт 27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поздний phenotype, 6 ч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первичный; отрицательный режим</w:t>
            </w:r>
          </w:p>
        </w:tc>
      </w:tr>
      <w:tr>
        <w:trPr>
          <w:cantSplit w:val="true"/>
        </w:trPr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S10</w:t>
            </w:r>
          </w:p>
        </w:tc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Каррагениновый отек, опыт 8</w:t>
            </w:r>
          </w:p>
        </w:tc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воспалительный phenotype</w:t>
            </w:r>
          </w:p>
        </w:tc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первичный; отдельный протокол</w:t>
            </w:r>
          </w:p>
        </w:tc>
      </w:tr>
      <w:tr>
        <w:trPr>
          <w:cantSplit w:val="true"/>
        </w:trPr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S11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Уксусные корчи, опыт 25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ранний phenotype, 1 ч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первичный; положительный сигнал</w:t>
            </w:r>
          </w:p>
        </w:tc>
      </w:tr>
      <w:tr>
        <w:trPr>
          <w:cantSplit w:val="true"/>
        </w:trPr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S12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Горячая пластина, опыт 19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oral phenotype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первичный; отрицательный/смешанный режим</w:t>
            </w:r>
          </w:p>
        </w:tc>
      </w:tr>
      <w:tr>
        <w:trPr>
          <w:cantSplit w:val="true"/>
        </w:trPr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S13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Уксусные корчи, опыт 23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ранний phenotype, 30 мин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первичный; 34-38% ингибирования при 60-300 мг/кг</w:t>
            </w:r>
          </w:p>
        </w:tc>
      </w:tr>
      <w:tr>
        <w:trPr>
          <w:cantSplit w:val="true"/>
        </w:trPr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S14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Капсаициновая боль, опыт 8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быстрый pain phenotype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первичный; target attribution отсутствует</w:t>
            </w:r>
          </w:p>
        </w:tc>
      </w:tr>
      <w:tr>
        <w:trPr>
          <w:cantSplit w:val="true"/>
        </w:trPr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S15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Compound 48/80, опыт 3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отек/медиаторный phenotype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первичный; target attribution отсутствует</w:t>
            </w:r>
          </w:p>
        </w:tc>
      </w:tr>
      <w:tr>
        <w:trPr>
          <w:cantSplit w:val="true"/>
        </w:trPr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S16</w:t>
            </w:r>
          </w:p>
        </w:tc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Хронический цистит, опыт 4</w:t>
            </w:r>
          </w:p>
        </w:tc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disease phenotype</w:t>
            </w:r>
          </w:p>
        </w:tc>
        <w:tc>
          <w:tcPr>
            <w:tcW w:type="dxa" w:w="2339"/>
            <w:shd w:fill="F7F7F7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первичный; боль улучшена, масса мочевого пузыря нет</w:t>
            </w:r>
          </w:p>
        </w:tc>
      </w:tr>
      <w:tr>
        <w:trPr>
          <w:cantSplit w:val="true"/>
        </w:trPr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S17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«Инновационная терапия хронического болевого синдрома»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secondary compilation: enzyme, SPR, cell, BioMAP, PK/modeling</w:t>
            </w:r>
          </w:p>
        </w:tc>
        <w:tc>
          <w:tcPr>
            <w:tcW w:type="dxa" w:w="2339"/>
            <w:shd w:fill="FFFFFF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использован с пониженной уверенностью; первичные raw reports не приложены</w:t>
            </w:r>
          </w:p>
        </w:tc>
      </w:tr>
    </w:tbl>
    <w:p>
      <w:pPr>
        <w:spacing w:after="0"/>
      </w:pP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Все численные выводы сохраняют Source ID. Результаты S17 не повышаются до уровня первичного лабораторного источника только потому, что содержат более полную интерпретацию.</w:t>
      </w:r>
    </w:p>
    <w:p>
      <w:pPr>
        <w:pStyle w:val="Heading2"/>
        <w:ind w:firstLine="0"/>
        <w:keepNext/>
      </w:pPr>
      <w:r>
        <w:t>18.2. Поисковые стратегии и flow отбора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Использовались комбинации терминов QPCT, QPCTL, isoQC, glutaminyl cyclase, CD47, SIRPα, CCL2, CCL7, fibrosis, kidney, cancer, а также названия соединений. Для клинического статуса проверялись ClinicalTrials.gov и официальные источники спонсоров. В основной синтез включались первичные публикации, записи реестров и внутренние отчеты; обзоры использовались для навигации. Патенты, abstracts и корпоративные материалы маркировались как источники пониженной уверенности. Извлеченные утверждения проверялись на совпадение соединения, формы, assay type, вида и уровня доказательств.</w:t>
      </w:r>
    </w:p>
    <w:p>
      <w:pPr>
        <w:pStyle w:val="Heading2"/>
        <w:ind w:firstLine="0"/>
        <w:keepNext/>
      </w:pPr>
      <w:r>
        <w:t>18.3. Полная инвентаризация соединений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Инвентаризация включает PBD150, SEN177, PQ912/varoglutamstat, QP529, QP5020, QP5038, 22b, compound 30, SC-2882, DBPR22998/BPRQC298, ISM8207, XC8, VY2149 и внутренний XC7/ХС7. Для каждого актива фиксируются chemical identity, форма, QPCT/QPCTL potency, cellular substrate PD, функциональная активность, PK/PD, безопасность, стадия и источник. Отсутствующее значение обозначается [...], а developer-only claim не преобразуется в числовой факт.</w:t>
      </w:r>
    </w:p>
    <w:p>
      <w:pPr>
        <w:pStyle w:val="Heading2"/>
        <w:ind w:firstLine="0"/>
        <w:keepNext/>
      </w:pPr>
      <w:r>
        <w:t>18.4. Полные pharmacology tables и расчеты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Минимальные поля raw data: source_id, compound_id, compound_form, batch, assay_type, study_design, species, target/construct, substrate, stimulation_level, concentration, unit, route, matrix/tissue, timepoint, replicate_scale, central_estimate, dispersion, individual_data_available, quality_flag, exclusion_reason.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Все концентрации перед расчетом pK переводятся в M. Для binding используется Kᵢ = IC₅₀/(1+[L]/K_d). Для single-point functional данных расчет K_b допускается лишь как предварительный при полностью заданной модели; для PathHunter single-point он не выполняется. Параметр получает отметку предварительный†, если EC₅₀/IC₅₀ вне диапазона, максимальный эффект &lt;50%, число информативных точек &lt;4 либо SEM сопоставима с оценкой.</w:t>
      </w:r>
    </w:p>
    <w:p>
      <w:pPr>
        <w:pStyle w:val="Heading2"/>
        <w:ind w:firstLine="0"/>
        <w:keepNext/>
      </w:pPr>
      <w:r>
        <w:t>18.5. Полные disease-evidence tables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Утверждение</w:t>
            </w:r>
          </w:p>
        </w:tc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Прямое доказательство</w:t>
            </w:r>
          </w:p>
        </w:tc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Ограничение</w:t>
            </w:r>
          </w:p>
        </w:tc>
        <w:tc>
          <w:tcPr>
            <w:tcW w:type="dxa" w:w="2339"/>
            <w:shd w:fill="D9E1F2"/>
            <w:tcBorders>
              <w:top w:val="single" w:sz="8" w:color="808080"/>
              <w:left w:val="single" w:sz="8" w:color="808080"/>
              <w:bottom w:val="single" w:sz="8" w:color="808080"/>
              <w:right w:val="single" w:sz="8" w:color="808080"/>
              <w:insideH w:val="single" w:sz="8" w:color="808080"/>
              <w:insideV w:val="single" w:sz="8" w:color="808080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spacing w:after="0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17"/>
              </w:rPr>
              <w:t>Уверенность</w:t>
            </w:r>
          </w:p>
        </w:tc>
      </w:tr>
      <w:tr>
        <w:trPr>
          <w:cantSplit w:val="true"/>
        </w:trPr>
        <w:tc>
          <w:tcPr>
            <w:tcW w:type="dxa" w:w="233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QPCTL формирует pE-CD47</w:t>
            </w:r>
          </w:p>
        </w:tc>
        <w:tc>
          <w:tcPr>
            <w:tcW w:type="dxa" w:w="233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genetic KO, фармакология, SIRPα readout [1, 2, 4]</w:t>
            </w:r>
          </w:p>
        </w:tc>
        <w:tc>
          <w:tcPr>
            <w:tcW w:type="dxa" w:w="233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assay epitope dependence</w:t>
            </w:r>
          </w:p>
        </w:tc>
        <w:tc>
          <w:tcPr>
            <w:tcW w:type="dxa" w:w="233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высокая</w:t>
            </w:r>
          </w:p>
        </w:tc>
      </w:tr>
      <w:tr>
        <w:trPr>
          <w:cantSplit w:val="true"/>
        </w:trPr>
        <w:tc>
          <w:tcPr>
            <w:tcW w:type="dxa" w:w="233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QPCTL inhibition усиливает фагоцитоз</w:t>
            </w:r>
          </w:p>
        </w:tc>
        <w:tc>
          <w:tcPr>
            <w:tcW w:type="dxa" w:w="233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клеточные опыты с opsonizing antibodies [1, 7]</w:t>
            </w:r>
          </w:p>
        </w:tc>
        <w:tc>
          <w:tcPr>
            <w:tcW w:type="dxa" w:w="233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partner dependence; высокие concentration</w:t>
            </w:r>
          </w:p>
        </w:tc>
        <w:tc>
          <w:tcPr>
            <w:tcW w:type="dxa" w:w="2339"/>
            <w:shd w:fill="E2F0D9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умеренная-высокая</w:t>
            </w:r>
          </w:p>
        </w:tc>
      </w:tr>
      <w:tr>
        <w:trPr>
          <w:cantSplit w:val="true"/>
        </w:trPr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Малая молекула лечит опухоль через CD47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QP5038/ISM8207 mouse signals [7, 8]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 полного tumor PK/PD/epistasis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низкая-умеренная</w:t>
            </w:r>
          </w:p>
        </w:tc>
      </w:tr>
      <w:tr>
        <w:trPr>
          <w:cantSplit w:val="true"/>
        </w:trPr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QPCTL inhibition клинически эффективно в раке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[нет опубликованных результатов]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ISM8207 early Phase I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недостаточно</w:t>
            </w:r>
          </w:p>
        </w:tc>
      </w:tr>
      <w:tr>
        <w:trPr>
          <w:cantSplit w:val="true"/>
        </w:trPr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QC inhibition улучшает kidney function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повторяющееся направление eGFR в VIVIAD/VIVA-MIND и связь с pE-CCL2 [14-16]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другая population; secondary/exploratory; developer-led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низкая-умеренная</w:t>
            </w:r>
          </w:p>
        </w:tc>
      </w:tr>
      <w:tr>
        <w:trPr>
          <w:cantSplit w:val="true"/>
        </w:trPr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XC7/ХС7 действует через QPCT/QPCTL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preliminary enzyme/pE-CD47 data [S17]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нет primary raw, free PK/PD, epistasis и in vivo TE</w:t>
            </w:r>
          </w:p>
        </w:tc>
        <w:tc>
          <w:tcPr>
            <w:tcW w:type="dxa" w:w="2339"/>
            <w:shd w:fill="FFF2CC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низкая</w:t>
            </w:r>
          </w:p>
        </w:tc>
      </w:tr>
      <w:tr>
        <w:trPr>
          <w:cantSplit w:val="true"/>
        </w:trPr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XC7/ХС7 активен на H1/H3/H4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one-point PathHunter [S04, S05]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ортогональные assays противоречат [S01-S03]</w:t>
            </w:r>
          </w:p>
        </w:tc>
        <w:tc>
          <w:tcPr>
            <w:tcW w:type="dxa" w:w="2339"/>
            <w:shd w:fill="FCE4D6"/>
            <w:tcBorders>
              <w:top w:val="single" w:sz="6" w:color="B7B7B7"/>
              <w:left w:val="single" w:sz="6" w:color="B7B7B7"/>
              <w:bottom w:val="single" w:sz="6" w:color="B7B7B7"/>
              <w:right w:val="single" w:sz="6" w:color="B7B7B7"/>
              <w:insideH w:val="single" w:sz="6" w:color="B7B7B7"/>
              <w:insideV w:val="single" w:sz="6" w:color="B7B7B7"/>
            </w:tcBorders>
            <w:tcMar>
              <w:top w:w="75" w:type="dxa"/>
              <w:start w:w="85" w:type="dxa"/>
              <w:bottom w:w="75" w:type="dxa"/>
              <w:end w:w="85" w:type="dxa"/>
            </w:tcMar>
            <w:vAlign w:val="center"/>
          </w:tcPr>
          <w:p>
            <w:pPr>
              <w:keepLines/>
              <w:spacing w:after="0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недостаточно</w:t>
            </w:r>
          </w:p>
        </w:tc>
      </w:tr>
    </w:tbl>
    <w:p>
      <w:pPr>
        <w:spacing w:after="0"/>
      </w:pPr>
    </w:p>
    <w:p>
      <w:pPr>
        <w:pStyle w:val="Heading2"/>
        <w:ind w:firstLine="0"/>
        <w:keepNext/>
      </w:pPr>
      <w:r>
        <w:t>18.6. Реестр критических противоречий и отсутствующих данных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1. Для XC7 ферментные и клеточные данные доступны через вторичный сводный документ S17; соответствующие первичные отчеты, raw curves и batch analytics не приложены.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2. QPCT IC50 XC7 различается в четыре раза между двумя опытами (0,72 и 2,88 мкМ); требуется заранее заданный повтор с контролем агрегации и референсами.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3. Модельные расчеты XC7 используют IC50 5/30 мкМ, не совпадающие с заявленными измеренными 1,8/2,9 мкМ; rationale отсутствует.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4. Тканевое ингибирование XC7 рассчитано из total concentration и Hill n=1, а не измерено; отсутствуют fu,tissue, intracellular Golgi exposure и substrate PD.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5. pE-CD47 IC50 13,8 ± 5,9 мкМ не сопровождается приложенными total/surface CD47, viability, antibody epitope и time-course controls.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6. Быстрые pain phenotypes через 20-30 мин кинетически противоречат механизму через turnover поверхностного pE-CD47; pE-CCL2/CCL7 во времени не измерялись.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7. DiscoverX single-point H1/H4 agonism и H3 antagonism противоречат binding/GTPgammaS/Ca2+; приведенные в S17 KB не прослеживаются до первичных протоколов.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8. Несколько in vivo опытов имеют немонотонность, route/time dependence и частичную несостоятельность положительного контроля; объединение эффектов запрещено.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9. QP5038 показывает nanomolar enzyme/cellular potency, но phagocytosis тестирован при 10 мкМ и без полного free tumor PK/PD bridge [7].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10. Для ISM8207 отсутствуют публичный QPCT counter-screen, структура, численный human PK/PD и опубликованные клинические результаты [8, 9].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11. Renal signal varoglutamstat получен как вторичный/post hoc анализ AD-популяций; специализированная DKD efficacy не установлена [14-16].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12. Прямой субстратный механизм фиброза и изоформная ответственность не установлены; перенос почечного сигнала на легкое/печень недопустим.</w:t>
      </w:r>
    </w:p>
    <w:p>
      <w:pPr>
        <w:pStyle w:val="Heading2"/>
        <w:ind w:firstLine="0"/>
        <w:keepNext/>
      </w:pPr>
      <w:r>
        <w:t>18.7. Ограничения отчета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Не получены confidential IND/IB/CSR и полные raw datasets.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Для ряда программ доступны только abstracts, patents или corporate disclosures.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Отсутствие найденного публичного результата не доказывает отсутствие конфиденциальных данных.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Внутренние DOC/DOCX отчеты оценивались как представленные; повторный статистический анализ individual data не выполнялся.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Файл опыта уксусных корчей №23 доступен, включен в анализ и зарегистрирован как S13.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Freedom-to-operate и регуляторное заключение выходят за область текущей версии.</w:t>
      </w:r>
    </w:p>
    <w:p>
      <w:pPr>
        <w:pStyle w:val="Heading2"/>
        <w:ind w:firstLine="0"/>
        <w:keepNext/>
      </w:pPr>
      <w:r>
        <w:t>18.8. Словарь сокращений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</w:rPr>
        <w:t>ADME - absorption, distribution, metabolism and excretion; CMC - chemistry, manufacturing and controls; DKD - diabetic kidney disease; DLT - dose-limiting toxicity; DMPK - drug metabolism and pharmacokinetics; eGFR - estimated glomerular filtration rate; FEV₁ - forced expiratory volume in one second; Kᵢ - константа ингибирования в binding assay; K_b - константа антагонизма в functional assay; PD - pharmacodynamics; PK - pharmacokinetics; pE - N-концевой пироглутамат; QPCT - glutaminyl-peptide cyclotransferase; QPCTL - glutaminyl-peptide cyclotransferase-like; RP2D - recommended phase II dose; SIRPα - signal regulatory protein alpha; TE - target engagement; TGI - tumor growth inhibition; TME - tumor microenvironment.</w:t>
      </w:r>
    </w:p>
    <w:p>
      <w:pPr>
        <w:pStyle w:val="Heading1"/>
        <w:ind w:firstLine="0"/>
        <w:keepNext/>
      </w:pPr>
      <w:r>
        <w:t>ЛИТЕРАТУРА И ИСТОЧНИКИ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1. Logtenberg M. E. W., Jansen J. H. M., Raaben M. et al. Glutaminyl cyclase is an enzymatic modifier of the CD47-SIRPalpha axis and a target for cancer immunotherapy // Nature Medicine. 2019. Vol. 25. P. 612-619. DOI: 10.1038/s41591-019-0356-z. PMID: 30833751.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2. Wu Z. et al. Identification of glutaminyl cyclase isoenzyme isoQC as a regulator of the SIRPalpha-CD47 axis // Cell Research. 2019. Vol. 29. P. 502-505. DOI: 10.1038/s41422-019-0177-0. PMID: 31089204.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3. Barreira da Silva R., Leitao R. M., Pechuan-Jorge X. et al. Loss of the intracellular enzyme QPCTL limits chemokine function and reshapes myeloid infiltration to augment tumor immunity // Nature Immunology. 2022. Vol. 23. P. 568-580. DOI: 10.1038/s41590-022-01153-x. PMID: 35314846.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4. van der Plas-van Duijn J. et al. Pyroglutamation of cell surface proteins CD47 and TRP1 by glutaminyl cyclase modulates therapeutic antibody binding // Communications Biology. 2025. Vol. 8. Art. 1561. DOI: 10.1038/s42003-025-08938-4. PMID: 41233527.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5. Huang K.-F. et al. Structural basis of N-terminal pyroglutamate formation by human glutaminyl cyclase // Journal of Biological Chemistry. 2011. DOI: 10.1074/jbc.M110.208595. PMID: 21288892.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6. Becker A. et al. QPCTL-deficient mice and physiological functions of iso-glutaminyl cyclase // Biological Chemistry. 2016. DOI: 10.1515/hsz-2015-0192. PMID: 26351917.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7. Yu L., Hao H., Xu H. et al. Development of a potent benzonitrile-based inhibitor of QPCTL with antitumor efficacy // Signal Transduction and Targeted Therapy. 2023. Vol. 8. Art. 455. DOI: 10.1038/s41392-023-01715-x. PMID: 38097557.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8. Rao S., Fu Y., Zhang M. et al. Therapeutic potential of ISM8207: a novel QPCTL inhibitor, in triple-negative breast cancer and B-cell non-Hodgkin lymphoma // Annals of Oncology. 2023. Vol. 34, Suppl. 2. P. S201. DOI: 10.1016/j.annonc.2023.09.1547.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9. ClinicalTrials.gov. A Phase 1, Open-label, Multicenter, First-in-Human Study of ISM8207. NCT06445517 [Электронный ресурс]. URL: https://clinicaltrials.gov/study/NCT06445517 (дата обращения: 10.08.2026).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10. Cynis H., Hoffmann T., Friedrich D. et al. The isoenzyme of glutaminyl cyclase is an important regulator of monocyte infiltration under inflammatory conditions // EMBO Molecular Medicine. 2011. Vol. 3. P. 545-558. DOI: 10.1002/emmm.201100158. PMID: 21774078.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11. Schilling S., Zeitschel U., Hoffmann T. et al. Glutaminyl cyclase inhibition attenuates pyroglutamate Abeta and Alzheimer disease-like pathology // Nature Medicine. 2008. Vol. 14. P. 1106-1111. DOI: 10.1038/nm.1872.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12. Lues I. et al. A phase 1 study to evaluate the safety and pharmacokinetics of PQ912, a glutaminyl cyclase inhibitor, in healthy subjects // Alzheimer’s &amp; Dementia: Translational Research &amp; Clinical Interventions. 2015. DOI: 10.1016/j.trci.2015.08.002. PMID: 29854937.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13. Scheltens P. et al. Safety, tolerability and efficacy of the glutaminyl cyclase inhibitor PQ912 in Alzheimer disease: a randomized phase 2a study // Alzheimer’s Research &amp; Therapy. 2018. DOI: 10.1186/s13195-018-0431-6. NCT02389413.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14. Vijverberg E. G. B. et al. Rationale and study design of the VIVIAD phase 2b trial // Journal of Prevention of Alzheimer’s Disease. 2021. PMID: 34425883. NCT04498650.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15. American Society of Nephrology. Kidney Week 2024 abstract: kidney-function analyses of varoglutamstat/VIVIAD [Электронный ресурс]. DOI: 10.1681/ASN.2024wsw490c0 (дата обращения: 10.08.2026).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16. Vivoryon Therapeutics N.V. H1 2026 Financial Results and Business Update [Электронный ресурс]. URL: https://www.vivoryon.com/vivoryon-therapeutics-n-v-reports-h1-2026-financial-results-and-provides-business-update/ (дата обращения: 10.08.2026).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17. Renner A., Romanova J., Ferko B. et al. Safety, pharmacokinetics and pharmacodynamics of XC8 in healthy probands // Pulmonary Pharmacology &amp; Therapeutics. 2019. Vol. 59. Art. 101852. DOI: 10.1016/j.pupt.2019.101852. PMID: 31597083.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18. Romanova J., Chikina E., Rydlovskaya A. et al. New anti-chemokine oral drug XC8 in asthma patients with poor response to corticosteroids: phase 2A randomized trial // Pulmonary Therapy. 2020. Vol. 6. P. 351-369. DOI: 10.1007/s41030-020-00134-5. PMID: 33095411.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19. Sallman D. A. et al. Magrolimab plus azacitidine versus placebo plus azacitidine in higher-risk myelodysplastic syndromes: ENHANCE // Journal of Clinical Oncology. 2026. DOI: 10.1200/JCO-25-00617. PMID: 42441929.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20. Zeidner J. F. et al. Magrolimab plus azacitidine versus physician choice for untreated TP53-mutated acute myeloid leukemia: ENHANCE-2 // Blood. 2025. Vol. 146. P. 590-600. PMID: 40009500.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21. Daver N., Vyas P., Huls G. et al. Venetoclax and azacitidine plus magrolimab or placebo for untreated AML: ENHANCE-3 // Blood. 2025. Vol. 146. P. 601-611. DOI: 10.1182/blood.2024027506. PMID: 40233321.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22. Lakhani N. J. et al. Evorpacept alone and in combination in advanced solid tumours: first-in-human phase I study // Lancet Oncology. 2021. PMID: 34793719. NCT03013218.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23. ALX Oncology. ASPEN-03 and ASPEN-04 Phase 2 trials did not meet primary endpoints [Электронный ресурс]. 25.04.2025. URL: https://ir.alxoncology.com/news-releases/news-release-details/alx-oncology-reports-aspen-03-and-aspen-04-phase-2-trials/ (дата обращения: 10.08.2026).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24. Akeso, Inc. Phase II data from a randomized double-blind trial of ligufalimab combination therapy in frontline AML [Электронный ресурс]. 14.05.2026. URL: https://www.akesobio.com/en/media/akeso-news/260518/ (дата обращения: 10.08.2026).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25. Scenic Biotech. Positive preclinical data for QPCTL inhibitor SC-2882 [Электронный ресурс]. 09.12.2023. URL: https://scenicbiotech.com/blog/scenic-biotech-announces-positive-preclinical-data-for-its-qpctl-inhibitor-sc-2882/ (дата обращения: 10.08.2026).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26. National Health Research Institutes, Taiwan. DBPR22998: a potent QPCTL (IsoQC) inhibitor targeting the CD47-SIRPalpha axis [Электронный ресурс]. URL: https://ibpr.nhri.edu.tw/en/index.php/2022/09/27/isoqc/ (дата обращения: 10.08.2026).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27. Park J. et al. Discovery of 1,2,4-triazole derivatives as glutaminyl cyclase inhibitors // ACS Medicinal Chemistry Letters. 2022. DOI: 10.1021/acsmedchemlett.2c00256.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28. Schloesser M. et al. QPCTL regulates macrophage and neutrophil infiltration // Journal of Cell Biology. 2023. Vol. 222. e202207097. DOI: 10.1083/jcb.202207097.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29. Li R. et al. Advances in glutaminyl cyclase inhibitors and their therapeutic potential // Bioorganic &amp; Medicinal Chemistry. 2025. Vol. 132. Art. 118469. DOI: 10.1016/j.bmc.2025.118469. PMID: 41176819.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30. Smid M. et al. The CD47-SIRPalpha axis, QPCTL and translational strategies in cancer immunotherapy // Frontiers in Immunology. 2026. Vol. 17. Art. 1760809. DOI: 10.3389/fimmu.2026.1760809. PMID: 41988205.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31. WO2009087256. Inhibitors of glutaminyl cyclases and uses thereof. 2009.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32. WO2021029612. QPCTL inhibitors for immuno-oncology. 2021.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33. WO2020250021. Compounds targeting glutaminyl cyclase-like protein. 2020.</w:t>
      </w:r>
    </w:p>
    <w:p>
      <w:pPr>
        <w:spacing w:after="40"/>
        <w:ind w:firstLine="0" w:left="397"/>
      </w:pPr>
      <w:r>
        <w:rPr>
          <w:rFonts w:ascii="Times New Roman" w:hAnsi="Times New Roman" w:eastAsia="Times New Roman"/>
          <w:b w:val="0"/>
          <w:i w:val="0"/>
        </w:rPr>
        <w:t>34. CN202210127253.7. QPCTL inhibitor compositions and therapeutic combinations. 2022.</w:t>
      </w:r>
    </w:p>
    <w:sectPr w:rsidR="00FC693F" w:rsidRPr="0006063C" w:rsidSect="00034616">
      <w:pgSz w:w="11906" w:h="16838"/>
      <w:pgMar w:top="1134" w:right="850" w:bottom="1020" w:left="170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  <w:ind w:firstLine="709"/>
      <w:jc w:val="both"/>
    </w:pPr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2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20"/>
      <w:jc w:val="left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ageBreakBefore w:val="0"/>
      <w:pBdr>
        <w:bottom w:val="single" w:sz="8" w:space="4" w:color="4F81BD" w:themeColor="accent1"/>
      </w:pBdr>
      <w:spacing w:after="120" w:line="240" w:lineRule="auto" w:before="20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ингибиторов QPCT/QPCTL для терапии онкологических, воспалительных и фибротических заболеваний</dc:title>
  <dc:subject>Консолидированный отчет по ингибиторам QPCT/QPCTL</dc:subject>
  <dc:creator>OpenAI</dc:creator>
  <cp:keywords>QPCT, QPCTL, XC7, CD47, SIRPalpha, oncology, inflammation, fibrosis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