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139.png" ContentType="image/png"/>
  <Override PartName="/word/media/rId143.png" ContentType="image/png"/>
  <Override PartName="/word/media/rId147.png" ContentType="image/png"/>
  <Override PartName="/word/media/rId151.png" ContentType="image/png"/>
  <Override PartName="/word/media/rId155.png" ContentType="image/png"/>
  <Override PartName="/word/media/rId159.png" ContentType="image/png"/>
  <Override PartName="/word/media/rId163.png" ContentType="image/png"/>
  <Override PartName="/word/media/rId167.png" ContentType="image/png"/>
  <Override PartName="/word/media/rId171.png" ContentType="image/png"/>
  <Override PartName="/word/media/rId175.png" ContentType="image/png"/>
  <Override PartName="/word/media/rId179.png" ContentType="image/png"/>
  <Override PartName="/word/media/rId183.png" ContentType="image/png"/>
  <Override PartName="/word/media/rId187.png" ContentType="image/png"/>
  <Override PartName="/word/media/rId191.png" ContentType="image/png"/>
  <Override PartName="/word/media/rId195.png" ContentType="image/png"/>
  <Override PartName="/word/media/rId199.png" ContentType="image/png"/>
  <Override PartName="/word/media/rId203.png" ContentType="image/png"/>
  <Override PartName="/word/media/rId207.png" ContentType="image/png"/>
  <Override PartName="/word/media/rId211.png" ContentType="image/png"/>
  <Override PartName="/word/media/rId215.png" ContentType="image/png"/>
  <Override PartName="/word/media/rId219.png" ContentType="image/png"/>
  <Override PartName="/word/media/rId223.png" ContentType="image/png"/>
  <Override PartName="/word/media/rId227.png" ContentType="image/png"/>
  <Override PartName="/word/media/rId231.png" ContentType="image/png"/>
  <Override PartName="/word/media/rId235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168110a0bf89927fa84e15a20058e06c372d61"/>
      <w:r>
        <w:t xml:space="preserve">BioETL Foundation Diagrams With Descriptions</w:t>
      </w:r>
      <w:bookmarkEnd w:id="20"/>
    </w:p>
    <w:p>
      <w:pPr>
        <w:numPr>
          <w:ilvl w:val="0"/>
          <w:numId w:val="1001"/>
        </w:numPr>
        <w:pStyle w:val="Compact"/>
      </w:pPr>
      <w:r>
        <w:t xml:space="preserve">Generated: 2026-03-03</w:t>
      </w:r>
    </w:p>
    <w:p>
      <w:pPr>
        <w:numPr>
          <w:ilvl w:val="0"/>
          <w:numId w:val="1001"/>
        </w:numPr>
        <w:pStyle w:val="Compact"/>
      </w:pPr>
      <w:r>
        <w:t xml:space="preserve">Diagram count: 54</w:t>
      </w:r>
    </w:p>
    <w:p>
      <w:pPr>
        <w:pStyle w:val="Heading2"/>
      </w:pPr>
      <w:bookmarkStart w:id="21" w:name="table-of-contents"/>
      <w:r>
        <w:t xml:space="preserve">Table of Contents</w:t>
      </w:r>
      <w:bookmarkEnd w:id="21"/>
    </w:p>
    <w:p>
      <w:pPr>
        <w:numPr>
          <w:ilvl w:val="0"/>
          <w:numId w:val="1002"/>
        </w:numPr>
        <w:pStyle w:val="Compact"/>
      </w:pPr>
      <w:hyperlink w:anchor="X63c4434a227f8a4a05d7d1df32a5702010a036e">
        <w:r>
          <w:rPr>
            <w:rStyle w:val="Hyperlink"/>
          </w:rPr>
          <w:t xml:space="preserve">01-full-system-component</w:t>
        </w:r>
      </w:hyperlink>
    </w:p>
    <w:p>
      <w:pPr>
        <w:numPr>
          <w:ilvl w:val="0"/>
          <w:numId w:val="1002"/>
        </w:numPr>
        <w:pStyle w:val="Compact"/>
      </w:pPr>
      <w:hyperlink w:anchor="Xe0c5676856b1a884e04e3b98bb7150bc5ab1f9d">
        <w:r>
          <w:rPr>
            <w:rStyle w:val="Hyperlink"/>
          </w:rPr>
          <w:t xml:space="preserve">01-high-level</w:t>
        </w:r>
      </w:hyperlink>
    </w:p>
    <w:p>
      <w:pPr>
        <w:numPr>
          <w:ilvl w:val="0"/>
          <w:numId w:val="1002"/>
        </w:numPr>
        <w:pStyle w:val="Compact"/>
      </w:pPr>
      <w:hyperlink w:anchor="X11d7cbd40b7971e6f8932c760a6279860b7c20e">
        <w:r>
          <w:rPr>
            <w:rStyle w:val="Hyperlink"/>
          </w:rPr>
          <w:t xml:space="preserve">02-full-medallion-data-flow</w:t>
        </w:r>
      </w:hyperlink>
    </w:p>
    <w:p>
      <w:pPr>
        <w:numPr>
          <w:ilvl w:val="0"/>
          <w:numId w:val="1002"/>
        </w:numPr>
        <w:pStyle w:val="Compact"/>
      </w:pPr>
      <w:hyperlink w:anchor="X3f1b2168b98201fdaba974a4da4cd142eb20cc0">
        <w:r>
          <w:rPr>
            <w:rStyle w:val="Hyperlink"/>
          </w:rPr>
          <w:t xml:space="preserve">03-pipeline-execution-happy-path</w:t>
        </w:r>
      </w:hyperlink>
    </w:p>
    <w:p>
      <w:pPr>
        <w:numPr>
          <w:ilvl w:val="0"/>
          <w:numId w:val="1002"/>
        </w:numPr>
        <w:pStyle w:val="Compact"/>
      </w:pPr>
      <w:hyperlink w:anchor="X6b3bd66cf4d03c654a54be655b02b751e35f5f2">
        <w:r>
          <w:rPr>
            <w:rStyle w:val="Hyperlink"/>
          </w:rPr>
          <w:t xml:space="preserve">04-domain-layer-class-diagram</w:t>
        </w:r>
      </w:hyperlink>
    </w:p>
    <w:p>
      <w:pPr>
        <w:numPr>
          <w:ilvl w:val="0"/>
          <w:numId w:val="1002"/>
        </w:numPr>
        <w:pStyle w:val="Compact"/>
      </w:pPr>
      <w:hyperlink w:anchor="Xf4926e23628bd0fd087f9335f8a060794707461">
        <w:r>
          <w:rPr>
            <w:rStyle w:val="Hyperlink"/>
          </w:rPr>
          <w:t xml:space="preserve">04-error-flow</w:t>
        </w:r>
      </w:hyperlink>
    </w:p>
    <w:p>
      <w:pPr>
        <w:numPr>
          <w:ilvl w:val="0"/>
          <w:numId w:val="1002"/>
        </w:numPr>
        <w:pStyle w:val="Compact"/>
      </w:pPr>
      <w:hyperlink w:anchor="X1ad685500963c79cf65865ef229fd52feab10d9">
        <w:r>
          <w:rPr>
            <w:rStyle w:val="Hyperlink"/>
          </w:rPr>
          <w:t xml:space="preserve">05-layers-interaction</w:t>
        </w:r>
      </w:hyperlink>
    </w:p>
    <w:p>
      <w:pPr>
        <w:numPr>
          <w:ilvl w:val="0"/>
          <w:numId w:val="1002"/>
        </w:numPr>
        <w:pStyle w:val="Compact"/>
      </w:pPr>
      <w:hyperlink w:anchor="X89f1e5883101dfc9687ba44402343f699385f77">
        <w:r>
          <w:rPr>
            <w:rStyle w:val="Hyperlink"/>
          </w:rPr>
          <w:t xml:space="preserve">05-pipeline-lifecycle-states</w:t>
        </w:r>
      </w:hyperlink>
    </w:p>
    <w:p>
      <w:pPr>
        <w:numPr>
          <w:ilvl w:val="0"/>
          <w:numId w:val="1002"/>
        </w:numPr>
        <w:pStyle w:val="Compact"/>
      </w:pPr>
      <w:hyperlink w:anchor="X1080d485061eb3a8ab64df08a0f33d35cfc4da9">
        <w:r>
          <w:rPr>
            <w:rStyle w:val="Hyperlink"/>
          </w:rPr>
          <w:t xml:space="preserve">06-application-layer-class-diagram</w:t>
        </w:r>
      </w:hyperlink>
    </w:p>
    <w:p>
      <w:pPr>
        <w:numPr>
          <w:ilvl w:val="0"/>
          <w:numId w:val="1002"/>
        </w:numPr>
        <w:pStyle w:val="Compact"/>
      </w:pPr>
      <w:hyperlink w:anchor="X6e665c1f0086d461538b9fb073ac687bdc53a67">
        <w:r>
          <w:rPr>
            <w:rStyle w:val="Hyperlink"/>
          </w:rPr>
          <w:t xml:space="preserve">06-pipeline-execution</w:t>
        </w:r>
      </w:hyperlink>
    </w:p>
    <w:p>
      <w:pPr>
        <w:numPr>
          <w:ilvl w:val="0"/>
          <w:numId w:val="1002"/>
        </w:numPr>
        <w:pStyle w:val="Compact"/>
      </w:pPr>
      <w:hyperlink w:anchor="X8838cc651a8819630971bf292af02852261de69">
        <w:r>
          <w:rPr>
            <w:rStyle w:val="Hyperlink"/>
          </w:rPr>
          <w:t xml:space="preserve">07-circuit-breaker-states</w:t>
        </w:r>
      </w:hyperlink>
    </w:p>
    <w:p>
      <w:pPr>
        <w:numPr>
          <w:ilvl w:val="0"/>
          <w:numId w:val="1002"/>
        </w:numPr>
        <w:pStyle w:val="Compact"/>
      </w:pPr>
      <w:hyperlink w:anchor="X6ca540c4c216f83f83ea79053529aee913a6958">
        <w:r>
          <w:rPr>
            <w:rStyle w:val="Hyperlink"/>
          </w:rPr>
          <w:t xml:space="preserve">07-medallion-flow</w:t>
        </w:r>
      </w:hyperlink>
    </w:p>
    <w:p>
      <w:pPr>
        <w:numPr>
          <w:ilvl w:val="0"/>
          <w:numId w:val="1002"/>
        </w:numPr>
        <w:pStyle w:val="Compact"/>
      </w:pPr>
      <w:hyperlink w:anchor="Xf802cf2137ef2034986fd0df8b9c460c22acaba">
        <w:r>
          <w:rPr>
            <w:rStyle w:val="Hyperlink"/>
          </w:rPr>
          <w:t xml:space="preserve">08-complete-etl-workflow</w:t>
        </w:r>
      </w:hyperlink>
    </w:p>
    <w:p>
      <w:pPr>
        <w:numPr>
          <w:ilvl w:val="0"/>
          <w:numId w:val="1002"/>
        </w:numPr>
        <w:pStyle w:val="Compact"/>
      </w:pPr>
      <w:hyperlink w:anchor="X9c5e0a8f3089e0a4cb72d90e936ade484a5588d">
        <w:r>
          <w:rPr>
            <w:rStyle w:val="Hyperlink"/>
          </w:rPr>
          <w:t xml:space="preserve">08-domain-ddd</w:t>
        </w:r>
      </w:hyperlink>
    </w:p>
    <w:p>
      <w:pPr>
        <w:numPr>
          <w:ilvl w:val="0"/>
          <w:numId w:val="1002"/>
        </w:numPr>
        <w:pStyle w:val="Compact"/>
      </w:pPr>
      <w:hyperlink w:anchor="X68dc24e831d87c3494446b6fca158d0948ba54e">
        <w:r>
          <w:rPr>
            <w:rStyle w:val="Hyperlink"/>
          </w:rPr>
          <w:t xml:space="preserve">09-full-er-diagram</w:t>
        </w:r>
      </w:hyperlink>
    </w:p>
    <w:p>
      <w:pPr>
        <w:numPr>
          <w:ilvl w:val="0"/>
          <w:numId w:val="1002"/>
        </w:numPr>
        <w:pStyle w:val="Compact"/>
      </w:pPr>
      <w:hyperlink w:anchor="X1c492c692cc4e8d7a7538316b3c1d758cee92b7">
        <w:r>
          <w:rPr>
            <w:rStyle w:val="Hyperlink"/>
          </w:rPr>
          <w:t xml:space="preserve">10-infrastructure-layer-class-diagram</w:t>
        </w:r>
      </w:hyperlink>
    </w:p>
    <w:p>
      <w:pPr>
        <w:numPr>
          <w:ilvl w:val="0"/>
          <w:numId w:val="1002"/>
        </w:numPr>
        <w:pStyle w:val="Compact"/>
      </w:pPr>
      <w:hyperlink w:anchor="X0b278c41fa7e1b5b5bed90db3d8175988e7dcd4">
        <w:r>
          <w:rPr>
            <w:rStyle w:val="Hyperlink"/>
          </w:rPr>
          <w:t xml:space="preserve">11-lock-acquisition-sequence</w:t>
        </w:r>
      </w:hyperlink>
    </w:p>
    <w:p>
      <w:pPr>
        <w:numPr>
          <w:ilvl w:val="0"/>
          <w:numId w:val="1002"/>
        </w:numPr>
        <w:pStyle w:val="Compact"/>
      </w:pPr>
      <w:hyperlink w:anchor="X2008b37ac07531e95bdd0c24f0707c9855997b0">
        <w:r>
          <w:rPr>
            <w:rStyle w:val="Hyperlink"/>
          </w:rPr>
          <w:t xml:space="preserve">12-local-deployment-architecture</w:t>
        </w:r>
      </w:hyperlink>
    </w:p>
    <w:p>
      <w:pPr>
        <w:numPr>
          <w:ilvl w:val="0"/>
          <w:numId w:val="1002"/>
        </w:numPr>
        <w:pStyle w:val="Compact"/>
      </w:pPr>
      <w:hyperlink w:anchor="X07813c7b94e3f5ab599dc24eec9f869abe54ad0">
        <w:r>
          <w:rPr>
            <w:rStyle w:val="Hyperlink"/>
          </w:rPr>
          <w:t xml:space="preserve">13-domain-models-relationship</w:t>
        </w:r>
      </w:hyperlink>
    </w:p>
    <w:p>
      <w:pPr>
        <w:numPr>
          <w:ilvl w:val="0"/>
          <w:numId w:val="1002"/>
        </w:numPr>
        <w:pStyle w:val="Compact"/>
      </w:pPr>
      <w:hyperlink w:anchor="Xc3281d65851a5839078fe84d84b4a10cc4fc035">
        <w:r>
          <w:rPr>
            <w:rStyle w:val="Hyperlink"/>
          </w:rPr>
          <w:t xml:space="preserve">14-provider-health-states</w:t>
        </w:r>
      </w:hyperlink>
    </w:p>
    <w:p>
      <w:pPr>
        <w:numPr>
          <w:ilvl w:val="0"/>
          <w:numId w:val="1002"/>
        </w:numPr>
        <w:pStyle w:val="Compact"/>
      </w:pPr>
      <w:hyperlink w:anchor="X6aa03c247f39e78f617dd6dd6abe8f347794634">
        <w:r>
          <w:rPr>
            <w:rStyle w:val="Hyperlink"/>
          </w:rPr>
          <w:t xml:space="preserve">15-dq-check-workflow</w:t>
        </w:r>
      </w:hyperlink>
    </w:p>
    <w:p>
      <w:pPr>
        <w:numPr>
          <w:ilvl w:val="0"/>
          <w:numId w:val="1002"/>
        </w:numPr>
        <w:pStyle w:val="Compact"/>
      </w:pPr>
      <w:hyperlink w:anchor="X352381994af353244ef7c7636739b63066ea2fd">
        <w:r>
          <w:rPr>
            <w:rStyle w:val="Hyperlink"/>
          </w:rPr>
          <w:t xml:space="preserve">16-memory-lock-class</w:t>
        </w:r>
      </w:hyperlink>
    </w:p>
    <w:p>
      <w:pPr>
        <w:numPr>
          <w:ilvl w:val="0"/>
          <w:numId w:val="1002"/>
        </w:numPr>
        <w:pStyle w:val="Compact"/>
      </w:pPr>
      <w:hyperlink w:anchor="X0d089e265f8c6436ec4522f63329c9811a96a2a">
        <w:r>
          <w:rPr>
            <w:rStyle w:val="Hyperlink"/>
          </w:rPr>
          <w:t xml:space="preserve">17-pipeline-hierarchy</w:t>
        </w:r>
      </w:hyperlink>
    </w:p>
    <w:p>
      <w:pPr>
        <w:numPr>
          <w:ilvl w:val="0"/>
          <w:numId w:val="1002"/>
        </w:numPr>
        <w:pStyle w:val="Compact"/>
      </w:pPr>
      <w:hyperlink w:anchor="X17626ab8047e79f63c7694d112e11a111ef5966">
        <w:r>
          <w:rPr>
            <w:rStyle w:val="Hyperlink"/>
          </w:rPr>
          <w:t xml:space="preserve">18-bronze-write-sequence</w:t>
        </w:r>
      </w:hyperlink>
    </w:p>
    <w:p>
      <w:pPr>
        <w:numPr>
          <w:ilvl w:val="0"/>
          <w:numId w:val="1002"/>
        </w:numPr>
        <w:pStyle w:val="Compact"/>
      </w:pPr>
      <w:hyperlink w:anchor="X163424ff82e4dbeac0f640592297c3d4b26bfb8">
        <w:r>
          <w:rPr>
            <w:rStyle w:val="Hyperlink"/>
          </w:rPr>
          <w:t xml:space="preserve">19-delta-lake-write-sequence</w:t>
        </w:r>
      </w:hyperlink>
    </w:p>
    <w:p>
      <w:pPr>
        <w:numPr>
          <w:ilvl w:val="0"/>
          <w:numId w:val="1002"/>
        </w:numPr>
        <w:pStyle w:val="Compact"/>
      </w:pPr>
      <w:hyperlink w:anchor="Xb0d8f44fdd022f78d8590833229680c947da223">
        <w:r>
          <w:rPr>
            <w:rStyle w:val="Hyperlink"/>
          </w:rPr>
          <w:t xml:space="preserve">20-quarantine-record-states</w:t>
        </w:r>
      </w:hyperlink>
    </w:p>
    <w:p>
      <w:pPr>
        <w:numPr>
          <w:ilvl w:val="0"/>
          <w:numId w:val="1002"/>
        </w:numPr>
        <w:pStyle w:val="Compact"/>
      </w:pPr>
      <w:hyperlink w:anchor="X741fc4e222a5424e8b7bbd418e2d0a870ac567f">
        <w:r>
          <w:rPr>
            <w:rStyle w:val="Hyperlink"/>
          </w:rPr>
          <w:t xml:space="preserve">21-activity-entity-data-flow</w:t>
        </w:r>
      </w:hyperlink>
    </w:p>
    <w:p>
      <w:pPr>
        <w:numPr>
          <w:ilvl w:val="0"/>
          <w:numId w:val="1002"/>
        </w:numPr>
        <w:pStyle w:val="Compact"/>
      </w:pPr>
      <w:hyperlink w:anchor="X8427bd046f602fb469c823fe995670c734b3e2c">
        <w:r>
          <w:rPr>
            <w:rStyle w:val="Hyperlink"/>
          </w:rPr>
          <w:t xml:space="preserve">22-client-api-request-sequence</w:t>
        </w:r>
      </w:hyperlink>
    </w:p>
    <w:p>
      <w:pPr>
        <w:numPr>
          <w:ilvl w:val="0"/>
          <w:numId w:val="1002"/>
        </w:numPr>
        <w:pStyle w:val="Compact"/>
      </w:pPr>
      <w:hyperlink w:anchor="X123e591846a9bac2adfc9d315924a517bf8cb40">
        <w:r>
          <w:rPr>
            <w:rStyle w:val="Hyperlink"/>
          </w:rPr>
          <w:t xml:space="preserve">23-silver-writer-class</w:t>
        </w:r>
      </w:hyperlink>
    </w:p>
    <w:p>
      <w:pPr>
        <w:numPr>
          <w:ilvl w:val="0"/>
          <w:numId w:val="1002"/>
        </w:numPr>
        <w:pStyle w:val="Compact"/>
      </w:pPr>
      <w:hyperlink w:anchor="Xe395a1d2fbd5f28f56cf360c8984fe70730f4d2">
        <w:r>
          <w:rPr>
            <w:rStyle w:val="Hyperlink"/>
          </w:rPr>
          <w:t xml:space="preserve">24-hash-service-class</w:t>
        </w:r>
      </w:hyperlink>
    </w:p>
    <w:p>
      <w:pPr>
        <w:numPr>
          <w:ilvl w:val="0"/>
          <w:numId w:val="1002"/>
        </w:numPr>
        <w:pStyle w:val="Compact"/>
      </w:pPr>
      <w:hyperlink w:anchor="Xd3483bc79029ad2e4e5f384a54dfadb0538c52b">
        <w:r>
          <w:rPr>
            <w:rStyle w:val="Hyperlink"/>
          </w:rPr>
          <w:t xml:space="preserve">25-circuit-breaker-observer-class</w:t>
        </w:r>
      </w:hyperlink>
    </w:p>
    <w:p>
      <w:pPr>
        <w:numPr>
          <w:ilvl w:val="0"/>
          <w:numId w:val="1002"/>
        </w:numPr>
        <w:pStyle w:val="Compact"/>
      </w:pPr>
      <w:hyperlink w:anchor="X2d810fae8eae78aebbfd7b00f4043c22aee4676">
        <w:r>
          <w:rPr>
            <w:rStyle w:val="Hyperlink"/>
          </w:rPr>
          <w:t xml:space="preserve">26-hexagonal-ports-adapters</w:t>
        </w:r>
      </w:hyperlink>
    </w:p>
    <w:p>
      <w:pPr>
        <w:numPr>
          <w:ilvl w:val="0"/>
          <w:numId w:val="1002"/>
        </w:numPr>
        <w:pStyle w:val="Compact"/>
      </w:pPr>
      <w:hyperlink w:anchor="X3c99cb6fd896848ba09ef69eb9a528a837b3e32">
        <w:r>
          <w:rPr>
            <w:rStyle w:val="Hyperlink"/>
          </w:rPr>
          <w:t xml:space="preserve">27-import-matrix-enforcement</w:t>
        </w:r>
      </w:hyperlink>
    </w:p>
    <w:p>
      <w:pPr>
        <w:numPr>
          <w:ilvl w:val="0"/>
          <w:numId w:val="1002"/>
        </w:numPr>
        <w:pStyle w:val="Compact"/>
      </w:pPr>
      <w:hyperlink w:anchor="X3743b2ae8cf1184675e81f715920da38230641f">
        <w:r>
          <w:rPr>
            <w:rStyle w:val="Hyperlink"/>
          </w:rPr>
          <w:t xml:space="preserve">28-composition-root-di-graph</w:t>
        </w:r>
      </w:hyperlink>
    </w:p>
    <w:p>
      <w:pPr>
        <w:numPr>
          <w:ilvl w:val="0"/>
          <w:numId w:val="1002"/>
        </w:numPr>
        <w:pStyle w:val="Compact"/>
      </w:pPr>
      <w:hyperlink w:anchor="X3b200f8bf5333da2c09ff0b1c202dca341f5cfb">
        <w:r>
          <w:rPr>
            <w:rStyle w:val="Hyperlink"/>
          </w:rPr>
          <w:t xml:space="preserve">29-composite-pipeline-workflow</w:t>
        </w:r>
      </w:hyperlink>
    </w:p>
    <w:p>
      <w:pPr>
        <w:numPr>
          <w:ilvl w:val="0"/>
          <w:numId w:val="1002"/>
        </w:numPr>
        <w:pStyle w:val="Compact"/>
      </w:pPr>
      <w:hyperlink w:anchor="X88f60b8c48c46a91ef564b619525d15c9f35c50">
        <w:r>
          <w:rPr>
            <w:rStyle w:val="Hyperlink"/>
          </w:rPr>
          <w:t xml:space="preserve">30-port-adapter-mapping</w:t>
        </w:r>
      </w:hyperlink>
    </w:p>
    <w:p>
      <w:pPr>
        <w:numPr>
          <w:ilvl w:val="0"/>
          <w:numId w:val="1002"/>
        </w:numPr>
        <w:pStyle w:val="Compact"/>
      </w:pPr>
      <w:hyperlink w:anchor="Xf6a2b3e329973445c637cc57a0f9157be06e2b2">
        <w:r>
          <w:rPr>
            <w:rStyle w:val="Hyperlink"/>
          </w:rPr>
          <w:t xml:space="preserve">31-pipeline-run-lifecycle</w:t>
        </w:r>
      </w:hyperlink>
    </w:p>
    <w:p>
      <w:pPr>
        <w:numPr>
          <w:ilvl w:val="0"/>
          <w:numId w:val="1002"/>
        </w:numPr>
        <w:pStyle w:val="Compact"/>
      </w:pPr>
      <w:hyperlink w:anchor="X95e67e18f32531dd1bbfc403eb9670b2074ee01">
        <w:r>
          <w:rPr>
            <w:rStyle w:val="Hyperlink"/>
          </w:rPr>
          <w:t xml:space="preserve">32-single-record-journey</w:t>
        </w:r>
      </w:hyperlink>
    </w:p>
    <w:p>
      <w:pPr>
        <w:numPr>
          <w:ilvl w:val="0"/>
          <w:numId w:val="1002"/>
        </w:numPr>
        <w:pStyle w:val="Compact"/>
      </w:pPr>
      <w:hyperlink w:anchor="X0917ca25517b91e89d8f04dbe0a1440ee39187f">
        <w:r>
          <w:rPr>
            <w:rStyle w:val="Hyperlink"/>
          </w:rPr>
          <w:t xml:space="preserve">33-cli-run-interaction</w:t>
        </w:r>
      </w:hyperlink>
    </w:p>
    <w:p>
      <w:pPr>
        <w:numPr>
          <w:ilvl w:val="0"/>
          <w:numId w:val="1002"/>
        </w:numPr>
        <w:pStyle w:val="Compact"/>
      </w:pPr>
      <w:hyperlink w:anchor="X91cd86356ba2faf2e0a9bd414d0951296675315">
        <w:r>
          <w:rPr>
            <w:rStyle w:val="Hyperlink"/>
          </w:rPr>
          <w:t xml:space="preserve">34-batch-processing-flow</w:t>
        </w:r>
      </w:hyperlink>
    </w:p>
    <w:p>
      <w:pPr>
        <w:numPr>
          <w:ilvl w:val="0"/>
          <w:numId w:val="1002"/>
        </w:numPr>
        <w:pStyle w:val="Compact"/>
      </w:pPr>
      <w:hyperlink w:anchor="X451cf94217d15ff94a7cf41ae8236d05aaffe5a">
        <w:r>
          <w:rPr>
            <w:rStyle w:val="Hyperlink"/>
          </w:rPr>
          <w:t xml:space="preserve">36-architecture-principles-mindmap</w:t>
        </w:r>
      </w:hyperlink>
    </w:p>
    <w:p>
      <w:pPr>
        <w:numPr>
          <w:ilvl w:val="0"/>
          <w:numId w:val="1002"/>
        </w:numPr>
        <w:pStyle w:val="Compact"/>
      </w:pPr>
      <w:hyperlink w:anchor="X5431eac4d76fe9efeefc198dfd9b51a4b333057">
        <w:r>
          <w:rPr>
            <w:rStyle w:val="Hyperlink"/>
          </w:rPr>
          <w:t xml:space="preserve">37-cli-entry-full-chain</w:t>
        </w:r>
      </w:hyperlink>
    </w:p>
    <w:p>
      <w:pPr>
        <w:numPr>
          <w:ilvl w:val="0"/>
          <w:numId w:val="1002"/>
        </w:numPr>
        <w:pStyle w:val="Compact"/>
      </w:pPr>
      <w:hyperlink w:anchor="X0cd94bce2644101397bb4b8bcdb37aa70f49574">
        <w:r>
          <w:rPr>
            <w:rStyle w:val="Hyperlink"/>
          </w:rPr>
          <w:t xml:space="preserve">38-runtime-assembly-sequence</w:t>
        </w:r>
      </w:hyperlink>
    </w:p>
    <w:p>
      <w:pPr>
        <w:numPr>
          <w:ilvl w:val="0"/>
          <w:numId w:val="1002"/>
        </w:numPr>
        <w:pStyle w:val="Compact"/>
      </w:pPr>
      <w:hyperlink w:anchor="Xfce282a39efb7cf43c2059159d8965b50c70b48">
        <w:r>
          <w:rPr>
            <w:rStyle w:val="Hyperlink"/>
          </w:rPr>
          <w:t xml:space="preserve">39-medallion-invariants</w:t>
        </w:r>
      </w:hyperlink>
    </w:p>
    <w:p>
      <w:pPr>
        <w:numPr>
          <w:ilvl w:val="0"/>
          <w:numId w:val="1002"/>
        </w:numPr>
        <w:pStyle w:val="Compact"/>
      </w:pPr>
      <w:hyperlink w:anchor="X2102ad3e94b919ed73aa161aeb60857b1ad1980">
        <w:r>
          <w:rPr>
            <w:rStyle w:val="Hyperlink"/>
          </w:rPr>
          <w:t xml:space="preserve">40-application-core-collaboration</w:t>
        </w:r>
      </w:hyperlink>
    </w:p>
    <w:p>
      <w:pPr>
        <w:numPr>
          <w:ilvl w:val="0"/>
          <w:numId w:val="1002"/>
        </w:numPr>
        <w:pStyle w:val="Compact"/>
      </w:pPr>
      <w:hyperlink w:anchor="Xecc15c5615242a5be79b6d6c5256660d241d79f">
        <w:r>
          <w:rPr>
            <w:rStyle w:val="Hyperlink"/>
          </w:rPr>
          <w:t xml:space="preserve">41-error-classification-tree</w:t>
        </w:r>
      </w:hyperlink>
    </w:p>
    <w:p>
      <w:pPr>
        <w:numPr>
          <w:ilvl w:val="0"/>
          <w:numId w:val="1002"/>
        </w:numPr>
        <w:pStyle w:val="Compact"/>
      </w:pPr>
      <w:hyperlink w:anchor="X68ab145737b6ffbd2277199ad622d39d5c323bc">
        <w:r>
          <w:rPr>
            <w:rStyle w:val="Hyperlink"/>
          </w:rPr>
          <w:t xml:space="preserve">42-pipeline-runner-class</w:t>
        </w:r>
      </w:hyperlink>
    </w:p>
    <w:p>
      <w:pPr>
        <w:numPr>
          <w:ilvl w:val="0"/>
          <w:numId w:val="1002"/>
        </w:numPr>
        <w:pStyle w:val="Compact"/>
      </w:pPr>
      <w:hyperlink w:anchor="Xe661c3d850007afa471e769e0ac65041c32a779">
        <w:r>
          <w:rPr>
            <w:rStyle w:val="Hyperlink"/>
          </w:rPr>
          <w:t xml:space="preserve">43-fan-out-fan-in-pattern</w:t>
        </w:r>
      </w:hyperlink>
    </w:p>
    <w:p>
      <w:pPr>
        <w:numPr>
          <w:ilvl w:val="0"/>
          <w:numId w:val="1002"/>
        </w:numPr>
        <w:pStyle w:val="Compact"/>
      </w:pPr>
      <w:hyperlink w:anchor="Xd0c2c4bc2da90b4c7c549d74b22bdd3d9e842ab">
        <w:r>
          <w:rPr>
            <w:rStyle w:val="Hyperlink"/>
          </w:rPr>
          <w:t xml:space="preserve">44-cross-provider-enrichment</w:t>
        </w:r>
      </w:hyperlink>
    </w:p>
    <w:p>
      <w:pPr>
        <w:numPr>
          <w:ilvl w:val="0"/>
          <w:numId w:val="1002"/>
        </w:numPr>
        <w:pStyle w:val="Compact"/>
      </w:pPr>
      <w:hyperlink w:anchor="X66e6ed976fa65f1410b99eb947425514b2a227f">
        <w:r>
          <w:rPr>
            <w:rStyle w:val="Hyperlink"/>
          </w:rPr>
          <w:t xml:space="preserve">46-yaml-config-resolution</w:t>
        </w:r>
      </w:hyperlink>
    </w:p>
    <w:p>
      <w:pPr>
        <w:numPr>
          <w:ilvl w:val="0"/>
          <w:numId w:val="1002"/>
        </w:numPr>
        <w:pStyle w:val="Compact"/>
      </w:pPr>
      <w:hyperlink w:anchor="Xf5f6c4712280e1f3310c01540e50a23124f8600">
        <w:r>
          <w:rPr>
            <w:rStyle w:val="Hyperlink"/>
          </w:rPr>
          <w:t xml:space="preserve">47-publication-merge-sources</w:t>
        </w:r>
      </w:hyperlink>
    </w:p>
    <w:p>
      <w:pPr>
        <w:numPr>
          <w:ilvl w:val="0"/>
          <w:numId w:val="1002"/>
        </w:numPr>
        <w:pStyle w:val="Compact"/>
      </w:pPr>
      <w:hyperlink w:anchor="X8ae33f72c1f2e3e2ff44641c86023eb7a5f7661">
        <w:r>
          <w:rPr>
            <w:rStyle w:val="Hyperlink"/>
          </w:rPr>
          <w:t xml:space="preserve">48-composite-phase-lifecycle</w:t>
        </w:r>
      </w:hyperlink>
    </w:p>
    <w:p>
      <w:pPr>
        <w:numPr>
          <w:ilvl w:val="0"/>
          <w:numId w:val="1002"/>
        </w:numPr>
        <w:pStyle w:val="Compact"/>
      </w:pPr>
      <w:hyperlink w:anchor="X5a29c95058cd80a781fd98ee0e076ebb5ef353c">
        <w:r>
          <w:rPr>
            <w:rStyle w:val="Hyperlink"/>
          </w:rPr>
          <w:t xml:space="preserve">49-composite-runner-class</w:t>
        </w:r>
      </w:hyperlink>
    </w:p>
    <w:p>
      <w:pPr>
        <w:numPr>
          <w:ilvl w:val="0"/>
          <w:numId w:val="1002"/>
        </w:numPr>
        <w:pStyle w:val="Compact"/>
      </w:pPr>
      <w:hyperlink w:anchor="Xdf57b4d242c081d776b7618d6f6605636676bd3">
        <w:r>
          <w:rPr>
            <w:rStyle w:val="Hyperlink"/>
          </w:rPr>
          <w:t xml:space="preserve">50-exception-hierarchy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63c4434a227f8a4a05d7d1df32a5702010a036e"/>
      <w:r>
        <w:t xml:space="preserve">01-full-system-component</w:t>
      </w:r>
      <w:bookmarkEnd w:id="22"/>
    </w:p>
    <w:p>
      <w:pPr>
        <w:pStyle w:val="FirstParagraph"/>
      </w:pPr>
      <w:r>
        <w:drawing>
          <wp:inline>
            <wp:extent cx="5334000" cy="4911551"/>
            <wp:effectExtent b="0" l="0" r="0" t="0"/>
            <wp:docPr descr="01-full-system-component" title="" id="1" name="Picture"/>
            <a:graphic>
              <a:graphicData uri="http://schemas.openxmlformats.org/drawingml/2006/picture">
                <pic:pic>
                  <pic:nvPicPr>
                    <pic:cNvPr descr="foundation/png/01-full-system-compone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11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3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mmd-diagrams/foundation/01-full-system-component.mmd</w:t>
      </w:r>
    </w:p>
    <w:p>
      <w:pPr>
        <w:pStyle w:val="Heading2"/>
      </w:pPr>
      <w:bookmarkStart w:id="24" w:name="описание"/>
      <w:r>
        <w:t xml:space="preserve">Описание</w:t>
      </w:r>
      <w:bookmarkEnd w:id="24"/>
    </w:p>
    <w:p>
      <w:pPr>
        <w:pStyle w:val="FirstParagraph"/>
      </w:pPr>
      <w:r>
        <w:t xml:space="preserve">Диаграмма Title: Full System Component Diagram из foundation-набора фиксирует устойчивый архитектурный или процессный паттерн проекта BioETL. Она представлена в формате flowchart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01-full-system-component. В комментариях исходника зафиксирован фокус диаграммы: Covers: RULES.md §1.1 (Five-Layer Architecture), §1.2 (Ports &amp; Adapters). Это снижает неоднозначность интерпретации и помогает поддерживать консистентность между визуальной документацией, ADR-решениями и реальным кодом. Ключевые блоки/подграфы включают: External Systems, Bioactivity Sources, Publication Sources, Interfaces Layer, Composition Layer. Их состав отражает главные границы ответственности и маршруты взаимодействия между подсистемами или слоями. Показательные узлы диаграммы: External Systems, Bioactivity Sources, ChEMBL API, PubChem API, UniProt API, Publication Sources. Они позволяют быстро сопоставлять термины, роли сервисов и артефакты данных между моделью и реализацией.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25" w:name="метаданные"/>
      <w:r>
        <w:t xml:space="preserve">Метаданные</w:t>
      </w:r>
      <w:bookmarkEnd w:id="25"/>
    </w:p>
    <w:p>
      <w:pPr>
        <w:numPr>
          <w:ilvl w:val="0"/>
          <w:numId w:val="1004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numPr>
          <w:ilvl w:val="0"/>
          <w:numId w:val="1004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04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2026-02-27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e0c5676856b1a884e04e3b98bb7150bc5ab1f9d"/>
      <w:r>
        <w:t xml:space="preserve">01-high-level</w:t>
      </w:r>
      <w:bookmarkEnd w:id="26"/>
    </w:p>
    <w:p>
      <w:pPr>
        <w:pStyle w:val="FirstParagraph"/>
      </w:pPr>
      <w:r>
        <w:drawing>
          <wp:inline>
            <wp:extent cx="5334000" cy="3441201"/>
            <wp:effectExtent b="0" l="0" r="0" t="0"/>
            <wp:docPr descr="01-high-level" title="" id="1" name="Picture"/>
            <a:graphic>
              <a:graphicData uri="http://schemas.openxmlformats.org/drawingml/2006/picture">
                <pic:pic>
                  <pic:nvPicPr>
                    <pic:cNvPr descr="foundation/png/01-high-leve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1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5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mmd-diagrams/foundation/01-high-level.mmd</w:t>
      </w:r>
    </w:p>
    <w:p>
      <w:pPr>
        <w:pStyle w:val="Heading2"/>
      </w:pPr>
      <w:bookmarkStart w:id="28" w:name="описание-1"/>
      <w:r>
        <w:t xml:space="preserve">Описание</w:t>
      </w:r>
      <w:bookmarkEnd w:id="28"/>
    </w:p>
    <w:p>
      <w:pPr>
        <w:pStyle w:val="FirstParagraph"/>
      </w:pPr>
      <w:r>
        <w:t xml:space="preserve">Диаграмма Title: High-Level System Architecture из foundation-набора фиксирует устойчивый архитектурный или процессный паттерн проекта BioETL. Она представлена в формате flowchart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01-high-level. В комментариях исходника зафиксирован фокус диаграммы: Covers: RULES.md §1.1 (Five-Layer Architecture). Это снижает неоднозначность интерпретации и помогает поддерживать консистентность между визуальной документацией, ADR-решениями и реальным кодом. Ключевые блоки/подграфы включают: External Data Sources, Interfaces Layer, Composition Layer, Application Layer, Infrastructure Layer. Их состав отражает главные границы ответственности и маршруты взаимодействия между подсистемами или слоями. Показательные узлы диаграммы: External Data Sources, ChEMBL API, PubChem API, UniProt API, PubMed API, CrossRef API. Они позволяют быстро сопоставлять термины, роли сервисов и артефакты данных между моделью и реализацией.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29" w:name="метаданные-1"/>
      <w:r>
        <w:t xml:space="preserve">Метаданные</w:t>
      </w:r>
      <w:bookmarkEnd w:id="29"/>
    </w:p>
    <w:p>
      <w:pPr>
        <w:numPr>
          <w:ilvl w:val="0"/>
          <w:numId w:val="1006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numPr>
          <w:ilvl w:val="0"/>
          <w:numId w:val="1006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06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11d7cbd40b7971e6f8932c760a6279860b7c20e"/>
      <w:r>
        <w:t xml:space="preserve">02-full-medallion-data-flow</w:t>
      </w:r>
      <w:bookmarkEnd w:id="30"/>
    </w:p>
    <w:p>
      <w:pPr>
        <w:pStyle w:val="FirstParagraph"/>
      </w:pPr>
      <w:r>
        <w:drawing>
          <wp:inline>
            <wp:extent cx="5334000" cy="1926747"/>
            <wp:effectExtent b="0" l="0" r="0" t="0"/>
            <wp:docPr descr="02-full-medallion-data-flow" title="" id="1" name="Picture"/>
            <a:graphic>
              <a:graphicData uri="http://schemas.openxmlformats.org/drawingml/2006/picture">
                <pic:pic>
                  <pic:nvPicPr>
                    <pic:cNvPr descr="foundation/png/02-full-medallion-data-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6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7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mmd-diagrams/foundation/02-full-medallion-data-flow.mmd</w:t>
      </w:r>
    </w:p>
    <w:p>
      <w:pPr>
        <w:pStyle w:val="Heading2"/>
      </w:pPr>
      <w:bookmarkStart w:id="32" w:name="описание-2"/>
      <w:r>
        <w:t xml:space="preserve">Описание</w:t>
      </w:r>
      <w:bookmarkEnd w:id="32"/>
    </w:p>
    <w:p>
      <w:pPr>
        <w:pStyle w:val="FirstParagraph"/>
      </w:pPr>
      <w:r>
        <w:t xml:space="preserve">Диаграмма Title: Full Medallion Data Flow with Lineage and DQ из foundation-набора фиксирует устойчивый архитектурный или процессный паттерн проекта BioETL. Она представлена в формате flowchart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02-full-medallion-data-flow. В комментариях исходника зафиксирован фокус диаграммы: Covers: RULES.md §2.1 (Medallion Architecture), §2.3 (Quarantine), §3.1 (DQ). Это снижает неоднозначность интерпретации и помогает поддерживать консистентность между визуальной документацией, ADR-решениями и реальным кодом. Ключевые блоки/подграфы включают: External Sources, Bronze Layer, Silver Layer, Gold Layer, Data Quality Branch. Их состав отражает главные границы ответственности и маршруты взаимодействия между подсистемами или слоями. Показательные узлы диаграммы: External Sources, ChEMBL API, PubChem API, UniProt API, PubMed API, CrossRef API. Они позволяют быстро сопоставлять термины, роли сервисов и артефакты данных между моделью и реализацией.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33" w:name="метаданные-2"/>
      <w:r>
        <w:t xml:space="preserve">Метаданные</w:t>
      </w:r>
      <w:bookmarkEnd w:id="33"/>
    </w:p>
    <w:p>
      <w:pPr>
        <w:numPr>
          <w:ilvl w:val="0"/>
          <w:numId w:val="1008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numPr>
          <w:ilvl w:val="0"/>
          <w:numId w:val="1008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08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3f1b2168b98201fdaba974a4da4cd142eb20cc0"/>
      <w:r>
        <w:t xml:space="preserve">03-pipeline-execution-happy-path</w:t>
      </w:r>
      <w:bookmarkEnd w:id="34"/>
    </w:p>
    <w:p>
      <w:pPr>
        <w:pStyle w:val="FirstParagraph"/>
      </w:pPr>
      <w:r>
        <w:drawing>
          <wp:inline>
            <wp:extent cx="5334000" cy="4068132"/>
            <wp:effectExtent b="0" l="0" r="0" t="0"/>
            <wp:docPr descr="03-pipeline-execution-happy-path" title="" id="1" name="Picture"/>
            <a:graphic>
              <a:graphicData uri="http://schemas.openxmlformats.org/drawingml/2006/picture">
                <pic:pic>
                  <pic:nvPicPr>
                    <pic:cNvPr descr="foundation/png/03-pipeline-execution-happy-path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8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9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mmd-diagrams/foundation/03-pipeline-execution-happy-path.mmd</w:t>
      </w:r>
    </w:p>
    <w:p>
      <w:pPr>
        <w:pStyle w:val="Heading2"/>
      </w:pPr>
      <w:bookmarkStart w:id="36" w:name="описание-3"/>
      <w:r>
        <w:t xml:space="preserve">Описание</w:t>
      </w:r>
      <w:bookmarkEnd w:id="36"/>
    </w:p>
    <w:p>
      <w:pPr>
        <w:pStyle w:val="FirstParagraph"/>
      </w:pPr>
      <w:r>
        <w:t xml:space="preserve">Диаграмма Title: Pipeline Execution — Happy Path из foundation-набора фиксирует устойчивый архитектурный или процессный паттерн проекта BioETL. Она представлена в формате sequenceDiagram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03-pipeline-execution-happy-path. В комментариях исходника зафиксирован фокус диаграммы: Covers: RULES.md §3 (Pipeline Execution), §3.3 (Locking), §3.4 (Postrun). Это снижает неоднозначность интерпретации и помогает поддерживать консистентность между визуальной документацией, ADR-решениями и реальным кодом. Значимые участники последовательностей: CLI, bootstrap_pipeline(), PipelineRunner, LockManager, PreflightService. По этим участникам удобно валидировать порядок вызовов, точки отказа и стратегию обработки ошибок.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37" w:name="метаданные-3"/>
      <w:r>
        <w:t xml:space="preserve">Метаданные</w:t>
      </w:r>
      <w:bookmarkEnd w:id="37"/>
    </w:p>
    <w:p>
      <w:pPr>
        <w:numPr>
          <w:ilvl w:val="0"/>
          <w:numId w:val="1010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sequenceDiagram</w:t>
      </w:r>
    </w:p>
    <w:p>
      <w:pPr>
        <w:numPr>
          <w:ilvl w:val="0"/>
          <w:numId w:val="1010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10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X6b3bd66cf4d03c654a54be655b02b751e35f5f2"/>
      <w:r>
        <w:t xml:space="preserve">04-domain-layer-class-diagram</w:t>
      </w:r>
      <w:bookmarkEnd w:id="38"/>
    </w:p>
    <w:p>
      <w:pPr>
        <w:pStyle w:val="FirstParagraph"/>
      </w:pPr>
      <w:r>
        <w:drawing>
          <wp:inline>
            <wp:extent cx="5334000" cy="5289129"/>
            <wp:effectExtent b="0" l="0" r="0" t="0"/>
            <wp:docPr descr="04-domain-layer-class-diagram" title="" id="1" name="Picture"/>
            <a:graphic>
              <a:graphicData uri="http://schemas.openxmlformats.org/drawingml/2006/picture">
                <pic:pic>
                  <pic:nvPicPr>
                    <pic:cNvPr descr="foundation/png/04-domain-layer-class-diagra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9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1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mmd-diagrams/foundation/04-domain-layer-class-diagram.mmd</w:t>
      </w:r>
    </w:p>
    <w:p>
      <w:pPr>
        <w:pStyle w:val="Heading2"/>
      </w:pPr>
      <w:bookmarkStart w:id="40" w:name="описание-4"/>
      <w:r>
        <w:t xml:space="preserve">Описание</w:t>
      </w:r>
      <w:bookmarkEnd w:id="40"/>
    </w:p>
    <w:p>
      <w:pPr>
        <w:pStyle w:val="FirstParagraph"/>
      </w:pPr>
      <w:r>
        <w:t xml:space="preserve">Диаграмма Title: Domain Layer Class Diagram из foundation-набора фиксирует устойчивый архитектурный или процессный паттерн проекта BioETL. Она представлена в формате classDiagram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04-domain-layer-class-diagram. В комментариях исходника зафиксирован фокус диаграммы: Covers: RULES.md §1.1 (Domain Layer), §1.2 (Ports), §1.3 (Entities). Это снижает неоднозначность интерпретации и помогает поддерживать консистентность между визуальной документацией, ADR-решениями и реальным кодом.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41" w:name="метаданные-4"/>
      <w:r>
        <w:t xml:space="preserve">Метаданные</w:t>
      </w:r>
      <w:bookmarkEnd w:id="41"/>
    </w:p>
    <w:p>
      <w:pPr>
        <w:numPr>
          <w:ilvl w:val="0"/>
          <w:numId w:val="1012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numPr>
          <w:ilvl w:val="0"/>
          <w:numId w:val="1012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12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Xf4926e23628bd0fd087f9335f8a060794707461"/>
      <w:r>
        <w:t xml:space="preserve">04-error-flow</w:t>
      </w:r>
      <w:bookmarkEnd w:id="42"/>
    </w:p>
    <w:p>
      <w:pPr>
        <w:pStyle w:val="FirstParagraph"/>
      </w:pPr>
      <w:r>
        <w:drawing>
          <wp:inline>
            <wp:extent cx="5334000" cy="8182042"/>
            <wp:effectExtent b="0" l="0" r="0" t="0"/>
            <wp:docPr descr="04-error-flow" title="" id="1" name="Picture"/>
            <a:graphic>
              <a:graphicData uri="http://schemas.openxmlformats.org/drawingml/2006/picture">
                <pic:pic>
                  <pic:nvPicPr>
                    <pic:cNvPr descr="foundation/png/04-error-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82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3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mmd-diagrams/foundation/04-error-flow.mmd</w:t>
      </w:r>
    </w:p>
    <w:p>
      <w:pPr>
        <w:pStyle w:val="Heading2"/>
      </w:pPr>
      <w:bookmarkStart w:id="44" w:name="описание-5"/>
      <w:r>
        <w:t xml:space="preserve">Описание</w:t>
      </w:r>
      <w:bookmarkEnd w:id="44"/>
    </w:p>
    <w:p>
      <w:pPr>
        <w:pStyle w:val="FirstParagraph"/>
      </w:pPr>
      <w:r>
        <w:t xml:space="preserve">Диаграмма Title: Error Handling and Quarantine Flow из foundation-набора фиксирует устойчивый архитектурный или процессный паттерн проекта BioETL. Она представлена в формате flowchart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04-error-flow. В комментариях исходника зафиксирован фокус диаграммы: Covers: RULES.md §3.1 (Error Classification), §2.3 (Quarantine). Это снижает неоднозначность интерпретации и помогает поддерживать консистентность между визуальной документацией, ADR-решениями и реальным кодом. Ключевые блоки/подграфы включают: Pipeline Execution, Error Classification (§3.1), Error Handling, Quarantine (§2.3). Их состав отражает главные границы ответственности и маршруты взаимодействия между подсистемами или слоями. Показательные узлы диаграммы: Pipeline Execution, Error Classification (§3.1), Error Handling, Quarantine (§2.3). Они позволяют быстро сопоставлять термины, роли сервисов и артефакты данных между моделью и реализацией.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45" w:name="метаданные-5"/>
      <w:r>
        <w:t xml:space="preserve">Метаданные</w:t>
      </w:r>
      <w:bookmarkEnd w:id="45"/>
    </w:p>
    <w:p>
      <w:pPr>
        <w:numPr>
          <w:ilvl w:val="0"/>
          <w:numId w:val="1014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numPr>
          <w:ilvl w:val="0"/>
          <w:numId w:val="1014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14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X1ad685500963c79cf65865ef229fd52feab10d9"/>
      <w:r>
        <w:t xml:space="preserve">05-layers-interaction</w:t>
      </w:r>
      <w:bookmarkEnd w:id="46"/>
    </w:p>
    <w:p>
      <w:pPr>
        <w:pStyle w:val="FirstParagraph"/>
      </w:pPr>
      <w:r>
        <w:drawing>
          <wp:inline>
            <wp:extent cx="5334000" cy="4575417"/>
            <wp:effectExtent b="0" l="0" r="0" t="0"/>
            <wp:docPr descr="05-layers-interaction" title="" id="1" name="Picture"/>
            <a:graphic>
              <a:graphicData uri="http://schemas.openxmlformats.org/drawingml/2006/picture">
                <pic:pic>
                  <pic:nvPicPr>
                    <pic:cNvPr descr="foundation/png/05-layers-interac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5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5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mmd-diagrams/foundation/05-layers-interaction.mmd</w:t>
      </w:r>
    </w:p>
    <w:p>
      <w:pPr>
        <w:pStyle w:val="Heading2"/>
      </w:pPr>
      <w:bookmarkStart w:id="48" w:name="описание-6"/>
      <w:r>
        <w:t xml:space="preserve">Описание</w:t>
      </w:r>
      <w:bookmarkEnd w:id="48"/>
    </w:p>
    <w:p>
      <w:pPr>
        <w:pStyle w:val="FirstParagraph"/>
      </w:pPr>
      <w:r>
        <w:t xml:space="preserve">Диаграмма Title: Layer Interaction — Hexagonal Architecture из foundation-набора фиксирует устойчивый архитектурный или процессный паттерн проекта BioETL. Она представлена в формате flowchart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05-layers-interaction. В комментариях исходника зафиксирован фокус диаграммы: Covers: RULES.md §1.1 (Layers), §1.2 (Ports &amp; Adapters). Это снижает неоднозначность интерпретации и помогает поддерживать консистентность между визуальной документацией, ADR-решениями и реальным кодом. Ключевые блоки/подграфы включают: Interfaces Layer, Composition Layer, Application Layer, Composite Pipeline (ADR-026), Domain Layer. Их состав отражает главные границы ответственности и маршруты взаимодействия между подсистемами или слоями. Показательные узлы диаграммы: Interfaces Layer, Composition Layer, Application Layer, Composite Pipeline (ADR-026), Domain Layer, Infrastructure Layer. Они позволяют быстро сопоставлять термины, роли сервисов и артефакты данных между моделью и реализацией.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49" w:name="метаданные-6"/>
      <w:r>
        <w:t xml:space="preserve">Метаданные</w:t>
      </w:r>
      <w:bookmarkEnd w:id="49"/>
    </w:p>
    <w:p>
      <w:pPr>
        <w:numPr>
          <w:ilvl w:val="0"/>
          <w:numId w:val="1016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numPr>
          <w:ilvl w:val="0"/>
          <w:numId w:val="1016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16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X89f1e5883101dfc9687ba44402343f699385f77"/>
      <w:r>
        <w:t xml:space="preserve">05-pipeline-lifecycle-states</w:t>
      </w:r>
      <w:bookmarkEnd w:id="50"/>
    </w:p>
    <w:p>
      <w:pPr>
        <w:pStyle w:val="FirstParagraph"/>
      </w:pPr>
      <w:r>
        <w:drawing>
          <wp:inline>
            <wp:extent cx="5334000" cy="14830898"/>
            <wp:effectExtent b="0" l="0" r="0" t="0"/>
            <wp:docPr descr="05-pipeline-lifecycle-states" title="" id="1" name="Picture"/>
            <a:graphic>
              <a:graphicData uri="http://schemas.openxmlformats.org/drawingml/2006/picture">
                <pic:pic>
                  <pic:nvPicPr>
                    <pic:cNvPr descr="foundation/png/05-pipeline-lifecycle-stat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30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7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mmd-diagrams/foundation/05-pipeline-lifecycle-states.mmd</w:t>
      </w:r>
    </w:p>
    <w:p>
      <w:pPr>
        <w:pStyle w:val="Heading2"/>
      </w:pPr>
      <w:bookmarkStart w:id="52" w:name="описание-7"/>
      <w:r>
        <w:t xml:space="preserve">Описание</w:t>
      </w:r>
      <w:bookmarkEnd w:id="52"/>
    </w:p>
    <w:p>
      <w:pPr>
        <w:pStyle w:val="FirstParagraph"/>
      </w:pPr>
      <w:r>
        <w:t xml:space="preserve">Диаграмма Title: Pipeline Lifecycle State Machine из foundation-набора фиксирует устойчивый архитектурный или процессный паттерн проекта BioETL. Она представлена в формате stateDiagram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05-pipeline-lifecycle-states. В комментариях исходника зафиксирован фокус диаграммы: Covers: RULES.md §3 (Pipeline Execution), §3.5 (Graceful Shutdown). Это снижает неоднозначность интерпретации и помогает поддерживать консистентность между визуальной документацией, ADR-решениями и реальным кодом.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53" w:name="метаданные-7"/>
      <w:r>
        <w:t xml:space="preserve">Метаданные</w:t>
      </w:r>
      <w:bookmarkEnd w:id="53"/>
    </w:p>
    <w:p>
      <w:pPr>
        <w:numPr>
          <w:ilvl w:val="0"/>
          <w:numId w:val="1018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stateDiagram</w:t>
      </w:r>
    </w:p>
    <w:p>
      <w:pPr>
        <w:numPr>
          <w:ilvl w:val="0"/>
          <w:numId w:val="1018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18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X1080d485061eb3a8ab64df08a0f33d35cfc4da9"/>
      <w:r>
        <w:t xml:space="preserve">06-application-layer-class-diagram</w:t>
      </w:r>
      <w:bookmarkEnd w:id="54"/>
    </w:p>
    <w:p>
      <w:pPr>
        <w:pStyle w:val="FirstParagraph"/>
      </w:pPr>
      <w:r>
        <w:drawing>
          <wp:inline>
            <wp:extent cx="5334000" cy="1211561"/>
            <wp:effectExtent b="0" l="0" r="0" t="0"/>
            <wp:docPr descr="06-application-layer-class-diagram" title="" id="1" name="Picture"/>
            <a:graphic>
              <a:graphicData uri="http://schemas.openxmlformats.org/drawingml/2006/picture">
                <pic:pic>
                  <pic:nvPicPr>
                    <pic:cNvPr descr="foundation/png/06-application-layer-class-diagra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1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9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mmd-diagrams/foundation/06-application-layer-class-diagram.mmd</w:t>
      </w:r>
    </w:p>
    <w:p>
      <w:pPr>
        <w:pStyle w:val="Heading2"/>
      </w:pPr>
      <w:bookmarkStart w:id="56" w:name="описание-8"/>
      <w:r>
        <w:t xml:space="preserve">Описание</w:t>
      </w:r>
      <w:bookmarkEnd w:id="56"/>
    </w:p>
    <w:p>
      <w:pPr>
        <w:pStyle w:val="FirstParagraph"/>
      </w:pPr>
      <w:r>
        <w:t xml:space="preserve">Диаграмма Title: Application Layer Class Diagram из foundation-набора фиксирует устойчивый архитектурный или процессный паттерн проекта BioETL. Она представлена в формате classDiagram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06-application-layer-class-diagram. В комментариях исходника зафиксирован фокус диаграммы: Covers: RULES.md §1.1 (Application Layer), §3 (Pipeline Execution). Это снижает неоднозначность интерпретации и помогает поддерживать консистентность между визуальной документацией, ADR-решениями и реальным кодом.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57" w:name="метаданные-8"/>
      <w:r>
        <w:t xml:space="preserve">Метаданные</w:t>
      </w:r>
      <w:bookmarkEnd w:id="57"/>
    </w:p>
    <w:p>
      <w:pPr>
        <w:numPr>
          <w:ilvl w:val="0"/>
          <w:numId w:val="1020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numPr>
          <w:ilvl w:val="0"/>
          <w:numId w:val="1020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20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X6e665c1f0086d461538b9fb073ac687bdc53a67"/>
      <w:r>
        <w:t xml:space="preserve">06-pipeline-execution</w:t>
      </w:r>
      <w:bookmarkEnd w:id="58"/>
    </w:p>
    <w:p>
      <w:pPr>
        <w:pStyle w:val="FirstParagraph"/>
      </w:pPr>
      <w:r>
        <w:drawing>
          <wp:inline>
            <wp:extent cx="5334000" cy="3895868"/>
            <wp:effectExtent b="0" l="0" r="0" t="0"/>
            <wp:docPr descr="06-pipeline-execution" title="" id="1" name="Picture"/>
            <a:graphic>
              <a:graphicData uri="http://schemas.openxmlformats.org/drawingml/2006/picture">
                <pic:pic>
                  <pic:nvPicPr>
                    <pic:cNvPr descr="foundation/png/06-pipeline-execu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5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21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mmd-diagrams/foundation/06-pipeline-execution.mmd</w:t>
      </w:r>
    </w:p>
    <w:p>
      <w:pPr>
        <w:pStyle w:val="Heading2"/>
      </w:pPr>
      <w:bookmarkStart w:id="60" w:name="описание-9"/>
      <w:r>
        <w:t xml:space="preserve">Описание</w:t>
      </w:r>
      <w:bookmarkEnd w:id="60"/>
    </w:p>
    <w:p>
      <w:pPr>
        <w:pStyle w:val="FirstParagraph"/>
      </w:pPr>
      <w:r>
        <w:t xml:space="preserve">Диаграмма Title: Pipeline Execution Sequence (Full) из foundation-набора фиксирует устойчивый архитектурный или процессный паттерн проекта BioETL. Она представлена в формате sequenceDiagram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06-pipeline-execution. В комментариях исходника зафиксирован фокус диаграммы: Covers: RULES.md §3 (Pipeline Execution), §3.2 (Preflight), §3.4 (Postrun). Это снижает неоднозначность интерпретации и помогает поддерживать консистентность между визуальной документацией, ADR-решениями и реальным кодом. Значимые участники последовательностей: CLI, bootstrap_pipeline, PipelineRunner, PreflightService, PipelineExecutor. По этим участникам удобно валидировать порядок вызовов, точки отказа и стратегию обработки ошибок.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61" w:name="метаданные-9"/>
      <w:r>
        <w:t xml:space="preserve">Метаданные</w:t>
      </w:r>
      <w:bookmarkEnd w:id="61"/>
    </w:p>
    <w:p>
      <w:pPr>
        <w:numPr>
          <w:ilvl w:val="0"/>
          <w:numId w:val="1022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sequenceDiagram</w:t>
      </w:r>
    </w:p>
    <w:p>
      <w:pPr>
        <w:numPr>
          <w:ilvl w:val="0"/>
          <w:numId w:val="1022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22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X8838cc651a8819630971bf292af02852261de69"/>
      <w:r>
        <w:t xml:space="preserve">07-circuit-breaker-states</w:t>
      </w:r>
      <w:bookmarkEnd w:id="62"/>
    </w:p>
    <w:p>
      <w:pPr>
        <w:pStyle w:val="FirstParagraph"/>
      </w:pPr>
      <w:r>
        <w:drawing>
          <wp:inline>
            <wp:extent cx="5334000" cy="6739622"/>
            <wp:effectExtent b="0" l="0" r="0" t="0"/>
            <wp:docPr descr="07-circuit-breaker-states" title="" id="1" name="Picture"/>
            <a:graphic>
              <a:graphicData uri="http://schemas.openxmlformats.org/drawingml/2006/picture">
                <pic:pic>
                  <pic:nvPicPr>
                    <pic:cNvPr descr="foundation/png/07-circuit-breaker-stat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39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23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mmd-diagrams/foundation/07-circuit-breaker-states.mmd</w:t>
      </w:r>
    </w:p>
    <w:p>
      <w:pPr>
        <w:pStyle w:val="Heading2"/>
      </w:pPr>
      <w:bookmarkStart w:id="64" w:name="описание-10"/>
      <w:r>
        <w:t xml:space="preserve">Описание</w:t>
      </w:r>
      <w:bookmarkEnd w:id="64"/>
    </w:p>
    <w:p>
      <w:pPr>
        <w:pStyle w:val="FirstParagraph"/>
      </w:pPr>
      <w:r>
        <w:t xml:space="preserve">Диаграмма Title: Circuit Breaker State Machine из foundation-набора фиксирует устойчивый архитектурный или процессный паттерн проекта BioETL. Она представлена в формате stateDiagram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07-circuit-breaker-states. В комментариях исходника зафиксирован фокус диаграммы: Covers: RULES.md §3.6 (Resilience), ADR-007. Это снижает неоднозначность интерпретации и помогает поддерживать консистентность между визуальной документацией, ADR-решениями и реальным кодом.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65" w:name="метаданные-10"/>
      <w:r>
        <w:t xml:space="preserve">Метаданные</w:t>
      </w:r>
      <w:bookmarkEnd w:id="65"/>
    </w:p>
    <w:p>
      <w:pPr>
        <w:numPr>
          <w:ilvl w:val="0"/>
          <w:numId w:val="1024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stateDiagram</w:t>
      </w:r>
    </w:p>
    <w:p>
      <w:pPr>
        <w:numPr>
          <w:ilvl w:val="0"/>
          <w:numId w:val="1024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24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X6ca540c4c216f83f83ea79053529aee913a6958"/>
      <w:r>
        <w:t xml:space="preserve">07-medallion-flow</w:t>
      </w:r>
      <w:bookmarkEnd w:id="66"/>
    </w:p>
    <w:p>
      <w:pPr>
        <w:pStyle w:val="FirstParagraph"/>
      </w:pPr>
      <w:r>
        <w:drawing>
          <wp:inline>
            <wp:extent cx="5334000" cy="2744114"/>
            <wp:effectExtent b="0" l="0" r="0" t="0"/>
            <wp:docPr descr="07-medallion-flow" title="" id="1" name="Picture"/>
            <a:graphic>
              <a:graphicData uri="http://schemas.openxmlformats.org/drawingml/2006/picture">
                <pic:pic>
                  <pic:nvPicPr>
                    <pic:cNvPr descr="foundation/png/07-medallion-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4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25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mmd-diagrams/foundation/07-medallion-flow.mmd</w:t>
      </w:r>
    </w:p>
    <w:p>
      <w:pPr>
        <w:pStyle w:val="Heading2"/>
      </w:pPr>
      <w:bookmarkStart w:id="68" w:name="описание-11"/>
      <w:r>
        <w:t xml:space="preserve">Описание</w:t>
      </w:r>
      <w:bookmarkEnd w:id="68"/>
    </w:p>
    <w:p>
      <w:pPr>
        <w:pStyle w:val="FirstParagraph"/>
      </w:pPr>
      <w:r>
        <w:t xml:space="preserve">Диаграмма Title: Medallion Data Flow (Sources → Bronze → Silver → Gold) из foundation-набора фиксирует устойчивый архитектурный или процессный паттерн проекта BioETL. Она представлена в формате flowchart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07-medallion-flow. В комментариях исходника зафиксирован фокус диаграммы: Covers: RULES.md §2.1 (Medallion Architecture), §2.8 (Transformation). Это снижает неоднозначность интерпретации и помогает поддерживать консистентность между визуальной документацией, ADR-решениями и реальным кодом. Ключевые блоки/подграфы включают: External Sources, Bronze Layer, Silver Layer, Gold Layer, Data Characteristics. Их состав отражает главные границы ответственности и маршруты взаимодействия между подсистемами или слоями. Показательные узлы диаграммы: External Sources, Bronze Layer, JSONL + zstd Append-only 90d retention, Silver Layer, Delta Lake Merge/Upsert ACID transactions, Gold Layer. Они позволяют быстро сопоставлять термины, роли сервисов и артефакты данных между моделью и реализацией.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69" w:name="метаданные-11"/>
      <w:r>
        <w:t xml:space="preserve">Метаданные</w:t>
      </w:r>
      <w:bookmarkEnd w:id="69"/>
    </w:p>
    <w:p>
      <w:pPr>
        <w:numPr>
          <w:ilvl w:val="0"/>
          <w:numId w:val="1026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numPr>
          <w:ilvl w:val="0"/>
          <w:numId w:val="1026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26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0" w:name="Xf802cf2137ef2034986fd0df8b9c460c22acaba"/>
      <w:r>
        <w:t xml:space="preserve">08-complete-etl-workflow</w:t>
      </w:r>
      <w:bookmarkEnd w:id="70"/>
    </w:p>
    <w:p>
      <w:pPr>
        <w:pStyle w:val="FirstParagraph"/>
      </w:pPr>
      <w:r>
        <w:drawing>
          <wp:inline>
            <wp:extent cx="5334000" cy="7456525"/>
            <wp:effectExtent b="0" l="0" r="0" t="0"/>
            <wp:docPr descr="08-complete-etl-workflow" title="" id="1" name="Picture"/>
            <a:graphic>
              <a:graphicData uri="http://schemas.openxmlformats.org/drawingml/2006/picture">
                <pic:pic>
                  <pic:nvPicPr>
                    <pic:cNvPr descr="foundation/png/08-complete-etl-work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56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27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mmd-diagrams/foundation/08-complete-etl-workflow.mmd</w:t>
      </w:r>
    </w:p>
    <w:p>
      <w:pPr>
        <w:pStyle w:val="Heading2"/>
      </w:pPr>
      <w:bookmarkStart w:id="72" w:name="описание-12"/>
      <w:r>
        <w:t xml:space="preserve">Описание</w:t>
      </w:r>
      <w:bookmarkEnd w:id="72"/>
    </w:p>
    <w:p>
      <w:pPr>
        <w:pStyle w:val="FirstParagraph"/>
      </w:pPr>
      <w:r>
        <w:t xml:space="preserve">Диаграмма Title: Complete ETL Workflow (6 Phases) из foundation-набора фиксирует устойчивый архитектурный или процессный паттерн проекта BioETL. Она представлена в формате flowchart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08-complete-etl-workflow. В комментариях исходника зафиксирован фокус диаграммы: Covers: RULES.md §3 (Pipeline Execution), §3.2 (Preflight), §3.4 (Postrun). Это снижает неоднозначность интерпретации и помогает поддерживать консистентность между визуальной документацией, ADR-решениями и реальным кодом. Ключевые блоки/подграфы включают: Phase 1: Prepare, Phase 2: Extract, Phase 3: Transform, Normalization Rules, Metadata Fields. Их состав отражает главные границы ответственности и маршруты взаимодействия между подсистемами или слоями. Показательные узлы диаграммы: Phase 1: Prepare, Phase 2: Extract, Phase 3: Transform, Normalization Rules, NaN/Inf → null, Floats → round(10). Они позволяют быстро сопоставлять термины, роли сервисов и артефакты данных между моделью и реализацией.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73" w:name="метаданные-12"/>
      <w:r>
        <w:t xml:space="preserve">Метаданные</w:t>
      </w:r>
      <w:bookmarkEnd w:id="73"/>
    </w:p>
    <w:p>
      <w:pPr>
        <w:numPr>
          <w:ilvl w:val="0"/>
          <w:numId w:val="1028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numPr>
          <w:ilvl w:val="0"/>
          <w:numId w:val="1028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28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4" w:name="X9c5e0a8f3089e0a4cb72d90e936ade484a5588d"/>
      <w:r>
        <w:t xml:space="preserve">08-domain-ddd</w:t>
      </w:r>
      <w:bookmarkEnd w:id="74"/>
    </w:p>
    <w:p>
      <w:pPr>
        <w:pStyle w:val="FirstParagraph"/>
      </w:pPr>
      <w:r>
        <w:drawing>
          <wp:inline>
            <wp:extent cx="5334000" cy="508139"/>
            <wp:effectExtent b="0" l="0" r="0" t="0"/>
            <wp:docPr descr="08-domain-ddd" title="" id="1" name="Picture"/>
            <a:graphic>
              <a:graphicData uri="http://schemas.openxmlformats.org/drawingml/2006/picture">
                <pic:pic>
                  <pic:nvPicPr>
                    <pic:cNvPr descr="foundation/png/08-domain-dd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29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mmd-diagrams/foundation/08-domain-ddd.mmd</w:t>
      </w:r>
    </w:p>
    <w:p>
      <w:pPr>
        <w:pStyle w:val="Heading2"/>
      </w:pPr>
      <w:bookmarkStart w:id="76" w:name="описание-13"/>
      <w:r>
        <w:t xml:space="preserve">Описание</w:t>
      </w:r>
      <w:bookmarkEnd w:id="76"/>
    </w:p>
    <w:p>
      <w:pPr>
        <w:pStyle w:val="FirstParagraph"/>
      </w:pPr>
      <w:r>
        <w:t xml:space="preserve">Диаграмма Title: Domain Layer — DDD Components из foundation-набора фиксирует устойчивый архитектурный или процессный паттерн проекта BioETL. Она представлена в формате flowchart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08-domain-ddd. В комментариях исходника зафиксирован фокус диаграммы: Covers: RULES.md §1.1 (Domain Layer), §1.3 (DDD Aggregates), ADR-021. Это снижает неоднозначность интерпретации и помогает поддерживать консистентность между визуальной документацией, ADR-решениями и реальным кодом. Ключевые блоки/подграфы включают: Domain Layer (DDD), ports/, aggregates/, Domain Events, value_objects/. Их состав отражает главные границы ответственности и маршруты взаимодействия между подсистемами или слоями. Показательные узлы диаграммы: Domain Layer (DDD), ports/, aggregates/, Batch Aggregate ─────────────── • add_record() • quarantine_record() • seal() • mark_committed(), PipelineRun Aggregate ─────────────── • start() • record_stage_success() • complete() • fail(), QuarantineEntry Aggregate ─────────────── • mark_retrying() • mark_recovered() • mark_dead_letter(). Они позволяют быстро сопоставлять термины, роли сервисов и артефакты данных между моделью и реализацией.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77" w:name="метаданные-13"/>
      <w:r>
        <w:t xml:space="preserve">Метаданные</w:t>
      </w:r>
      <w:bookmarkEnd w:id="77"/>
    </w:p>
    <w:p>
      <w:pPr>
        <w:numPr>
          <w:ilvl w:val="0"/>
          <w:numId w:val="1030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numPr>
          <w:ilvl w:val="0"/>
          <w:numId w:val="1030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30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8" w:name="X68dc24e831d87c3494446b6fca158d0948ba54e"/>
      <w:r>
        <w:t xml:space="preserve">09-full-er-diagram</w:t>
      </w:r>
      <w:bookmarkEnd w:id="78"/>
    </w:p>
    <w:p>
      <w:pPr>
        <w:pStyle w:val="FirstParagraph"/>
      </w:pPr>
      <w:r>
        <w:drawing>
          <wp:inline>
            <wp:extent cx="5334000" cy="6525740"/>
            <wp:effectExtent b="0" l="0" r="0" t="0"/>
            <wp:docPr descr="09-full-er-diagram" title="" id="1" name="Picture"/>
            <a:graphic>
              <a:graphicData uri="http://schemas.openxmlformats.org/drawingml/2006/picture">
                <pic:pic>
                  <pic:nvPicPr>
                    <pic:cNvPr descr="foundation/png/09-full-er-diagra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25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31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mmd-diagrams/foundation/09-full-er-diagram.mmd</w:t>
      </w:r>
    </w:p>
    <w:p>
      <w:pPr>
        <w:pStyle w:val="Heading2"/>
      </w:pPr>
      <w:bookmarkStart w:id="80" w:name="описание-14"/>
      <w:r>
        <w:t xml:space="preserve">Описание</w:t>
      </w:r>
      <w:bookmarkEnd w:id="80"/>
    </w:p>
    <w:p>
      <w:pPr>
        <w:pStyle w:val="FirstParagraph"/>
      </w:pPr>
      <w:r>
        <w:t xml:space="preserve">Диаграмма Title: Entity-Relationship Diagram (All Providers) из foundation-набора фиксирует устойчивый архитектурный или процессный паттерн проекта BioETL. Она представлена в формате erDiagram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09-full-er-diagram. В комментариях исходника зафиксирован фокус диаграммы: Covers: RULES.md §1.3 (Domain Entities), §4 (Provider Specs). Это снижает неоднозначность интерпретации и помогает поддерживать консистентность между визуальной документацией, ADR-решениями и реальным кодом.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81" w:name="метаданные-14"/>
      <w:r>
        <w:t xml:space="preserve">Метаданные</w:t>
      </w:r>
      <w:bookmarkEnd w:id="81"/>
    </w:p>
    <w:p>
      <w:pPr>
        <w:numPr>
          <w:ilvl w:val="0"/>
          <w:numId w:val="1032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erDiagram</w:t>
      </w:r>
    </w:p>
    <w:p>
      <w:pPr>
        <w:numPr>
          <w:ilvl w:val="0"/>
          <w:numId w:val="1032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32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2" w:name="X1c492c692cc4e8d7a7538316b3c1d758cee92b7"/>
      <w:r>
        <w:t xml:space="preserve">10-infrastructure-layer-class-diagram</w:t>
      </w:r>
      <w:bookmarkEnd w:id="82"/>
    </w:p>
    <w:p>
      <w:pPr>
        <w:pStyle w:val="FirstParagraph"/>
      </w:pPr>
      <w:r>
        <w:drawing>
          <wp:inline>
            <wp:extent cx="5334000" cy="1454356"/>
            <wp:effectExtent b="0" l="0" r="0" t="0"/>
            <wp:docPr descr="10-infrastructure-layer-class-diagram" title="" id="1" name="Picture"/>
            <a:graphic>
              <a:graphicData uri="http://schemas.openxmlformats.org/drawingml/2006/picture">
                <pic:pic>
                  <pic:nvPicPr>
                    <pic:cNvPr descr="foundation/png/10-infrastructure-layer-class-diagra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4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33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mmd-diagrams/foundation/10-infrastructure-layer-class-diagram.mmd</w:t>
      </w:r>
    </w:p>
    <w:p>
      <w:pPr>
        <w:pStyle w:val="Heading2"/>
      </w:pPr>
      <w:bookmarkStart w:id="84" w:name="описание-15"/>
      <w:r>
        <w:t xml:space="preserve">Описание</w:t>
      </w:r>
      <w:bookmarkEnd w:id="84"/>
    </w:p>
    <w:p>
      <w:pPr>
        <w:pStyle w:val="FirstParagraph"/>
      </w:pPr>
      <w:r>
        <w:t xml:space="preserve">Диаграмма Title: Infrastructure Layer Class Diagram из foundation-набора фиксирует устойчивый архитектурный или процессный паттерн проекта BioETL. Она представлена в формате classDiagram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10-infrastructure-layer-class-diagram. В комментариях исходника зафиксирован фокус диаграммы: Covers: RULES.md §1.1 (Infrastructure Layer), §3.6 (Resilience). Это снижает неоднозначность интерпретации и помогает поддерживать консистентность между визуальной документацией, ADR-решениями и реальным кодом.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85" w:name="метаданные-15"/>
      <w:r>
        <w:t xml:space="preserve">Метаданные</w:t>
      </w:r>
      <w:bookmarkEnd w:id="85"/>
    </w:p>
    <w:p>
      <w:pPr>
        <w:numPr>
          <w:ilvl w:val="0"/>
          <w:numId w:val="1034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numPr>
          <w:ilvl w:val="0"/>
          <w:numId w:val="1034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34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6" w:name="X0b278c41fa7e1b5b5bed90db3d8175988e7dcd4"/>
      <w:r>
        <w:t xml:space="preserve">11-lock-acquisition-sequence</w:t>
      </w:r>
      <w:bookmarkEnd w:id="86"/>
    </w:p>
    <w:p>
      <w:pPr>
        <w:pStyle w:val="FirstParagraph"/>
      </w:pPr>
      <w:r>
        <w:drawing>
          <wp:inline>
            <wp:extent cx="5334000" cy="7634772"/>
            <wp:effectExtent b="0" l="0" r="0" t="0"/>
            <wp:docPr descr="11-lock-acquisition-sequence" title="" id="1" name="Picture"/>
            <a:graphic>
              <a:graphicData uri="http://schemas.openxmlformats.org/drawingml/2006/picture">
                <pic:pic>
                  <pic:nvPicPr>
                    <pic:cNvPr descr="foundation/png/11-lock-acquisition-sequenc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34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35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mmd-diagrams/foundation/11-lock-acquisition-sequence.mmd</w:t>
      </w:r>
    </w:p>
    <w:p>
      <w:pPr>
        <w:pStyle w:val="Heading2"/>
      </w:pPr>
      <w:bookmarkStart w:id="88" w:name="описание-16"/>
      <w:r>
        <w:t xml:space="preserve">Описание</w:t>
      </w:r>
      <w:bookmarkEnd w:id="88"/>
    </w:p>
    <w:p>
      <w:pPr>
        <w:pStyle w:val="FirstParagraph"/>
      </w:pPr>
      <w:r>
        <w:t xml:space="preserve">Диаграмма Title: Lock Acquisition Sequence (Two Workers) из foundation-набора фиксирует устойчивый архитектурный или процессный паттерн проекта BioETL. Она представлена в формате sequenceDiagram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11-lock-acquisition-sequence. В комментариях исходника зафиксирован фокус диаграммы: Covers: RULES.md §3.3 (Locking), ADR-010. Это снижает неоднозначность интерпретации и помогает поддерживать консистентность между визуальной документацией, ADR-решениями и реальным кодом. Значимые участники последовательностей: Worker A (owner_a_uuid), Worker B (owner_b_uuid), MemoryLock, Heartbeat Thread A, SilverWriter. По этим участникам удобно валидировать порядок вызовов, точки отказа и стратегию обработки ошибок.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89" w:name="метаданные-16"/>
      <w:r>
        <w:t xml:space="preserve">Метаданные</w:t>
      </w:r>
      <w:bookmarkEnd w:id="89"/>
    </w:p>
    <w:p>
      <w:pPr>
        <w:numPr>
          <w:ilvl w:val="0"/>
          <w:numId w:val="1036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sequenceDiagram</w:t>
      </w:r>
    </w:p>
    <w:p>
      <w:pPr>
        <w:numPr>
          <w:ilvl w:val="0"/>
          <w:numId w:val="1036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36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0" w:name="X2008b37ac07531e95bdd0c24f0707c9855997b0"/>
      <w:r>
        <w:t xml:space="preserve">12-local-deployment-architecture</w:t>
      </w:r>
      <w:bookmarkEnd w:id="90"/>
    </w:p>
    <w:p>
      <w:pPr>
        <w:pStyle w:val="FirstParagraph"/>
      </w:pPr>
      <w:r>
        <w:drawing>
          <wp:inline>
            <wp:extent cx="5334000" cy="4359882"/>
            <wp:effectExtent b="0" l="0" r="0" t="0"/>
            <wp:docPr descr="12-local-deployment-architecture" title="" id="1" name="Picture"/>
            <a:graphic>
              <a:graphicData uri="http://schemas.openxmlformats.org/drawingml/2006/picture">
                <pic:pic>
                  <pic:nvPicPr>
                    <pic:cNvPr descr="foundation/png/12-local-deployment-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59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37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mmd-diagrams/foundation/12-local-deployment-architecture.mmd</w:t>
      </w:r>
    </w:p>
    <w:p>
      <w:pPr>
        <w:pStyle w:val="Heading2"/>
      </w:pPr>
      <w:bookmarkStart w:id="92" w:name="описание-17"/>
      <w:r>
        <w:t xml:space="preserve">Описание</w:t>
      </w:r>
      <w:bookmarkEnd w:id="92"/>
    </w:p>
    <w:p>
      <w:pPr>
        <w:pStyle w:val="FirstParagraph"/>
      </w:pPr>
      <w:r>
        <w:t xml:space="preserve">Диаграмма Title: Local Deployment Architecture из foundation-набора фиксирует устойчивый архитектурный или процессный паттерн проекта BioETL. Она представлена в формате flowchart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12-local-deployment-architecture. В комментариях исходника зафиксирован фокус диаграммы: Covers: RULES.md §5.6 (Deployment), ADR-010 (Local-Only). Это снижает неоднозначность интерпретации и помогает поддерживать консистентность между визуальной документацией, ADR-решениями и реальным кодом. Ключевые блоки/подграфы включают: External APIs, Local Machine (Single Instance), CLI Execution, Local Pipeline Workers, In-Process Locking. Их состав отражает главные границы ответственности и маршруты взаимодействия между подсистемами или слоями. Показательные узлы диаграммы: External APIs, 🌐 ChEMBL API ebi.ac.uk/chembl, 🌐 PubChem API pubchem.ncbi.nlm.nih.gov, 🌐 UniProt API uniprot.org, 🌐 PubMed API eutils.ncbi.nlm.nih.gov, Local Machine (Single Instance). Они позволяют быстро сопоставлять термины, роли сервисов и артефакты данных между моделью и реализацией.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93" w:name="метаданные-17"/>
      <w:r>
        <w:t xml:space="preserve">Метаданные</w:t>
      </w:r>
      <w:bookmarkEnd w:id="93"/>
    </w:p>
    <w:p>
      <w:pPr>
        <w:numPr>
          <w:ilvl w:val="0"/>
          <w:numId w:val="1038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numPr>
          <w:ilvl w:val="0"/>
          <w:numId w:val="1038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38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4" w:name="X07813c7b94e3f5ab599dc24eec9f869abe54ad0"/>
      <w:r>
        <w:t xml:space="preserve">13-domain-models-relationship</w:t>
      </w:r>
      <w:bookmarkEnd w:id="94"/>
    </w:p>
    <w:p>
      <w:pPr>
        <w:pStyle w:val="FirstParagraph"/>
      </w:pPr>
      <w:r>
        <w:drawing>
          <wp:inline>
            <wp:extent cx="5334000" cy="5769707"/>
            <wp:effectExtent b="0" l="0" r="0" t="0"/>
            <wp:docPr descr="13-domain-models-relationship" title="" id="1" name="Picture"/>
            <a:graphic>
              <a:graphicData uri="http://schemas.openxmlformats.org/drawingml/2006/picture">
                <pic:pic>
                  <pic:nvPicPr>
                    <pic:cNvPr descr="foundation/png/13-domain-models-relationshi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69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39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mmd-diagrams/foundation/13-domain-models-relationship.mmd</w:t>
      </w:r>
    </w:p>
    <w:p>
      <w:pPr>
        <w:pStyle w:val="Heading2"/>
      </w:pPr>
      <w:bookmarkStart w:id="96" w:name="описание-18"/>
      <w:r>
        <w:t xml:space="preserve">Описание</w:t>
      </w:r>
      <w:bookmarkEnd w:id="96"/>
    </w:p>
    <w:p>
      <w:pPr>
        <w:pStyle w:val="FirstParagraph"/>
      </w:pPr>
      <w:r>
        <w:t xml:space="preserve">Диаграмма Title: Domain Models Relationship Hierarchy из foundation-набора фиксирует устойчивый архитектурный или процессный паттерн проекта BioETL. Она представлена в формате classDiagram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13-domain-models-relationship. В комментариях исходника зафиксирован фокус диаграммы: Covers: RULES.md §1.3 (Domain Entities), §1.1 (Domain Layer). Это снижает неоднозначность интерпретации и помогает поддерживать консистентность между визуальной документацией, ADR-решениями и реальным кодом.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97" w:name="метаданные-18"/>
      <w:r>
        <w:t xml:space="preserve">Метаданные</w:t>
      </w:r>
      <w:bookmarkEnd w:id="97"/>
    </w:p>
    <w:p>
      <w:pPr>
        <w:numPr>
          <w:ilvl w:val="0"/>
          <w:numId w:val="1040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numPr>
          <w:ilvl w:val="0"/>
          <w:numId w:val="1040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40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8" w:name="Xc3281d65851a5839078fe84d84b4a10cc4fc035"/>
      <w:r>
        <w:t xml:space="preserve">14-provider-health-states</w:t>
      </w:r>
      <w:bookmarkEnd w:id="98"/>
    </w:p>
    <w:p>
      <w:pPr>
        <w:pStyle w:val="FirstParagraph"/>
      </w:pPr>
      <w:r>
        <w:drawing>
          <wp:inline>
            <wp:extent cx="5334000" cy="6066971"/>
            <wp:effectExtent b="0" l="0" r="0" t="0"/>
            <wp:docPr descr="14-provider-health-states" title="" id="1" name="Picture"/>
            <a:graphic>
              <a:graphicData uri="http://schemas.openxmlformats.org/drawingml/2006/picture">
                <pic:pic>
                  <pic:nvPicPr>
                    <pic:cNvPr descr="foundation/png/14-provider-health-stat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66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41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mmd-diagrams/foundation/14-provider-health-states.mmd</w:t>
      </w:r>
    </w:p>
    <w:p>
      <w:pPr>
        <w:pStyle w:val="Heading2"/>
      </w:pPr>
      <w:bookmarkStart w:id="100" w:name="описание-19"/>
      <w:r>
        <w:t xml:space="preserve">Описание</w:t>
      </w:r>
      <w:bookmarkEnd w:id="100"/>
    </w:p>
    <w:p>
      <w:pPr>
        <w:pStyle w:val="FirstParagraph"/>
      </w:pPr>
      <w:r>
        <w:t xml:space="preserve">Диаграмма Title: Provider Health State Machine из foundation-набора фиксирует устойчивый архитектурный или процессный паттерн проекта BioETL. Она представлена в формате stateDiagram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14-provider-health-states. В комментариях исходника зафиксирован фокус диаграммы: Covers: RULES.md §3.6 (Resilience), §4 (Provider Specifications). Это снижает неоднозначность интерпретации и помогает поддерживать консистентность между визуальной документацией, ADR-решениями и реальным кодом.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101" w:name="метаданные-19"/>
      <w:r>
        <w:t xml:space="preserve">Метаданные</w:t>
      </w:r>
      <w:bookmarkEnd w:id="101"/>
    </w:p>
    <w:p>
      <w:pPr>
        <w:numPr>
          <w:ilvl w:val="0"/>
          <w:numId w:val="1042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stateDiagram</w:t>
      </w:r>
    </w:p>
    <w:p>
      <w:pPr>
        <w:numPr>
          <w:ilvl w:val="0"/>
          <w:numId w:val="1042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42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2" w:name="X6aa03c247f39e78f617dd6dd6abe8f347794634"/>
      <w:r>
        <w:t xml:space="preserve">15-dq-check-workflow</w:t>
      </w:r>
      <w:bookmarkEnd w:id="102"/>
    </w:p>
    <w:p>
      <w:pPr>
        <w:pStyle w:val="FirstParagraph"/>
      </w:pPr>
      <w:r>
        <w:drawing>
          <wp:inline>
            <wp:extent cx="5334000" cy="4390792"/>
            <wp:effectExtent b="0" l="0" r="0" t="0"/>
            <wp:docPr descr="15-dq-check-workflow" title="" id="1" name="Picture"/>
            <a:graphic>
              <a:graphicData uri="http://schemas.openxmlformats.org/drawingml/2006/picture">
                <pic:pic>
                  <pic:nvPicPr>
                    <pic:cNvPr descr="foundation/png/15-dq-check-work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0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43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mmd-diagrams/foundation/15-dq-check-workflow.mmd</w:t>
      </w:r>
    </w:p>
    <w:p>
      <w:pPr>
        <w:pStyle w:val="Heading2"/>
      </w:pPr>
      <w:bookmarkStart w:id="104" w:name="описание-20"/>
      <w:r>
        <w:t xml:space="preserve">Описание</w:t>
      </w:r>
      <w:bookmarkEnd w:id="104"/>
    </w:p>
    <w:p>
      <w:pPr>
        <w:pStyle w:val="FirstParagraph"/>
      </w:pPr>
      <w:r>
        <w:t xml:space="preserve">Диаграмма Title: Data Quality Check Workflow из foundation-набора фиксирует устойчивый архитектурный или процессный паттерн проекта BioETL. Она представлена в формате flowchart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15-dq-check-workflow. В комментариях исходника зафиксирован фокус диаграммы: Covers: RULES.md §3.1 (DQ Checks), §2.3 (Quarantine). Это снижает неоднозначность интерпретации и помогает поддерживать консистентность между визуальной документацией, ADR-решениями и реальным кодом. Ключевые блоки/подграфы включают: Input Stage, Validation Stage, Error Classification, Action Paths, Record Routing. Их состав отражает главные границы ответственности и маршруты взаимодействия между подсистемами или слоями. Показательные узлы диаграммы: Input Stage, Validation Stage, 🔍 Pandera Schema Validation, Check required fields, Validate data types, Check value constraints. Они позволяют быстро сопоставлять термины, роли сервисов и артефакты данных между моделью и реализацией.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105" w:name="метаданные-20"/>
      <w:r>
        <w:t xml:space="preserve">Метаданные</w:t>
      </w:r>
      <w:bookmarkEnd w:id="105"/>
    </w:p>
    <w:p>
      <w:pPr>
        <w:numPr>
          <w:ilvl w:val="0"/>
          <w:numId w:val="1044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numPr>
          <w:ilvl w:val="0"/>
          <w:numId w:val="1044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44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6" w:name="X352381994af353244ef7c7636739b63066ea2fd"/>
      <w:r>
        <w:t xml:space="preserve">16-memory-lock-class</w:t>
      </w:r>
      <w:bookmarkEnd w:id="106"/>
    </w:p>
    <w:p>
      <w:pPr>
        <w:pStyle w:val="FirstParagraph"/>
      </w:pPr>
      <w:r>
        <w:drawing>
          <wp:inline>
            <wp:extent cx="5334000" cy="7768997"/>
            <wp:effectExtent b="0" l="0" r="0" t="0"/>
            <wp:docPr descr="16-memory-lock-class" title="" id="1" name="Picture"/>
            <a:graphic>
              <a:graphicData uri="http://schemas.openxmlformats.org/drawingml/2006/picture">
                <pic:pic>
                  <pic:nvPicPr>
                    <pic:cNvPr descr="foundation/png/16-memory-lock-clas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68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45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mmd-diagrams/foundation/16-memory-lock-class.mmd</w:t>
      </w:r>
    </w:p>
    <w:p>
      <w:pPr>
        <w:pStyle w:val="Heading2"/>
      </w:pPr>
      <w:bookmarkStart w:id="108" w:name="описание-21"/>
      <w:r>
        <w:t xml:space="preserve">Описание</w:t>
      </w:r>
      <w:bookmarkEnd w:id="108"/>
    </w:p>
    <w:p>
      <w:pPr>
        <w:pStyle w:val="FirstParagraph"/>
      </w:pPr>
      <w:r>
        <w:t xml:space="preserve">Диаграмма Title: MemoryLock Class Diagram из foundation-набора фиксирует устойчивый архитектурный или процессный паттерн проекта BioETL. Она представлена в формате classDiagram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16-memory-lock-class. В комментариях исходника зафиксирован фокус диаграммы: Covers: RULES.md §3.3 (Locking), ADR-010. Это снижает неоднозначность интерпретации и помогает поддерживать консистентность между визуальной документацией, ADR-решениями и реальным кодом.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109" w:name="метаданные-21"/>
      <w:r>
        <w:t xml:space="preserve">Метаданные</w:t>
      </w:r>
      <w:bookmarkEnd w:id="109"/>
    </w:p>
    <w:p>
      <w:pPr>
        <w:numPr>
          <w:ilvl w:val="0"/>
          <w:numId w:val="1046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numPr>
          <w:ilvl w:val="0"/>
          <w:numId w:val="1046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46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0" w:name="X0d089e265f8c6436ec4522f63329c9811a96a2a"/>
      <w:r>
        <w:t xml:space="preserve">17-pipeline-hierarchy</w:t>
      </w:r>
      <w:bookmarkEnd w:id="110"/>
    </w:p>
    <w:p>
      <w:pPr>
        <w:pStyle w:val="FirstParagraph"/>
      </w:pPr>
      <w:r>
        <w:drawing>
          <wp:inline>
            <wp:extent cx="5334000" cy="2470167"/>
            <wp:effectExtent b="0" l="0" r="0" t="0"/>
            <wp:docPr descr="17-pipeline-hierarchy" title="" id="1" name="Picture"/>
            <a:graphic>
              <a:graphicData uri="http://schemas.openxmlformats.org/drawingml/2006/picture">
                <pic:pic>
                  <pic:nvPicPr>
                    <pic:cNvPr descr="foundation/png/17-pipeline-hierarch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0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47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mmd-diagrams/foundation/17-pipeline-hierarchy.mmd</w:t>
      </w:r>
    </w:p>
    <w:p>
      <w:pPr>
        <w:pStyle w:val="Heading2"/>
      </w:pPr>
      <w:bookmarkStart w:id="112" w:name="описание-22"/>
      <w:r>
        <w:t xml:space="preserve">Описание</w:t>
      </w:r>
      <w:bookmarkEnd w:id="112"/>
    </w:p>
    <w:p>
      <w:pPr>
        <w:pStyle w:val="FirstParagraph"/>
      </w:pPr>
      <w:r>
        <w:t xml:space="preserve">Диаграмма Title: Pipeline and Transformer Class Hierarchy из foundation-набора фиксирует устойчивый архитектурный или процессный паттерн проекта BioETL. Она представлена в формате classDiagram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17-pipeline-hierarchy. В комментариях исходника зафиксирован фокус диаграммы: Covers: RULES.md §3 (Pipeline Execution), §2.8 (Transformation). Это снижает неоднозначность интерпретации и помогает поддерживать консистентность между визуальной документацией, ADR-решениями и реальным кодом.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113" w:name="метаданные-22"/>
      <w:r>
        <w:t xml:space="preserve">Метаданные</w:t>
      </w:r>
      <w:bookmarkEnd w:id="113"/>
    </w:p>
    <w:p>
      <w:pPr>
        <w:numPr>
          <w:ilvl w:val="0"/>
          <w:numId w:val="1048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numPr>
          <w:ilvl w:val="0"/>
          <w:numId w:val="1048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48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4" w:name="X17626ab8047e79f63c7694d112e11a111ef5966"/>
      <w:r>
        <w:t xml:space="preserve">18-bronze-write-sequence</w:t>
      </w:r>
      <w:bookmarkEnd w:id="114"/>
    </w:p>
    <w:p>
      <w:pPr>
        <w:pStyle w:val="FirstParagraph"/>
      </w:pPr>
      <w:r>
        <w:drawing>
          <wp:inline>
            <wp:extent cx="5334000" cy="3869441"/>
            <wp:effectExtent b="0" l="0" r="0" t="0"/>
            <wp:docPr descr="18-bronze-write-sequence" title="" id="1" name="Picture"/>
            <a:graphic>
              <a:graphicData uri="http://schemas.openxmlformats.org/drawingml/2006/picture">
                <pic:pic>
                  <pic:nvPicPr>
                    <pic:cNvPr descr="foundation/png/18-bronze-write-sequenc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9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49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mmd-diagrams/foundation/18-bronze-write-sequence.mmd</w:t>
      </w:r>
    </w:p>
    <w:p>
      <w:pPr>
        <w:pStyle w:val="Heading2"/>
      </w:pPr>
      <w:bookmarkStart w:id="116" w:name="описание-23"/>
      <w:r>
        <w:t xml:space="preserve">Описание</w:t>
      </w:r>
      <w:bookmarkEnd w:id="116"/>
    </w:p>
    <w:p>
      <w:pPr>
        <w:pStyle w:val="FirstParagraph"/>
      </w:pPr>
      <w:r>
        <w:t xml:space="preserve">Диаграмма Title: Bronze Write Sequence (JSONL + zstd) из foundation-набора фиксирует устойчивый архитектурный или процессный паттерн проекта BioETL. Она представлена в формате sequenceDiagram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18-bronze-write-sequence. В комментариях исходника зафиксирован фокус диаграммы: Covers: RULES.md §2.1 (Bronze Layer), §2.2 (Append-Only). Это снижает неоднозначность интерпретации и помогает поддерживать консистентность между визуальной документацией, ADR-решениями и реальным кодом. Значимые участники последовательностей: PipelineExecutor, BronzeWriter, LockPort, zstd Compressor, Local FS. По этим участникам удобно валидировать порядок вызовов, точки отказа и стратегию обработки ошибок.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117" w:name="метаданные-23"/>
      <w:r>
        <w:t xml:space="preserve">Метаданные</w:t>
      </w:r>
      <w:bookmarkEnd w:id="117"/>
    </w:p>
    <w:p>
      <w:pPr>
        <w:numPr>
          <w:ilvl w:val="0"/>
          <w:numId w:val="1050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sequenceDiagram</w:t>
      </w:r>
    </w:p>
    <w:p>
      <w:pPr>
        <w:numPr>
          <w:ilvl w:val="0"/>
          <w:numId w:val="1050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50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8" w:name="X163424ff82e4dbeac0f640592297c3d4b26bfb8"/>
      <w:r>
        <w:t xml:space="preserve">19-delta-lake-write-sequence</w:t>
      </w:r>
      <w:bookmarkEnd w:id="118"/>
    </w:p>
    <w:p>
      <w:pPr>
        <w:pStyle w:val="FirstParagraph"/>
      </w:pPr>
      <w:r>
        <w:drawing>
          <wp:inline>
            <wp:extent cx="5334000" cy="6768618"/>
            <wp:effectExtent b="0" l="0" r="0" t="0"/>
            <wp:docPr descr="19-delta-lake-write-sequence" title="" id="1" name="Picture"/>
            <a:graphic>
              <a:graphicData uri="http://schemas.openxmlformats.org/drawingml/2006/picture">
                <pic:pic>
                  <pic:nvPicPr>
                    <pic:cNvPr descr="foundation/png/19-delta-lake-write-sequenc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68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51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mmd-diagrams/foundation/19-delta-lake-write-sequence.mmd</w:t>
      </w:r>
    </w:p>
    <w:p>
      <w:pPr>
        <w:pStyle w:val="Heading2"/>
      </w:pPr>
      <w:bookmarkStart w:id="120" w:name="описание-24"/>
      <w:r>
        <w:t xml:space="preserve">Описание</w:t>
      </w:r>
      <w:bookmarkEnd w:id="120"/>
    </w:p>
    <w:p>
      <w:pPr>
        <w:pStyle w:val="FirstParagraph"/>
      </w:pPr>
      <w:r>
        <w:t xml:space="preserve">Диаграмма Title: Delta Lake Write Sequence (Silver Layer) из foundation-набора фиксирует устойчивый архитектурный или процессный паттерн проекта BioETL. Она представлена в формате sequenceDiagram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19-delta-lake-write-sequence. В комментариях исходника зафиксирован фокус диаграммы: Covers: RULES.md §2.1 (Silver Layer), §2.5 (ACID via Delta Lake). Это снижает неоднозначность интерпретации и помогает поддерживать консистентность между визуальной документацией, ADR-решениями и реальным кодом. Значимые участники последовательностей: RecordProcessor, SilverWriter, LockPort, PyArrow, deltalake (Rust). По этим участникам удобно валидировать порядок вызовов, точки отказа и стратегию обработки ошибок.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121" w:name="метаданные-24"/>
      <w:r>
        <w:t xml:space="preserve">Метаданные</w:t>
      </w:r>
      <w:bookmarkEnd w:id="121"/>
    </w:p>
    <w:p>
      <w:pPr>
        <w:numPr>
          <w:ilvl w:val="0"/>
          <w:numId w:val="1052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sequenceDiagram</w:t>
      </w:r>
    </w:p>
    <w:p>
      <w:pPr>
        <w:numPr>
          <w:ilvl w:val="0"/>
          <w:numId w:val="1052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52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2" w:name="Xb0d8f44fdd022f78d8590833229680c947da223"/>
      <w:r>
        <w:t xml:space="preserve">20-quarantine-record-states</w:t>
      </w:r>
      <w:bookmarkEnd w:id="122"/>
    </w:p>
    <w:p>
      <w:pPr>
        <w:pStyle w:val="FirstParagraph"/>
      </w:pPr>
      <w:r>
        <w:drawing>
          <wp:inline>
            <wp:extent cx="5334000" cy="1659125"/>
            <wp:effectExtent b="0" l="0" r="0" t="0"/>
            <wp:docPr descr="20-quarantine-record-states" title="" id="1" name="Picture"/>
            <a:graphic>
              <a:graphicData uri="http://schemas.openxmlformats.org/drawingml/2006/picture">
                <pic:pic>
                  <pic:nvPicPr>
                    <pic:cNvPr descr="foundation/png/20-quarantine-record-stat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53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mmd-diagrams/foundation/20-quarantine-record-states.mmd</w:t>
      </w:r>
    </w:p>
    <w:p>
      <w:pPr>
        <w:pStyle w:val="Heading2"/>
      </w:pPr>
      <w:bookmarkStart w:id="124" w:name="описание-25"/>
      <w:r>
        <w:t xml:space="preserve">Описание</w:t>
      </w:r>
      <w:bookmarkEnd w:id="124"/>
    </w:p>
    <w:p>
      <w:pPr>
        <w:pStyle w:val="FirstParagraph"/>
      </w:pPr>
      <w:r>
        <w:t xml:space="preserve">Диаграмма Title: Quarantine Record State Machine из foundation-набора фиксирует устойчивый архитектурный или процессный паттерн проекта BioETL. Она представлена в формате stateDiagram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20-quarantine-record-states. В комментариях исходника зафиксирован фокус диаграммы: Covers: RULES.md §2.3 (Quarantine), §3.1 (Error Classification). Это снижает неоднозначность интерпретации и помогает поддерживать консистентность между визуальной документацией, ADR-решениями и реальным кодом.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125" w:name="метаданные-25"/>
      <w:r>
        <w:t xml:space="preserve">Метаданные</w:t>
      </w:r>
      <w:bookmarkEnd w:id="125"/>
    </w:p>
    <w:p>
      <w:pPr>
        <w:numPr>
          <w:ilvl w:val="0"/>
          <w:numId w:val="1054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stateDiagram</w:t>
      </w:r>
    </w:p>
    <w:p>
      <w:pPr>
        <w:numPr>
          <w:ilvl w:val="0"/>
          <w:numId w:val="1054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54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6" w:name="X741fc4e222a5424e8b7bbd418e2d0a870ac567f"/>
      <w:r>
        <w:t xml:space="preserve">21-activity-entity-data-flow</w:t>
      </w:r>
      <w:bookmarkEnd w:id="126"/>
    </w:p>
    <w:p>
      <w:pPr>
        <w:pStyle w:val="FirstParagraph"/>
      </w:pPr>
      <w:r>
        <w:drawing>
          <wp:inline>
            <wp:extent cx="5334000" cy="887282"/>
            <wp:effectExtent b="0" l="0" r="0" t="0"/>
            <wp:docPr descr="21-activity-entity-data-flow" title="" id="1" name="Picture"/>
            <a:graphic>
              <a:graphicData uri="http://schemas.openxmlformats.org/drawingml/2006/picture">
                <pic:pic>
                  <pic:nvPicPr>
                    <pic:cNvPr descr="foundation/png/21-activity-entity-data-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7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55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mmd-diagrams/foundation/21-activity-entity-data-flow.mmd</w:t>
      </w:r>
    </w:p>
    <w:p>
      <w:pPr>
        <w:pStyle w:val="Heading2"/>
      </w:pPr>
      <w:bookmarkStart w:id="128" w:name="описание-26"/>
      <w:r>
        <w:t xml:space="preserve">Описание</w:t>
      </w:r>
      <w:bookmarkEnd w:id="128"/>
    </w:p>
    <w:p>
      <w:pPr>
        <w:pStyle w:val="FirstParagraph"/>
      </w:pPr>
      <w:r>
        <w:t xml:space="preserve">Диаграмма Title: Activity Entity Data Flow (Extract → Transform → Load) из foundation-набора фиксирует устойчивый архитектурный или процессный паттерн проекта BioETL. Она представлена в формате flowchart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21-activity-entity-data-flow. В комментариях исходника зафиксирован фокус диаграммы: Covers: RULES.md §2.8 (Transformation), §4.1 (ChEMBL Activity). Это снижает неоднозначность интерпретации и помогает поддерживать консистентность между визуальной документацией, ADR-решениями и реальным кодом. Ключевые блоки/подграфы включают: External API, Extract Phase, Transform Phase, Validate Phase, Load Phase. Их состав отражает главные границы ответственности и маршруты взаимодействия между подсистемами или слоями. Показательные узлы диаграммы: External API, 🌐 ChEMBL API /activities endpoint, Extract Phase, 📥 Fetch activity_id batch (ChemblAdapter), 🔗 Fetch related entities assay_id, molecule_id, target_id, 💾 Write Bronze JSONL + zstd. Они позволяют быстро сопоставлять термины, роли сервисов и артефакты данных между моделью и реализацией.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129" w:name="метаданные-26"/>
      <w:r>
        <w:t xml:space="preserve">Метаданные</w:t>
      </w:r>
      <w:bookmarkEnd w:id="129"/>
    </w:p>
    <w:p>
      <w:pPr>
        <w:numPr>
          <w:ilvl w:val="0"/>
          <w:numId w:val="1056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numPr>
          <w:ilvl w:val="0"/>
          <w:numId w:val="1056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56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0" w:name="X8427bd046f602fb469c823fe995670c734b3e2c"/>
      <w:r>
        <w:t xml:space="preserve">22-client-api-request-sequence</w:t>
      </w:r>
      <w:bookmarkEnd w:id="130"/>
    </w:p>
    <w:p>
      <w:pPr>
        <w:pStyle w:val="FirstParagraph"/>
      </w:pPr>
      <w:r>
        <w:drawing>
          <wp:inline>
            <wp:extent cx="5334000" cy="6915746"/>
            <wp:effectExtent b="0" l="0" r="0" t="0"/>
            <wp:docPr descr="22-client-api-request-sequence" title="" id="1" name="Picture"/>
            <a:graphic>
              <a:graphicData uri="http://schemas.openxmlformats.org/drawingml/2006/picture">
                <pic:pic>
                  <pic:nvPicPr>
                    <pic:cNvPr descr="foundation/png/22-client-api-request-sequenc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15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57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mmd-diagrams/foundation/22-client-api-request-sequence.mmd</w:t>
      </w:r>
    </w:p>
    <w:p>
      <w:pPr>
        <w:pStyle w:val="Heading2"/>
      </w:pPr>
      <w:bookmarkStart w:id="132" w:name="описание-27"/>
      <w:r>
        <w:t xml:space="preserve">Описание</w:t>
      </w:r>
      <w:bookmarkEnd w:id="132"/>
    </w:p>
    <w:p>
      <w:pPr>
        <w:pStyle w:val="FirstParagraph"/>
      </w:pPr>
      <w:r>
        <w:t xml:space="preserve">Диаграмма Title: HTTP Client API Request Sequence из foundation-набора фиксирует устойчивый архитектурный или процессный паттерн проекта BioETL. Она представлена в формате sequenceDiagram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22-client-api-request-sequence. В комментариях исходника зафиксирован фокус диаграммы: Covers: RULES.md §3.6 (Resilience), §3.7 (Rate Limiting). Это снижает неоднозначность интерпретации и помогает поддерживать консистентность между визуальной документацией, ADR-решениями и реальным кодом. Значимые участники последовательностей: PipelineExecutor, ChemblAdapter, CircuitBreaker, TokenBucket (RateLimiter), UnifiedHTTPClient. По этим участникам удобно валидировать порядок вызовов, точки отказа и стратегию обработки ошибок.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133" w:name="метаданные-27"/>
      <w:r>
        <w:t xml:space="preserve">Метаданные</w:t>
      </w:r>
      <w:bookmarkEnd w:id="133"/>
    </w:p>
    <w:p>
      <w:pPr>
        <w:numPr>
          <w:ilvl w:val="0"/>
          <w:numId w:val="1058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sequenceDiagram</w:t>
      </w:r>
    </w:p>
    <w:p>
      <w:pPr>
        <w:numPr>
          <w:ilvl w:val="0"/>
          <w:numId w:val="1058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58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4" w:name="X123e591846a9bac2adfc9d315924a517bf8cb40"/>
      <w:r>
        <w:t xml:space="preserve">23-silver-writer-class</w:t>
      </w:r>
      <w:bookmarkEnd w:id="134"/>
    </w:p>
    <w:p>
      <w:pPr>
        <w:pStyle w:val="FirstParagraph"/>
      </w:pPr>
      <w:r>
        <w:drawing>
          <wp:inline>
            <wp:extent cx="5334000" cy="4182046"/>
            <wp:effectExtent b="0" l="0" r="0" t="0"/>
            <wp:docPr descr="23-silver-writer-class" title="" id="1" name="Picture"/>
            <a:graphic>
              <a:graphicData uri="http://schemas.openxmlformats.org/drawingml/2006/picture">
                <pic:pic>
                  <pic:nvPicPr>
                    <pic:cNvPr descr="foundation/png/23-silver-writer-clas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2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59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mmd-diagrams/foundation/23-silver-writer-class.mmd</w:t>
      </w:r>
    </w:p>
    <w:p>
      <w:pPr>
        <w:pStyle w:val="Heading2"/>
      </w:pPr>
      <w:bookmarkStart w:id="136" w:name="описание-28"/>
      <w:r>
        <w:t xml:space="preserve">Описание</w:t>
      </w:r>
      <w:bookmarkEnd w:id="136"/>
    </w:p>
    <w:p>
      <w:pPr>
        <w:pStyle w:val="FirstParagraph"/>
      </w:pPr>
      <w:r>
        <w:t xml:space="preserve">Диаграмма Title: SilverWriter Class Diagram из foundation-набора фиксирует устойчивый архитектурный или процессный паттерн проекта BioETL. Она представлена в формате classDiagram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23-silver-writer-class. В комментариях исходника зафиксирован фокус диаграммы: Covers: RULES.md §2.1 (Silver Layer), §2.5 (ACID via Delta Lake). Это снижает неоднозначность интерпретации и помогает поддерживать консистентность между визуальной документацией, ADR-решениями и реальным кодом.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137" w:name="метаданные-28"/>
      <w:r>
        <w:t xml:space="preserve">Метаданные</w:t>
      </w:r>
      <w:bookmarkEnd w:id="137"/>
    </w:p>
    <w:p>
      <w:pPr>
        <w:numPr>
          <w:ilvl w:val="0"/>
          <w:numId w:val="1060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numPr>
          <w:ilvl w:val="0"/>
          <w:numId w:val="1060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60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8" w:name="Xe395a1d2fbd5f28f56cf360c8984fe70730f4d2"/>
      <w:r>
        <w:t xml:space="preserve">24-hash-service-class</w:t>
      </w:r>
      <w:bookmarkEnd w:id="138"/>
    </w:p>
    <w:p>
      <w:pPr>
        <w:pStyle w:val="FirstParagraph"/>
      </w:pPr>
      <w:r>
        <w:drawing>
          <wp:inline>
            <wp:extent cx="5334000" cy="3950804"/>
            <wp:effectExtent b="0" l="0" r="0" t="0"/>
            <wp:docPr descr="24-hash-service-class" title="" id="1" name="Picture"/>
            <a:graphic>
              <a:graphicData uri="http://schemas.openxmlformats.org/drawingml/2006/picture">
                <pic:pic>
                  <pic:nvPicPr>
                    <pic:cNvPr descr="foundation/png/24-hash-service-clas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0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61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mmd-diagrams/foundation/24-hash-service-class.mmd</w:t>
      </w:r>
    </w:p>
    <w:p>
      <w:pPr>
        <w:pStyle w:val="Heading2"/>
      </w:pPr>
      <w:bookmarkStart w:id="140" w:name="описание-29"/>
      <w:r>
        <w:t xml:space="preserve">Описание</w:t>
      </w:r>
      <w:bookmarkEnd w:id="140"/>
    </w:p>
    <w:p>
      <w:pPr>
        <w:pStyle w:val="FirstParagraph"/>
      </w:pPr>
      <w:r>
        <w:t xml:space="preserve">Диаграмма Title: ContentHashService Class Diagram из foundation-набора фиксирует устойчивый архитектурный или процессный паттерн проекта BioETL. Она представлена в формате classDiagram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24-hash-service-class. В комментариях исходника зафиксирован фокус диаграммы: Covers: RULES.md §2.4 (Deduplication via content_hash). Это снижает неоднозначность интерпретации и помогает поддерживать консистентность между визуальной документацией, ADR-решениями и реальным кодом.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141" w:name="метаданные-29"/>
      <w:r>
        <w:t xml:space="preserve">Метаданные</w:t>
      </w:r>
      <w:bookmarkEnd w:id="141"/>
    </w:p>
    <w:p>
      <w:pPr>
        <w:numPr>
          <w:ilvl w:val="0"/>
          <w:numId w:val="1062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numPr>
          <w:ilvl w:val="0"/>
          <w:numId w:val="1062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62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42" w:name="Xd3483bc79029ad2e4e5f384a54dfadb0538c52b"/>
      <w:r>
        <w:t xml:space="preserve">25-circuit-breaker-observer-class</w:t>
      </w:r>
      <w:bookmarkEnd w:id="142"/>
    </w:p>
    <w:p>
      <w:pPr>
        <w:pStyle w:val="FirstParagraph"/>
      </w:pPr>
      <w:r>
        <w:drawing>
          <wp:inline>
            <wp:extent cx="5334000" cy="4453758"/>
            <wp:effectExtent b="0" l="0" r="0" t="0"/>
            <wp:docPr descr="25-circuit-breaker-observer-class" title="" id="1" name="Picture"/>
            <a:graphic>
              <a:graphicData uri="http://schemas.openxmlformats.org/drawingml/2006/picture">
                <pic:pic>
                  <pic:nvPicPr>
                    <pic:cNvPr descr="foundation/png/25-circuit-breaker-observer-clas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53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63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mmd-diagrams/foundation/25-circuit-breaker-observer-class.mmd</w:t>
      </w:r>
    </w:p>
    <w:p>
      <w:pPr>
        <w:pStyle w:val="Heading2"/>
      </w:pPr>
      <w:bookmarkStart w:id="144" w:name="описание-30"/>
      <w:r>
        <w:t xml:space="preserve">Описание</w:t>
      </w:r>
      <w:bookmarkEnd w:id="144"/>
    </w:p>
    <w:p>
      <w:pPr>
        <w:pStyle w:val="FirstParagraph"/>
      </w:pPr>
      <w:r>
        <w:t xml:space="preserve">Диаграмма Title: Circuit Breaker and Observer Classes из foundation-набора фиксирует устойчивый архитектурный или процессный паттерн проекта BioETL. Она представлена в формате classDiagram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25-circuit-breaker-observer-class. В комментариях исходника зафиксирован фокус диаграммы: Covers: RULES.md §3.6 (Resilience), ADR-007. Это снижает неоднозначность интерпретации и помогает поддерживать консистентность между визуальной документацией, ADR-решениями и реальным кодом.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145" w:name="метаданные-30"/>
      <w:r>
        <w:t xml:space="preserve">Метаданные</w:t>
      </w:r>
      <w:bookmarkEnd w:id="145"/>
    </w:p>
    <w:p>
      <w:pPr>
        <w:numPr>
          <w:ilvl w:val="0"/>
          <w:numId w:val="1064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numPr>
          <w:ilvl w:val="0"/>
          <w:numId w:val="1064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64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46" w:name="X2d810fae8eae78aebbfd7b00f4043c22aee4676"/>
      <w:r>
        <w:t xml:space="preserve">26-hexagonal-ports-adapters</w:t>
      </w:r>
      <w:bookmarkEnd w:id="146"/>
    </w:p>
    <w:p>
      <w:pPr>
        <w:pStyle w:val="FirstParagraph"/>
      </w:pPr>
      <w:r>
        <w:drawing>
          <wp:inline>
            <wp:extent cx="5334000" cy="564935"/>
            <wp:effectExtent b="0" l="0" r="0" t="0"/>
            <wp:docPr descr="26-hexagonal-ports-adapters" title="" id="1" name="Picture"/>
            <a:graphic>
              <a:graphicData uri="http://schemas.openxmlformats.org/drawingml/2006/picture">
                <pic:pic>
                  <pic:nvPicPr>
                    <pic:cNvPr descr="foundation/png/26-hexagonal-ports-adapte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4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65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mmd-diagrams/foundation/26-hexagonal-ports-adapters.mmd</w:t>
      </w:r>
    </w:p>
    <w:p>
      <w:pPr>
        <w:pStyle w:val="Heading2"/>
      </w:pPr>
      <w:bookmarkStart w:id="148" w:name="описание-31"/>
      <w:r>
        <w:t xml:space="preserve">Описание</w:t>
      </w:r>
      <w:bookmarkEnd w:id="148"/>
    </w:p>
    <w:p>
      <w:pPr>
        <w:pStyle w:val="FirstParagraph"/>
      </w:pPr>
      <w:r>
        <w:t xml:space="preserve">Диаграмма Title: Hexagonal Architecture — Ports and Adapters Overview из foundation-набора фиксирует устойчивый архитектурный или процессный паттерн проекта BioETL. Она представлена в формате flowchart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26-hexagonal-ports-adapters. В комментариях исходника зафиксирован фокус диаграммы: Covers: RULES.md §1.2 (Ports &amp; Adapters), §1.1 (Five-Layer Architecture). Это снижает неоднозначность интерпретации и помогает поддерживать консистентность между визуальной документацией, ADR-решениями и реальным кодом. Ключевые блоки/подграфы включают: Domain Layer — Ports (Protocol), Data Ports, Coordination Ports, Observability Ports, Quality &amp; Security Ports. Их состав отражает главные границы ответственности и маршруты взаимодействия между подсистемами или слоями. Показательные узлы диаграммы: Domain Layer — Ports (Protocol), Data Ports, DataSourcePort • fetch() → AsyncIterator • health_check() → HealthStatus, FilterableDataSourcePort • fetch_filtered(), StoragePort • write_bronze() • write_silver() • write_gold(), DeltaReaderPort • read_table() • get_schema(). Они позволяют быстро сопоставлять термины, роли сервисов и артефакты данных между моделью и реализацией.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149" w:name="метаданные-31"/>
      <w:r>
        <w:t xml:space="preserve">Метаданные</w:t>
      </w:r>
      <w:bookmarkEnd w:id="149"/>
    </w:p>
    <w:p>
      <w:pPr>
        <w:numPr>
          <w:ilvl w:val="0"/>
          <w:numId w:val="1066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numPr>
          <w:ilvl w:val="0"/>
          <w:numId w:val="1066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66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50" w:name="X3c99cb6fd896848ba09ef69eb9a528a837b3e32"/>
      <w:r>
        <w:t xml:space="preserve">27-import-matrix-enforcement</w:t>
      </w:r>
      <w:bookmarkEnd w:id="150"/>
    </w:p>
    <w:p>
      <w:pPr>
        <w:pStyle w:val="FirstParagraph"/>
      </w:pPr>
      <w:r>
        <w:drawing>
          <wp:inline>
            <wp:extent cx="5334000" cy="6045704"/>
            <wp:effectExtent b="0" l="0" r="0" t="0"/>
            <wp:docPr descr="27-import-matrix-enforcement" title="" id="1" name="Picture"/>
            <a:graphic>
              <a:graphicData uri="http://schemas.openxmlformats.org/drawingml/2006/picture">
                <pic:pic>
                  <pic:nvPicPr>
                    <pic:cNvPr descr="foundation/png/27-import-matrix-enforceme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45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67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mmd-diagrams/foundation/27-import-matrix-enforcement.mmd</w:t>
      </w:r>
    </w:p>
    <w:p>
      <w:pPr>
        <w:pStyle w:val="Heading2"/>
      </w:pPr>
      <w:bookmarkStart w:id="152" w:name="описание-32"/>
      <w:r>
        <w:t xml:space="preserve">Описание</w:t>
      </w:r>
      <w:bookmarkEnd w:id="152"/>
    </w:p>
    <w:p>
      <w:pPr>
        <w:pStyle w:val="FirstParagraph"/>
      </w:pPr>
      <w:r>
        <w:t xml:space="preserve">Диаграмма Title: Five-Layer Import Matrix Enforcement (ARCH-001) из foundation-набора фиксирует устойчивый архитектурный или процессный паттерн проекта BioETL. Она представлена в формате flowchart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27-import-matrix-enforcement. В комментариях исходника зафиксирован фокус диаграммы: Covers: RULES.md §1.1, ai-selfreview-rules.md ARCH-001. Это снижает неоднозначность интерпретации и помогает поддерживать консистентность между визуальной документацией, ADR-решениями и реальным кодом. Ключевые блоки/подграфы включают: Legend, BioETL Five-Layer Architecture, Enforcement Mechanism. Их состав отражает главные границы ответственности и маршруты взаимодействия между подсистемами или слоями. Показательные узлы диаграммы: Legend, ✅ Allowed Import, ❌ Forbidden Import, BioETL Five-Layer Architecture,</w:t>
      </w:r>
      <w:r>
        <w:t xml:space="preserve"> </w:t>
      </w:r>
      <w:r>
        <w:t xml:space="preserve">Interfaces Layer</w:t>
      </w:r>
      <w:r>
        <w:t xml:space="preserve"> </w:t>
      </w:r>
      <w:r>
        <w:t xml:space="preserve">CLI (Click), HealthServer</w:t>
      </w:r>
      <w:r>
        <w:t xml:space="preserve"> </w:t>
      </w:r>
      <w:r>
        <w:t xml:space="preserve">src/bioetl/interfaces/</w:t>
      </w:r>
      <w:r>
        <w:t xml:space="preserve">,</w:t>
      </w:r>
      <w:r>
        <w:t xml:space="preserve"> </w:t>
      </w:r>
      <w:r>
        <w:t xml:space="preserve">Composition Layer</w:t>
      </w:r>
      <w:r>
        <w:t xml:space="preserve"> </w:t>
      </w:r>
      <w:r>
        <w:t xml:space="preserve">GenericPipelineFactory, RunnerFactory ServicesBuilder, PipelineRegistry</w:t>
      </w:r>
      <w:r>
        <w:t xml:space="preserve"> </w:t>
      </w:r>
      <w:r>
        <w:t xml:space="preserve">src/bioetl/composition/</w:t>
      </w:r>
      <w:r>
        <w:t xml:space="preserve">. Они позволяют быстро сопоставлять термины, роли сервисов и артефакты данных между моделью и реализацией.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153" w:name="метаданные-32"/>
      <w:r>
        <w:t xml:space="preserve">Метаданные</w:t>
      </w:r>
      <w:bookmarkEnd w:id="153"/>
    </w:p>
    <w:p>
      <w:pPr>
        <w:numPr>
          <w:ilvl w:val="0"/>
          <w:numId w:val="1068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numPr>
          <w:ilvl w:val="0"/>
          <w:numId w:val="1068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68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54" w:name="X3743b2ae8cf1184675e81f715920da38230641f"/>
      <w:r>
        <w:t xml:space="preserve">28-composition-root-di-graph</w:t>
      </w:r>
      <w:bookmarkEnd w:id="154"/>
    </w:p>
    <w:p>
      <w:pPr>
        <w:pStyle w:val="FirstParagraph"/>
      </w:pPr>
      <w:r>
        <w:drawing>
          <wp:inline>
            <wp:extent cx="5334000" cy="4379449"/>
            <wp:effectExtent b="0" l="0" r="0" t="0"/>
            <wp:docPr descr="28-composition-root-di-graph" title="" id="1" name="Picture"/>
            <a:graphic>
              <a:graphicData uri="http://schemas.openxmlformats.org/drawingml/2006/picture">
                <pic:pic>
                  <pic:nvPicPr>
                    <pic:cNvPr descr="foundation/png/28-composition-root-di-graph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9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69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mmd-diagrams/foundation/28-composition-root-di-graph.mmd</w:t>
      </w:r>
    </w:p>
    <w:p>
      <w:pPr>
        <w:pStyle w:val="Heading2"/>
      </w:pPr>
      <w:bookmarkStart w:id="156" w:name="описание-33"/>
      <w:r>
        <w:t xml:space="preserve">Описание</w:t>
      </w:r>
      <w:bookmarkEnd w:id="156"/>
    </w:p>
    <w:p>
      <w:pPr>
        <w:pStyle w:val="FirstParagraph"/>
      </w:pPr>
      <w:r>
        <w:t xml:space="preserve">Диаграмма Title: Composition Root Wiring — Full DI Graph из foundation-набора фиксирует устойчивый архитектурный или процессный паттерн проекта BioETL. Она представлена в формате flowchart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28-composition-root-di-graph. В комментариях исходника зафиксирован фокус диаграммы: Covers: RULES.md §1.1 (Composition Layer), ADR-005. Это снижает неоднозначность интерпретации и помогает поддерживать консистентность между визуальной документацией, ADR-решениями и реальным кодом. Ключевые блоки/подграфы включают: Entry Point, Composition Factories, Logger &amp; Observability, Client &amp; Data Source, Storage &amp; Services. Их состав отражает главные границы ответственности и маршруты взаимодействия между подсистемами или слоями. Показательные узлы диаграммы: Entry Point, CLI run command, bootstrap/runtime/assembly.py, Composition Factories, Logger &amp; Observability, BootstrapLogger • configure structlog. Они позволяют быстро сопоставлять термины, роли сервисов и артефакты данных между моделью и реализацией.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157" w:name="метаданные-33"/>
      <w:r>
        <w:t xml:space="preserve">Метаданные</w:t>
      </w:r>
      <w:bookmarkEnd w:id="157"/>
    </w:p>
    <w:p>
      <w:pPr>
        <w:numPr>
          <w:ilvl w:val="0"/>
          <w:numId w:val="1070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numPr>
          <w:ilvl w:val="0"/>
          <w:numId w:val="1070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70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58" w:name="X3b200f8bf5333da2c09ff0b1c202dca341f5cfb"/>
      <w:r>
        <w:t xml:space="preserve">29-composite-pipeline-workflow</w:t>
      </w:r>
      <w:bookmarkEnd w:id="158"/>
    </w:p>
    <w:p>
      <w:pPr>
        <w:pStyle w:val="FirstParagraph"/>
      </w:pPr>
      <w:r>
        <w:drawing>
          <wp:inline>
            <wp:extent cx="5334000" cy="17179971"/>
            <wp:effectExtent b="0" l="0" r="0" t="0"/>
            <wp:docPr descr="29-composite-pipeline-workflow" title="" id="1" name="Picture"/>
            <a:graphic>
              <a:graphicData uri="http://schemas.openxmlformats.org/drawingml/2006/picture">
                <pic:pic>
                  <pic:nvPicPr>
                    <pic:cNvPr descr="foundation/png/29-composite-pipeline-work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79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71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mmd-diagrams/foundation/29-composite-pipeline-workflow.mmd</w:t>
      </w:r>
    </w:p>
    <w:p>
      <w:pPr>
        <w:pStyle w:val="Heading2"/>
      </w:pPr>
      <w:bookmarkStart w:id="160" w:name="описание-34"/>
      <w:r>
        <w:t xml:space="preserve">Описание</w:t>
      </w:r>
      <w:bookmarkEnd w:id="160"/>
    </w:p>
    <w:p>
      <w:pPr>
        <w:pStyle w:val="FirstParagraph"/>
      </w:pPr>
      <w:r>
        <w:t xml:space="preserve">Диаграмма Title: Composite Pipeline Full Workflow — Seed to Gold (ADR-026) из foundation-набора фиксирует устойчивый архитектурный или процессный паттерн проекта BioETL. Она представлена в формате flowchart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29-composite-pipeline-workflow. В комментариях исходника зафиксирован фокус диаграммы: Covers: RULES.md §2.10 (Composite Pipelines), ADR-026. Это снижает неоднозначность интерпретации и помогает поддерживать консистентность между визуальной документацией, ADR-решениями и реальным кодом. Ключевые блоки/подграфы включают: Phase 1: Initialization, Phase 2: Seed Pipeline, Phase 3: Dependencies, Phase 3.5: Key Extraction, Phase 4: Fan-Out Enrichment. Их состав отражает главные границы ответственности и маршруты взаимодействия между подсистемами или слоями. Показательные узлы диаграммы: Phase 1: Initialization, [S] Load CompositeConfig from YAML, [S] CompositePreflightValidator • validate seed • validate enrichers • check silver tables, [S] bootstrap_composite_runner() → CompositePipelineRunner, Phase 2: Seed Pipeline, [S] Run Seed Pipeline (e.g., chembl_publication). Они позволяют быстро сопоставлять термины, роли сервисов и артефакты данных между моделью и реализацией.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161" w:name="метаданные-34"/>
      <w:r>
        <w:t xml:space="preserve">Метаданные</w:t>
      </w:r>
      <w:bookmarkEnd w:id="161"/>
    </w:p>
    <w:p>
      <w:pPr>
        <w:numPr>
          <w:ilvl w:val="0"/>
          <w:numId w:val="1072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numPr>
          <w:ilvl w:val="0"/>
          <w:numId w:val="1072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72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62" w:name="X88f60b8c48c46a91ef564b619525d15c9f35c50"/>
      <w:r>
        <w:t xml:space="preserve">30-port-adapter-mapping</w:t>
      </w:r>
      <w:bookmarkEnd w:id="162"/>
    </w:p>
    <w:p>
      <w:pPr>
        <w:pStyle w:val="FirstParagraph"/>
      </w:pPr>
      <w:r>
        <w:drawing>
          <wp:inline>
            <wp:extent cx="5334000" cy="928824"/>
            <wp:effectExtent b="0" l="0" r="0" t="0"/>
            <wp:docPr descr="30-port-adapter-mapping" title="" id="1" name="Picture"/>
            <a:graphic>
              <a:graphicData uri="http://schemas.openxmlformats.org/drawingml/2006/picture">
                <pic:pic>
                  <pic:nvPicPr>
                    <pic:cNvPr descr="foundation/png/30-port-adapter-mappin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8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73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mmd-diagrams/foundation/30-port-adapter-mapping.mmd</w:t>
      </w:r>
    </w:p>
    <w:p>
      <w:pPr>
        <w:pStyle w:val="Heading2"/>
      </w:pPr>
      <w:bookmarkStart w:id="164" w:name="описание-35"/>
      <w:r>
        <w:t xml:space="preserve">Описание</w:t>
      </w:r>
      <w:bookmarkEnd w:id="164"/>
    </w:p>
    <w:p>
      <w:pPr>
        <w:pStyle w:val="FirstParagraph"/>
      </w:pPr>
      <w:r>
        <w:t xml:space="preserve">Диаграмма Title: Port-to-Adapter Mapping Table Diagram из foundation-набора фиксирует устойчивый архитектурный или процессный паттерн проекта BioETL. Она представлена в формате flowchart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30-port-adapter-mapping. В комментариях исходника зафиксирован фокус диаграммы: Covers: RULES.md §1.2 (Ports &amp; Adapters), ARCH-008 (Single Source). Это снижает неоднозначность интерпретации и помогает поддерживать консистентность между визуальной документацией, ADR-решениями и реальным кодом. Ключевые блоки/подграфы включают: Domain Ports (domain/ports/), Core Data &amp; State, Observability &amp; DQ, Validation &amp; Policy, Runtime Controls. Их состав отражает главные границы ответственности и маршруты взаимодействия между подсистемами или слоями. Показательные узлы диаграммы: Domain Ports (domain/ports/), Core Data &amp; State, [P] DataSourcePort, [P] FilterableDataSourcePort, [P] StoragePort, [P] LockPort. Они позволяют быстро сопоставлять термины, роли сервисов и артефакты данных между моделью и реализацией.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165" w:name="метаданные-35"/>
      <w:r>
        <w:t xml:space="preserve">Метаданные</w:t>
      </w:r>
      <w:bookmarkEnd w:id="165"/>
    </w:p>
    <w:p>
      <w:pPr>
        <w:numPr>
          <w:ilvl w:val="0"/>
          <w:numId w:val="1074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numPr>
          <w:ilvl w:val="0"/>
          <w:numId w:val="1074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74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2026-02-27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66" w:name="Xf6a2b3e329973445c637cc57a0f9157be06e2b2"/>
      <w:r>
        <w:t xml:space="preserve">31-pipeline-run-lifecycle</w:t>
      </w:r>
      <w:bookmarkEnd w:id="166"/>
    </w:p>
    <w:p>
      <w:pPr>
        <w:pStyle w:val="FirstParagraph"/>
      </w:pPr>
      <w:r>
        <w:drawing>
          <wp:inline>
            <wp:extent cx="5334000" cy="5558486"/>
            <wp:effectExtent b="0" l="0" r="0" t="0"/>
            <wp:docPr descr="31-pipeline-run-lifecycle" title="" id="1" name="Picture"/>
            <a:graphic>
              <a:graphicData uri="http://schemas.openxmlformats.org/drawingml/2006/picture">
                <pic:pic>
                  <pic:nvPicPr>
                    <pic:cNvPr descr="foundation/png/31-pipeline-run-lifecycl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58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75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mmd-diagrams/foundation/31-pipeline-run-lifecycle.mmd</w:t>
      </w:r>
    </w:p>
    <w:p>
      <w:pPr>
        <w:pStyle w:val="Heading2"/>
      </w:pPr>
      <w:bookmarkStart w:id="168" w:name="описание-36"/>
      <w:r>
        <w:t xml:space="preserve">Описание</w:t>
      </w:r>
      <w:bookmarkEnd w:id="168"/>
    </w:p>
    <w:p>
      <w:pPr>
        <w:pStyle w:val="FirstParagraph"/>
      </w:pPr>
      <w:r>
        <w:t xml:space="preserve">Диаграмма Title: Pipeline Run Lifecycle — From Config to Completion из foundation-набора фиксирует устойчивый архитектурный или процессный паттерн проекта BioETL. Она представлена в формате stateDiagram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31-pipeline-run-lifecycle. В комментариях исходника зафиксирован фокус диаграммы: Covers: RULES.md §3 (Execution), domain/aggregates/pipeline_run.py. Это снижает неоднозначность интерпретации и помогает поддерживать консистентность между визуальной документацией, ADR-решениями и реальным кодом.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169" w:name="метаданные-36"/>
      <w:r>
        <w:t xml:space="preserve">Метаданные</w:t>
      </w:r>
      <w:bookmarkEnd w:id="169"/>
    </w:p>
    <w:p>
      <w:pPr>
        <w:numPr>
          <w:ilvl w:val="0"/>
          <w:numId w:val="1076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stateDiagram</w:t>
      </w:r>
    </w:p>
    <w:p>
      <w:pPr>
        <w:numPr>
          <w:ilvl w:val="0"/>
          <w:numId w:val="1076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76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70" w:name="X95e67e18f32531dd1bbfc403eb9670b2074ee01"/>
      <w:r>
        <w:t xml:space="preserve">32-single-record-journey</w:t>
      </w:r>
      <w:bookmarkEnd w:id="170"/>
    </w:p>
    <w:p>
      <w:pPr>
        <w:pStyle w:val="FirstParagraph"/>
      </w:pPr>
      <w:r>
        <w:drawing>
          <wp:inline>
            <wp:extent cx="5334000" cy="15652656"/>
            <wp:effectExtent b="0" l="0" r="0" t="0"/>
            <wp:docPr descr="32-single-record-journey" title="" id="1" name="Picture"/>
            <a:graphic>
              <a:graphicData uri="http://schemas.openxmlformats.org/drawingml/2006/picture">
                <pic:pic>
                  <pic:nvPicPr>
                    <pic:cNvPr descr="foundation/png/32-single-record-journe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52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77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mmd-diagrams/foundation/32-single-record-journey.mmd</w:t>
      </w:r>
    </w:p>
    <w:p>
      <w:pPr>
        <w:pStyle w:val="Heading2"/>
      </w:pPr>
      <w:bookmarkStart w:id="172" w:name="описание-37"/>
      <w:r>
        <w:t xml:space="preserve">Описание</w:t>
      </w:r>
      <w:bookmarkEnd w:id="172"/>
    </w:p>
    <w:p>
      <w:pPr>
        <w:pStyle w:val="FirstParagraph"/>
      </w:pPr>
      <w:r>
        <w:t xml:space="preserve">Диаграмма Title: Record Processing Pipeline — Single Record Journey из foundation-набора фиксирует устойчивый архитектурный или процессный паттерн проекта BioETL. Она представлена в формате flowchart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32-single-record-journey. В комментариях исходника зафиксирован фокус диаграммы: Covers: RULES.md §2.1-§2.6 (Data Flow, DQ), §2.8 (Normalization). Это снижает неоднозначность интерпретации и помогает поддерживать консистентность между визуальной документацией, ADR-решениями и реальным кодом. Ключевые блоки/подграфы включают: 1. External API, 2. Bronze Layer, 3. Transform (RecordProcessor), 4. Validate, 5. Route Decision. Их состав отражает главные границы ответственности и маршруты взаимодействия между подсистемами или слоями. Показательные узлы диаграммы: 1. External API, REST API Response (e.g., ChEMBL /activity), 2. Bronze Layer, BronzeWriter.write_bronze() • JSONL serialization • zstd compression • atomic rename • _manifest.json, 3. Transform (RecordProcessor), BatchTransformer.transform(). Они позволяют быстро сопоставлять термины, роли сервисов и артефакты данных между моделью и реализацией.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173" w:name="метаданные-37"/>
      <w:r>
        <w:t xml:space="preserve">Метаданные</w:t>
      </w:r>
      <w:bookmarkEnd w:id="173"/>
    </w:p>
    <w:p>
      <w:pPr>
        <w:numPr>
          <w:ilvl w:val="0"/>
          <w:numId w:val="1078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numPr>
          <w:ilvl w:val="0"/>
          <w:numId w:val="1078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78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74" w:name="X0917ca25517b91e89d8f04dbe0a1440ee39187f"/>
      <w:r>
        <w:t xml:space="preserve">33-cli-run-interaction</w:t>
      </w:r>
      <w:bookmarkEnd w:id="174"/>
    </w:p>
    <w:p>
      <w:pPr>
        <w:pStyle w:val="FirstParagraph"/>
      </w:pPr>
      <w:r>
        <w:drawing>
          <wp:inline>
            <wp:extent cx="5334000" cy="3041253"/>
            <wp:effectExtent b="0" l="0" r="0" t="0"/>
            <wp:docPr descr="33-cli-run-interaction" title="" id="1" name="Picture"/>
            <a:graphic>
              <a:graphicData uri="http://schemas.openxmlformats.org/drawingml/2006/picture">
                <pic:pic>
                  <pic:nvPicPr>
                    <pic:cNvPr descr="foundation/png/33-cli-run-interac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1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79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mmd-diagrams/foundation/33-cli-run-interaction.mmd</w:t>
      </w:r>
    </w:p>
    <w:p>
      <w:pPr>
        <w:pStyle w:val="Heading2"/>
      </w:pPr>
      <w:bookmarkStart w:id="176" w:name="описание-38"/>
      <w:r>
        <w:t xml:space="preserve">Описание</w:t>
      </w:r>
      <w:bookmarkEnd w:id="176"/>
    </w:p>
    <w:p>
      <w:pPr>
        <w:pStyle w:val="FirstParagraph"/>
      </w:pPr>
      <w:r>
        <w:t xml:space="preserve">Диаграмма Title: CLI Run Command → PipelineRunner Full Interaction из foundation-набора фиксирует устойчивый архитектурный или процессный паттерн проекта BioETL. Она представлена в формате sequenceDiagram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33-cli-run-interaction. В комментариях исходника зафиксирован фокус диаграммы: Covers: RULES.md §1.1 (Interfaces → Composition → Application). Это снижает неоднозначность интерпретации и помогает поддерживать консистентность между визуальной документацией, ADR-решениями и реальным кодом. Значимые участники последовательностей: User, CLI (Click) interfaces/cli/, PipelineRunnerService application/services/, bootstrap_pipeline() composition/bootstrap/, RunnerFactory composition/factories/. По этим участникам удобно валидировать порядок вызовов, точки отказа и стратегию обработки ошибок.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177" w:name="метаданные-38"/>
      <w:r>
        <w:t xml:space="preserve">Метаданные</w:t>
      </w:r>
      <w:bookmarkEnd w:id="177"/>
    </w:p>
    <w:p>
      <w:pPr>
        <w:numPr>
          <w:ilvl w:val="0"/>
          <w:numId w:val="1080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sequenceDiagram</w:t>
      </w:r>
    </w:p>
    <w:p>
      <w:pPr>
        <w:numPr>
          <w:ilvl w:val="0"/>
          <w:numId w:val="1080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80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78" w:name="X91cd86356ba2faf2e0a9bd414d0951296675315"/>
      <w:r>
        <w:t xml:space="preserve">34-batch-processing-flow</w:t>
      </w:r>
      <w:bookmarkEnd w:id="178"/>
    </w:p>
    <w:p>
      <w:pPr>
        <w:pStyle w:val="FirstParagraph"/>
      </w:pPr>
      <w:r>
        <w:drawing>
          <wp:inline>
            <wp:extent cx="5334000" cy="2806426"/>
            <wp:effectExtent b="0" l="0" r="0" t="0"/>
            <wp:docPr descr="34-batch-processing-flow" title="" id="1" name="Picture"/>
            <a:graphic>
              <a:graphicData uri="http://schemas.openxmlformats.org/drawingml/2006/picture">
                <pic:pic>
                  <pic:nvPicPr>
                    <pic:cNvPr descr="foundation/png/34-batch-processing-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6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81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mmd-diagrams/foundation/34-batch-processing-flow.mmd</w:t>
      </w:r>
    </w:p>
    <w:p>
      <w:pPr>
        <w:pStyle w:val="Heading2"/>
      </w:pPr>
      <w:bookmarkStart w:id="180" w:name="описание-39"/>
      <w:r>
        <w:t xml:space="preserve">Описание</w:t>
      </w:r>
      <w:bookmarkEnd w:id="180"/>
    </w:p>
    <w:p>
      <w:pPr>
        <w:pStyle w:val="FirstParagraph"/>
      </w:pPr>
      <w:r>
        <w:t xml:space="preserve">Диаграмма Title: Batch Processing Flow — Extract to Write из foundation-набора фиксирует устойчивый архитектурный или процессный паттерн проекта BioETL. Она представлена в формате sequenceDiagram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34-batch-processing-flow. В комментариях исходника зафиксирован фокус диаграммы: Covers: RULES.md §2.1 (Data Flow), application/core/batch_executor.py. Это снижает неоднозначность интерпретации и помогает поддерживать консистентность между визуальной документацией, ADR-решениями и реальным кодом. Значимые участники последовательностей: PipelineRunner, BatchExecutor (786 LOC), DataSourcePort (e.g., ChemblAdapter), BatchTransformer, BaseTransformer (e.g., ActivityTransformer). По этим участникам удобно валидировать порядок вызовов, точки отказа и стратегию обработки ошибок. Показательные узлы диаграммы: batch. Они позволяют быстро сопоставлять термины, роли сервисов и артефакты данных между моделью и реализацией.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181" w:name="метаданные-39"/>
      <w:r>
        <w:t xml:space="preserve">Метаданные</w:t>
      </w:r>
      <w:bookmarkEnd w:id="181"/>
    </w:p>
    <w:p>
      <w:pPr>
        <w:numPr>
          <w:ilvl w:val="0"/>
          <w:numId w:val="1082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sequenceDiagram</w:t>
      </w:r>
    </w:p>
    <w:p>
      <w:pPr>
        <w:numPr>
          <w:ilvl w:val="0"/>
          <w:numId w:val="1082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82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82" w:name="X451cf94217d15ff94a7cf41ae8236d05aaffe5a"/>
      <w:r>
        <w:t xml:space="preserve">36-architecture-principles-mindmap</w:t>
      </w:r>
      <w:bookmarkEnd w:id="182"/>
    </w:p>
    <w:p>
      <w:pPr>
        <w:pStyle w:val="FirstParagraph"/>
      </w:pPr>
      <w:r>
        <w:drawing>
          <wp:inline>
            <wp:extent cx="5334000" cy="1979404"/>
            <wp:effectExtent b="0" l="0" r="0" t="0"/>
            <wp:docPr descr="36-architecture-principles-mindmap" title="" id="1" name="Picture"/>
            <a:graphic>
              <a:graphicData uri="http://schemas.openxmlformats.org/drawingml/2006/picture">
                <pic:pic>
                  <pic:nvPicPr>
                    <pic:cNvPr descr="foundation/png/36-architecture-principles-mindma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9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83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mmd-diagrams/foundation/36-architecture-principles-mindmap.mmd</w:t>
      </w:r>
    </w:p>
    <w:p>
      <w:pPr>
        <w:pStyle w:val="Heading2"/>
      </w:pPr>
      <w:bookmarkStart w:id="184" w:name="описание-40"/>
      <w:r>
        <w:t xml:space="preserve">Описание</w:t>
      </w:r>
      <w:bookmarkEnd w:id="184"/>
    </w:p>
    <w:p>
      <w:pPr>
        <w:pStyle w:val="FirstParagraph"/>
      </w:pPr>
      <w:r>
        <w:t xml:space="preserve">Диаграмма Title: Architecture Principles Mind Map из foundation-набора фиксирует устойчивый архитектурный или процессный паттерн проекта BioETL. Она представлена в формате mindmap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36-architecture-principles-mindmap. В комментариях исходника зафиксирован фокус диаграммы: Covers: RULES.md §1 (Architecture), all ADRs. Это снижает неоднозначность интерпретации и помогает поддерживать консистентность между визуальной документацией, ADR-решениями и реальным кодом.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185" w:name="метаданные-40"/>
      <w:r>
        <w:t xml:space="preserve">Метаданные</w:t>
      </w:r>
      <w:bookmarkEnd w:id="185"/>
    </w:p>
    <w:p>
      <w:pPr>
        <w:numPr>
          <w:ilvl w:val="0"/>
          <w:numId w:val="1084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mindmap</w:t>
      </w:r>
    </w:p>
    <w:p>
      <w:pPr>
        <w:numPr>
          <w:ilvl w:val="0"/>
          <w:numId w:val="1084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84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86" w:name="X5431eac4d76fe9efeefc198dfd9b51a4b333057"/>
      <w:r>
        <w:t xml:space="preserve">37-cli-entry-full-chain</w:t>
      </w:r>
      <w:bookmarkEnd w:id="186"/>
    </w:p>
    <w:p>
      <w:pPr>
        <w:pStyle w:val="FirstParagraph"/>
      </w:pPr>
      <w:r>
        <w:drawing>
          <wp:inline>
            <wp:extent cx="5334000" cy="21426791"/>
            <wp:effectExtent b="0" l="0" r="0" t="0"/>
            <wp:docPr descr="37-cli-entry-full-chain" title="" id="1" name="Picture"/>
            <a:graphic>
              <a:graphicData uri="http://schemas.openxmlformats.org/drawingml/2006/picture">
                <pic:pic>
                  <pic:nvPicPr>
                    <pic:cNvPr descr="foundation/png/37-cli-entry-full-chai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26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85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mmd-diagrams/foundation/37-cli-entry-full-chain.mmd</w:t>
      </w:r>
    </w:p>
    <w:p>
      <w:pPr>
        <w:pStyle w:val="Heading2"/>
      </w:pPr>
      <w:bookmarkStart w:id="188" w:name="описание-41"/>
      <w:r>
        <w:t xml:space="preserve">Описание</w:t>
      </w:r>
      <w:bookmarkEnd w:id="188"/>
    </w:p>
    <w:p>
      <w:pPr>
        <w:pStyle w:val="FirstParagraph"/>
      </w:pPr>
      <w:r>
        <w:t xml:space="preserve">Диаграмма Title: CLI Entry Point to Pipeline Execution Full Chain из foundation-набора фиксирует устойчивый архитектурный или процессный паттерн проекта BioETL. Она представлена в формате flowchart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37-cli-entry-full-chain. В комментариях исходника зафиксирован фокус диаграммы: Covers: RULES.md §1.1 (Interfaces Layer), interfaces/cli/. Это снижает неоднозначность интерпретации и помогает поддерживать консистентность между визуальной документацией, ADR-решениями и реальным кодом. Ключевые блоки/подграфы включают: Interfaces Layer (Click), Application Service Layer, Composition Layer, Application Core, Result &amp; Exit. Их состав отражает главные границы ответственности и маршруты взаимодействия между подсистемами или слоями. Показательные узлы диаграммы: Interfaces Layer (Click), $ bioetl run --pipeline chembl_activity\n--run-type incremental\n--resume, Parse CLI Arguments • pipeline_name • run_type (RunType enum) • resume flag, Build RunOptions • pipeline_name • run_type • resume: bool, Application Service Layer, PipelineRunnerService.run() • lookup pipeline in registry • validate run options. Они позволяют быстро сопоставлять термины, роли сервисов и артефакты данных между моделью и реализацией.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189" w:name="метаданные-41"/>
      <w:r>
        <w:t xml:space="preserve">Метаданные</w:t>
      </w:r>
      <w:bookmarkEnd w:id="189"/>
    </w:p>
    <w:p>
      <w:pPr>
        <w:numPr>
          <w:ilvl w:val="0"/>
          <w:numId w:val="1086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numPr>
          <w:ilvl w:val="0"/>
          <w:numId w:val="1086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86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90" w:name="X0cd94bce2644101397bb4b8bcdb37aa70f49574"/>
      <w:r>
        <w:t xml:space="preserve">38-runtime-assembly-sequence</w:t>
      </w:r>
      <w:bookmarkEnd w:id="190"/>
    </w:p>
    <w:p>
      <w:pPr>
        <w:pStyle w:val="FirstParagraph"/>
      </w:pPr>
      <w:r>
        <w:drawing>
          <wp:inline>
            <wp:extent cx="5334000" cy="4416879"/>
            <wp:effectExtent b="0" l="0" r="0" t="0"/>
            <wp:docPr descr="38-runtime-assembly-sequence" title="" id="1" name="Picture"/>
            <a:graphic>
              <a:graphicData uri="http://schemas.openxmlformats.org/drawingml/2006/picture">
                <pic:pic>
                  <pic:nvPicPr>
                    <pic:cNvPr descr="foundation/png/38-runtime-assembly-sequenc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6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87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mmd-diagrams/foundation/38-runtime-assembly-sequence.mmd</w:t>
      </w:r>
    </w:p>
    <w:p>
      <w:pPr>
        <w:pStyle w:val="Heading2"/>
      </w:pPr>
      <w:bookmarkStart w:id="192" w:name="описание-42"/>
      <w:r>
        <w:t xml:space="preserve">Описание</w:t>
      </w:r>
      <w:bookmarkEnd w:id="192"/>
    </w:p>
    <w:p>
      <w:pPr>
        <w:pStyle w:val="FirstParagraph"/>
      </w:pPr>
      <w:r>
        <w:t xml:space="preserve">Диаграмма Title: Runtime Assembly Sequence — bootstrap/runtime/assembly.py из foundation-набора фиксирует устойчивый архитектурный или процессный паттерн проекта BioETL. Она представлена в формате sequenceDiagram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38-runtime-assembly-sequence. В комментариях исходника зафиксирован фокус диаграммы: Covers: composition/bootstrap/runtime/assembly.py, ADR-005. Это снижает неоднозначность интерпретации и помогает поддерживать консистентность между визуальной документацией, ADR-решениями и реальным кодом. Значимые участники последовательностей: Caller (PipelineRunnerService), assembly.py, BootstrapLogger, ConfigLoader, ObservabilityBundle. По этим участникам удобно валидировать порядок вызовов, точки отказа и стратегию обработки ошибок.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193" w:name="метаданные-42"/>
      <w:r>
        <w:t xml:space="preserve">Метаданные</w:t>
      </w:r>
      <w:bookmarkEnd w:id="193"/>
    </w:p>
    <w:p>
      <w:pPr>
        <w:numPr>
          <w:ilvl w:val="0"/>
          <w:numId w:val="1088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sequenceDiagram</w:t>
      </w:r>
    </w:p>
    <w:p>
      <w:pPr>
        <w:numPr>
          <w:ilvl w:val="0"/>
          <w:numId w:val="1088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88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94" w:name="Xfce282a39efb7cf43c2059159d8965b50c70b48"/>
      <w:r>
        <w:t xml:space="preserve">39-medallion-invariants</w:t>
      </w:r>
      <w:bookmarkEnd w:id="194"/>
    </w:p>
    <w:p>
      <w:pPr>
        <w:pStyle w:val="FirstParagraph"/>
      </w:pPr>
      <w:r>
        <w:drawing>
          <wp:inline>
            <wp:extent cx="5334000" cy="2347980"/>
            <wp:effectExtent b="0" l="0" r="0" t="0"/>
            <wp:docPr descr="39-medallion-invariants" title="" id="1" name="Picture"/>
            <a:graphic>
              <a:graphicData uri="http://schemas.openxmlformats.org/drawingml/2006/picture">
                <pic:pic>
                  <pic:nvPicPr>
                    <pic:cNvPr descr="foundation/png/39-medallion-invarian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7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89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mmd-diagrams/foundation/39-medallion-invariants.mmd</w:t>
      </w:r>
    </w:p>
    <w:p>
      <w:pPr>
        <w:pStyle w:val="Heading2"/>
      </w:pPr>
      <w:bookmarkStart w:id="196" w:name="описание-43"/>
      <w:r>
        <w:t xml:space="preserve">Описание</w:t>
      </w:r>
      <w:bookmarkEnd w:id="196"/>
    </w:p>
    <w:p>
      <w:pPr>
        <w:pStyle w:val="FirstParagraph"/>
      </w:pPr>
      <w:r>
        <w:t xml:space="preserve">Диаграмма Title: Medallion Architecture Invariants (ARCH-007) из foundation-набора фиксирует устойчивый архитектурный или процессный паттерн проекта BioETL. Она представлена в формате flowchart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39-medallion-invariants. В комментариях исходника зафиксирован фокус диаграммы: Covers: RULES.md §2.1 (Medallion), ARCH-007 clear policy. Это снижает неоднозначность интерпретации и помогает поддерживать консистентность между визуальной документацией, ADR-решениями и реальным кодом. Ключевые блоки/подграфы включают: RunType Enum (domain/types.py), MedallionLifecycleService\n(application/services/medallion_lifecycle.py), INCREMENTAL Path, BACKFILL Path, REBUILD Path. Их состав отражает главные границы ответственности и маршруты взаимодействия между подсистемами или слоями. Показательные узлы диаграммы: RunType Enum (domain/types.py), RunType.INCREMENTAL 'Fetch new data since last run', RunType.BACKFILL 'Re-fetch a date range', RunType.REBUILD 'Full clean rebuild', MedallionLifecycleService\n(application/services/medallion_lifecycle.py), Check RunType. Они позволяют быстро сопоставлять термины, роли сервисов и артефакты данных между моделью и реализацией.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197" w:name="метаданные-43"/>
      <w:r>
        <w:t xml:space="preserve">Метаданные</w:t>
      </w:r>
      <w:bookmarkEnd w:id="197"/>
    </w:p>
    <w:p>
      <w:pPr>
        <w:numPr>
          <w:ilvl w:val="0"/>
          <w:numId w:val="1090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numPr>
          <w:ilvl w:val="0"/>
          <w:numId w:val="1090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90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98" w:name="X2102ad3e94b919ed73aa161aeb60857b1ad1980"/>
      <w:r>
        <w:t xml:space="preserve">40-application-core-collaboration</w:t>
      </w:r>
      <w:bookmarkEnd w:id="198"/>
    </w:p>
    <w:p>
      <w:pPr>
        <w:pStyle w:val="FirstParagraph"/>
      </w:pPr>
      <w:r>
        <w:drawing>
          <wp:inline>
            <wp:extent cx="5334000" cy="3157482"/>
            <wp:effectExtent b="0" l="0" r="0" t="0"/>
            <wp:docPr descr="40-application-core-collaboration" title="" id="1" name="Picture"/>
            <a:graphic>
              <a:graphicData uri="http://schemas.openxmlformats.org/drawingml/2006/picture">
                <pic:pic>
                  <pic:nvPicPr>
                    <pic:cNvPr descr="foundation/png/40-application-core-collabora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7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91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mmd-diagrams/foundation/40-application-core-collaboration.mmd</w:t>
      </w:r>
    </w:p>
    <w:p>
      <w:pPr>
        <w:pStyle w:val="Heading2"/>
      </w:pPr>
      <w:bookmarkStart w:id="200" w:name="описание-44"/>
      <w:r>
        <w:t xml:space="preserve">Описание</w:t>
      </w:r>
      <w:bookmarkEnd w:id="200"/>
    </w:p>
    <w:p>
      <w:pPr>
        <w:pStyle w:val="FirstParagraph"/>
      </w:pPr>
      <w:r>
        <w:t xml:space="preserve">Диаграмма Title: Application Core Component Collaboration из foundation-набора фиксирует устойчивый архитектурный или процессный паттерн проекта BioETL. Она представлена в формате flowchart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40-application-core-collaboration. В комментариях исходника зафиксирован фокус диаграммы: Covers: RULES.md §1.1 (Application Layer), application/core/. Это снижает неоднозначность интерпретации и помогает поддерживать консистентность между визуальной документацией, ADR-решениями и реальным кодом. Ключевые блоки/подграфы включают: PipelineRunner (application/core/runner.py), Lifecycle Services, Pre/Post Services, Batch Execution, Observability. Их состав отражает главные границы ответственности и маршруты взаимодействия между подсистемами или слоями. Показательные узлы диаграммы: PipelineRunner (application/core/runner.py), run() — main orchestrator, Lifecycle Services, LockManager • acquire(key, owner, ttl=90s) • release(key, owner) • validate_ownership(), HeartbeatService • start() • stop(), CheckpointManager • read_checkpoint() • save_checkpoint(). Они позволяют быстро сопоставлять термины, роли сервисов и артефакты данных между моделью и реализацией.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201" w:name="метаданные-44"/>
      <w:r>
        <w:t xml:space="preserve">Метаданные</w:t>
      </w:r>
      <w:bookmarkEnd w:id="201"/>
    </w:p>
    <w:p>
      <w:pPr>
        <w:numPr>
          <w:ilvl w:val="0"/>
          <w:numId w:val="1092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numPr>
          <w:ilvl w:val="0"/>
          <w:numId w:val="1092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92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2" w:name="Xecc15c5615242a5be79b6d6c5256660d241d79f"/>
      <w:r>
        <w:t xml:space="preserve">41-error-classification-tree</w:t>
      </w:r>
      <w:bookmarkEnd w:id="202"/>
    </w:p>
    <w:p>
      <w:pPr>
        <w:pStyle w:val="FirstParagraph"/>
      </w:pPr>
      <w:r>
        <w:drawing>
          <wp:inline>
            <wp:extent cx="5334000" cy="6617929"/>
            <wp:effectExtent b="0" l="0" r="0" t="0"/>
            <wp:docPr descr="41-error-classification-tree" title="" id="1" name="Picture"/>
            <a:graphic>
              <a:graphicData uri="http://schemas.openxmlformats.org/drawingml/2006/picture">
                <pic:pic>
                  <pic:nvPicPr>
                    <pic:cNvPr descr="foundation/png/41-error-classification-tre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17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93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mmd-diagrams/foundation/41-error-classification-tree.mmd</w:t>
      </w:r>
    </w:p>
    <w:p>
      <w:pPr>
        <w:pStyle w:val="Heading2"/>
      </w:pPr>
      <w:bookmarkStart w:id="204" w:name="описание-45"/>
      <w:r>
        <w:t xml:space="preserve">Описание</w:t>
      </w:r>
      <w:bookmarkEnd w:id="204"/>
    </w:p>
    <w:p>
      <w:pPr>
        <w:pStyle w:val="FirstParagraph"/>
      </w:pPr>
      <w:r>
        <w:t xml:space="preserve">Диаграмма Title: Error Classification Decision Tree — Full Logic из foundation-набора фиксирует устойчивый архитектурный или процессный паттерн проекта BioETL. Она представлена в формате flowchart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41-error-classification-tree. В комментариях исходника зафиксирован фокус диаграммы: Covers: RULES.md §3.1 (Error Handling), domain/exceptions/. Это снижает неоднозначность интерпретации и помогает поддерживать консистентность между визуальной документацией, ADR-решениями и реальным кодом. Ключевые блоки/подграфы включают: HTTP Branch Outcomes, Domain Branch Outcomes, Infrastructure Branch Outcomes, Error Actions. Их состав отражает главные границы ответственности и маршруты взаимодействия между подсистемами или слоями. Показательные узлы диаграммы: Error Occurred, HTTP Status Code?, Domain Error?, Infrastructure Error?, [E] ServiceAuthenticationError\n(CriticalError)\n→ FAIL FAST, no retry\n→ Check API key config, [E] ApiError\n(RecoverableError)\n→ Log warning\n→ Skip entity. Они позволяют быстро сопоставлять термины, роли сервисов и артефакты данных между моделью и реализацией.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205" w:name="метаданные-45"/>
      <w:r>
        <w:t xml:space="preserve">Метаданные</w:t>
      </w:r>
      <w:bookmarkEnd w:id="205"/>
    </w:p>
    <w:p>
      <w:pPr>
        <w:numPr>
          <w:ilvl w:val="0"/>
          <w:numId w:val="1094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numPr>
          <w:ilvl w:val="0"/>
          <w:numId w:val="1094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94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6" w:name="X68ab145737b6ffbd2277199ad622d39d5c323bc"/>
      <w:r>
        <w:t xml:space="preserve">42-pipeline-runner-class</w:t>
      </w:r>
      <w:bookmarkEnd w:id="206"/>
    </w:p>
    <w:p>
      <w:pPr>
        <w:pStyle w:val="FirstParagraph"/>
      </w:pPr>
      <w:r>
        <w:drawing>
          <wp:inline>
            <wp:extent cx="5334000" cy="1733550"/>
            <wp:effectExtent b="0" l="0" r="0" t="0"/>
            <wp:docPr descr="42-pipeline-runner-class" title="" id="1" name="Picture"/>
            <a:graphic>
              <a:graphicData uri="http://schemas.openxmlformats.org/drawingml/2006/picture">
                <pic:pic>
                  <pic:nvPicPr>
                    <pic:cNvPr descr="foundation/png/42-pipeline-runner-clas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95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mmd-diagrams/foundation/42-pipeline-runner-class.mmd</w:t>
      </w:r>
    </w:p>
    <w:p>
      <w:pPr>
        <w:pStyle w:val="Heading2"/>
      </w:pPr>
      <w:bookmarkStart w:id="208" w:name="описание-46"/>
      <w:r>
        <w:t xml:space="preserve">Описание</w:t>
      </w:r>
      <w:bookmarkEnd w:id="208"/>
    </w:p>
    <w:p>
      <w:pPr>
        <w:pStyle w:val="FirstParagraph"/>
      </w:pPr>
      <w:r>
        <w:t xml:space="preserve">Диаграмма Title: PipelineRunner Internal Component Diagram из foundation-набора фиксирует устойчивый архитектурный или процессный паттерн проекта BioETL. Она представлена в формате classDiagram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42-pipeline-runner-class. В комментариях исходника зафиксирован фокус диаграммы: Covers: application/core/runner.py, application/core/pipeline_services.py. Это снижает неоднозначность интерпретации и помогает поддерживать консистентность между визуальной документацией, ADR-решениями и реальным кодом.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209" w:name="метаданные-46"/>
      <w:r>
        <w:t xml:space="preserve">Метаданные</w:t>
      </w:r>
      <w:bookmarkEnd w:id="209"/>
    </w:p>
    <w:p>
      <w:pPr>
        <w:numPr>
          <w:ilvl w:val="0"/>
          <w:numId w:val="1096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numPr>
          <w:ilvl w:val="0"/>
          <w:numId w:val="1096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96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0" w:name="Xe661c3d850007afa471e769e0ac65041c32a779"/>
      <w:r>
        <w:t xml:space="preserve">43-fan-out-fan-in-pattern</w:t>
      </w:r>
      <w:bookmarkEnd w:id="210"/>
    </w:p>
    <w:p>
      <w:pPr>
        <w:pStyle w:val="FirstParagraph"/>
      </w:pPr>
      <w:r>
        <w:drawing>
          <wp:inline>
            <wp:extent cx="5334000" cy="10209919"/>
            <wp:effectExtent b="0" l="0" r="0" t="0"/>
            <wp:docPr descr="43-fan-out-fan-in-pattern" title="" id="1" name="Picture"/>
            <a:graphic>
              <a:graphicData uri="http://schemas.openxmlformats.org/drawingml/2006/picture">
                <pic:pic>
                  <pic:nvPicPr>
                    <pic:cNvPr descr="foundation/png/43-fan-out-fan-in-patter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09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97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mmd-diagrams/foundation/43-fan-out-fan-in-pattern.mmd</w:t>
      </w:r>
    </w:p>
    <w:p>
      <w:pPr>
        <w:pStyle w:val="Heading2"/>
      </w:pPr>
      <w:bookmarkStart w:id="212" w:name="описание-47"/>
      <w:r>
        <w:t xml:space="preserve">Описание</w:t>
      </w:r>
      <w:bookmarkEnd w:id="212"/>
    </w:p>
    <w:p>
      <w:pPr>
        <w:pStyle w:val="FirstParagraph"/>
      </w:pPr>
      <w:r>
        <w:t xml:space="preserve">Диаграмма Title: Fan-Out/Fan-In Pattern — Composite Pipeline Enrichment из foundation-набора фиксирует устойчивый архитектурный или процессный паттерн проекта BioETL. Она представлена в формате flowchart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43-fan-out-fan-in-pattern. В комментариях исходника зафиксирован фокус диаграммы: Covers: ADR-026 (Composite Pipeline Pattern), application/composite/. Это снижает неоднозначность интерпретации и помогает поддерживать консистентность между визуальной документацией, ADR-решениями и реальным кодом. Ключевые блоки/подграфы включают: Seed Pipeline Result, Key Extraction, Fan-Out (EnrichmentCoordinator), Enricher Silver Tables, Fan-In (MergeService). Их состав отражает главные границы ответственности и маршруты взаимодействия между подсистемами или слоями. Показательные узлы диаграммы: Seed Pipeline Result, Seed Silver Table (e.g., chembl/publication ), Key Extraction, KeyExtractorService.extract_keys() • read seed Silver via DeltaReader • select join_key columns (doi, pmid) • deduplicate → unique key list, DOI Keys (~50,000 unique), PMID Keys (~30,000 unique). Они позволяют быстро сопоставлять термины, роли сервисов и артефакты данных между моделью и реализацией.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213" w:name="метаданные-47"/>
      <w:r>
        <w:t xml:space="preserve">Метаданные</w:t>
      </w:r>
      <w:bookmarkEnd w:id="213"/>
    </w:p>
    <w:p>
      <w:pPr>
        <w:numPr>
          <w:ilvl w:val="0"/>
          <w:numId w:val="1098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numPr>
          <w:ilvl w:val="0"/>
          <w:numId w:val="1098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098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4" w:name="Xd0c2c4bc2da90b4c7c549d74b22bdd3d9e842ab"/>
      <w:r>
        <w:t xml:space="preserve">44-cross-provider-enrichment</w:t>
      </w:r>
      <w:bookmarkEnd w:id="214"/>
    </w:p>
    <w:p>
      <w:pPr>
        <w:pStyle w:val="FirstParagraph"/>
      </w:pPr>
      <w:r>
        <w:drawing>
          <wp:inline>
            <wp:extent cx="5334000" cy="2335803"/>
            <wp:effectExtent b="0" l="0" r="0" t="0"/>
            <wp:docPr descr="44-cross-provider-enrichment" title="" id="1" name="Picture"/>
            <a:graphic>
              <a:graphicData uri="http://schemas.openxmlformats.org/drawingml/2006/picture">
                <pic:pic>
                  <pic:nvPicPr>
                    <pic:cNvPr descr="foundation/png/44-cross-provider-enrichme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5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99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mmd-diagrams/foundation/44-cross-provider-enrichment.mmd</w:t>
      </w:r>
    </w:p>
    <w:p>
      <w:pPr>
        <w:pStyle w:val="Heading2"/>
      </w:pPr>
      <w:bookmarkStart w:id="216" w:name="описание-48"/>
      <w:r>
        <w:t xml:space="preserve">Описание</w:t>
      </w:r>
      <w:bookmarkEnd w:id="216"/>
    </w:p>
    <w:p>
      <w:pPr>
        <w:pStyle w:val="FirstParagraph"/>
      </w:pPr>
      <w:r>
        <w:t xml:space="preserve">Диаграмма Title: Cross-Provider Data Enrichment Flow — Publication из foundation-набора фиксирует устойчивый архитектурный или процессный паттерн проекта BioETL. Она представлена в формате flowchart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44-cross-provider-enrichment. В комментариях исходника зафиксирован фокус диаграммы: Covers: ADR-026 (Composite), publication composite pipeline config. Это снижает неоднозначность интерпретации и помогает поддерживать консистентность между визуальной документацией, ADR-решениями и реальным кодом. Ключевые блоки/подграфы включают: ChEMBL (Seed), CrossRef (Enricher), PubMed (Enricher), OpenAlex (Enricher), Semantic Scholar (Enricher). Их состав отражает главные границы ответственности и маршруты взаимодействия между подсистемами или слоями. Показательные узлы диаграммы: ChEMBL (Seed), ChemblAdapter /document endpoint, PublicationTransformer, CrossRef (Enricher), CrossRefAdapter /works?filter=doi:..., CrossRefPublicationTransformer. Они позволяют быстро сопоставлять термины, роли сервисов и артефакты данных между моделью и реализацией.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217" w:name="метаданные-48"/>
      <w:r>
        <w:t xml:space="preserve">Метаданные</w:t>
      </w:r>
      <w:bookmarkEnd w:id="217"/>
    </w:p>
    <w:p>
      <w:pPr>
        <w:numPr>
          <w:ilvl w:val="0"/>
          <w:numId w:val="1100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numPr>
          <w:ilvl w:val="0"/>
          <w:numId w:val="1100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100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8" w:name="X66e6ed976fa65f1410b99eb947425514b2a227f"/>
      <w:r>
        <w:t xml:space="preserve">46-yaml-config-resolution</w:t>
      </w:r>
      <w:bookmarkEnd w:id="218"/>
    </w:p>
    <w:p>
      <w:pPr>
        <w:pStyle w:val="FirstParagraph"/>
      </w:pPr>
      <w:r>
        <w:drawing>
          <wp:inline>
            <wp:extent cx="5334000" cy="2352518"/>
            <wp:effectExtent b="0" l="0" r="0" t="0"/>
            <wp:docPr descr="46-yaml-config-resolution" title="" id="1" name="Picture"/>
            <a:graphic>
              <a:graphicData uri="http://schemas.openxmlformats.org/drawingml/2006/picture">
                <pic:pic>
                  <pic:nvPicPr>
                    <pic:cNvPr descr="foundation/png/46-yaml-config-resolu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2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01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mmd-diagrams/foundation/46-yaml-config-resolution.mmd</w:t>
      </w:r>
    </w:p>
    <w:p>
      <w:pPr>
        <w:pStyle w:val="Heading2"/>
      </w:pPr>
      <w:bookmarkStart w:id="220" w:name="описание-49"/>
      <w:r>
        <w:t xml:space="preserve">Описание</w:t>
      </w:r>
      <w:bookmarkEnd w:id="220"/>
    </w:p>
    <w:p>
      <w:pPr>
        <w:pStyle w:val="FirstParagraph"/>
      </w:pPr>
      <w:r>
        <w:t xml:space="preserve">Диаграмма Title: YAML Configuration Resolution Chain из foundation-набора фиксирует устойчивый архитектурный или процессный паттерн проекта BioETL. Она представлена в формате flowchart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46-yaml-config-resolution. В комментариях исходника зафиксирован фокус диаграммы: Covers: infrastructure/config_loader.py, infrastructure/config/, domain/config/. Это снижает неоднозначность интерпретации и помогает поддерживать консистентность между визуальной документацией, ADR-решениями и реальным кодом. Ключевые блоки/подграфы включают: YAML File Hierarchy, DQ Config Hierarchy (DQConfigLoader), Filter Config Hierarchy (FilterConfigLoader), Infrastructure Config Loaders, Domain Config Objects (Frozen). Их состав отражает главные границы ответственности и маршруты взаимодействия между подсистемами или слоями. Показательные узлы диаграммы: YAML File Hierarchy, configs/base/pipeline.yaml (global defaults), configs/providers/{provider}.yaml (provider defaults), configs/entities/{provider}/{entity}.yaml (pipeline config), configs/providers/{provider}.yaml (source config), DQ Config Hierarchy (DQConfigLoader). Они позволяют быстро сопоставлять термины, роли сервисов и артефакты данных между моделью и реализацией.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221" w:name="метаданные-49"/>
      <w:r>
        <w:t xml:space="preserve">Метаданные</w:t>
      </w:r>
      <w:bookmarkEnd w:id="221"/>
    </w:p>
    <w:p>
      <w:pPr>
        <w:numPr>
          <w:ilvl w:val="0"/>
          <w:numId w:val="1102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numPr>
          <w:ilvl w:val="0"/>
          <w:numId w:val="1102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102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2026-02-27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2" w:name="Xf5f6c4712280e1f3310c01540e50a23124f8600"/>
      <w:r>
        <w:t xml:space="preserve">47-publication-merge-sources</w:t>
      </w:r>
      <w:bookmarkEnd w:id="222"/>
    </w:p>
    <w:p>
      <w:pPr>
        <w:pStyle w:val="FirstParagraph"/>
      </w:pPr>
      <w:r>
        <w:drawing>
          <wp:inline>
            <wp:extent cx="5334000" cy="3169015"/>
            <wp:effectExtent b="0" l="0" r="0" t="0"/>
            <wp:docPr descr="47-publication-merge-sources" title="" id="1" name="Picture"/>
            <a:graphic>
              <a:graphicData uri="http://schemas.openxmlformats.org/drawingml/2006/picture">
                <pic:pic>
                  <pic:nvPicPr>
                    <pic:cNvPr descr="foundation/png/47-publication-merge-sourc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9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03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mmd-diagrams/foundation/47-publication-merge-sources.mmd</w:t>
      </w:r>
    </w:p>
    <w:p>
      <w:pPr>
        <w:pStyle w:val="Heading2"/>
      </w:pPr>
      <w:bookmarkStart w:id="224" w:name="описание-50"/>
      <w:r>
        <w:t xml:space="preserve">Описание</w:t>
      </w:r>
      <w:bookmarkEnd w:id="224"/>
    </w:p>
    <w:p>
      <w:pPr>
        <w:pStyle w:val="FirstParagraph"/>
      </w:pPr>
      <w:r>
        <w:t xml:space="preserve">Диаграмма Title: Publication Composite — Merge All Sources из foundation-набора фиксирует устойчивый архитектурный или процессный паттерн проекта BioETL. Она представлена в формате sequenceDiagram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47-publication-merge-sources. В комментариях исходника зафиксирован фокус диаграммы: Covers: application/composite/merger.py, composite/coordinator.py, composite configs. Это снижает неоднозначность интерпретации и помогает поддерживать консистентность между визуальной документацией, ADR-решениями и реальным кодом. Значимые участники последовательностей: CLI (run-composite), CompositePipelineRunner, FSMStateHelper, PipelineRunner (chembl_document), KeyExtractorService. По этим участникам удобно валидировать порядок вызовов, точки отказа и стратегию обработки ошибок.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225" w:name="метаданные-50"/>
      <w:r>
        <w:t xml:space="preserve">Метаданные</w:t>
      </w:r>
      <w:bookmarkEnd w:id="225"/>
    </w:p>
    <w:p>
      <w:pPr>
        <w:numPr>
          <w:ilvl w:val="0"/>
          <w:numId w:val="1104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sequenceDiagram</w:t>
      </w:r>
    </w:p>
    <w:p>
      <w:pPr>
        <w:numPr>
          <w:ilvl w:val="0"/>
          <w:numId w:val="1104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104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6" w:name="X8ae33f72c1f2e3e2ff44641c86023eb7a5f7661"/>
      <w:r>
        <w:t xml:space="preserve">48-composite-phase-lifecycle</w:t>
      </w:r>
      <w:bookmarkEnd w:id="226"/>
    </w:p>
    <w:p>
      <w:pPr>
        <w:pStyle w:val="FirstParagraph"/>
      </w:pPr>
      <w:r>
        <w:drawing>
          <wp:inline>
            <wp:extent cx="5334000" cy="11892261"/>
            <wp:effectExtent b="0" l="0" r="0" t="0"/>
            <wp:docPr descr="48-composite-phase-lifecycle" title="" id="1" name="Picture"/>
            <a:graphic>
              <a:graphicData uri="http://schemas.openxmlformats.org/drawingml/2006/picture">
                <pic:pic>
                  <pic:nvPicPr>
                    <pic:cNvPr descr="foundation/png/48-composite-phase-lifecycl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92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05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mmd-diagrams/foundation/48-composite-phase-lifecycle.mmd</w:t>
      </w:r>
    </w:p>
    <w:p>
      <w:pPr>
        <w:pStyle w:val="Heading2"/>
      </w:pPr>
      <w:bookmarkStart w:id="228" w:name="описание-51"/>
      <w:r>
        <w:t xml:space="preserve">Описание</w:t>
      </w:r>
      <w:bookmarkEnd w:id="228"/>
    </w:p>
    <w:p>
      <w:pPr>
        <w:pStyle w:val="FirstParagraph"/>
      </w:pPr>
      <w:r>
        <w:t xml:space="preserve">Диаграмма Title: Composite Pipeline Phase Lifecycle (FSM) из foundation-набора фиксирует устойчивый архитектурный или процессный паттерн проекта BioETL. Она представлена в формате stateDiagram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48-composite-phase-lifecycle. В комментариях исходника зафиксирован фокус диаграммы: Covers: domain/composite/state.py, application/composite/fsm_helper.py. Это снижает неоднозначность интерпретации и помогает поддерживать консистентность между визуальной документацией, ADR-решениями и реальным кодом.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229" w:name="метаданные-51"/>
      <w:r>
        <w:t xml:space="preserve">Метаданные</w:t>
      </w:r>
      <w:bookmarkEnd w:id="229"/>
    </w:p>
    <w:p>
      <w:pPr>
        <w:numPr>
          <w:ilvl w:val="0"/>
          <w:numId w:val="1106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stateDiagram</w:t>
      </w:r>
    </w:p>
    <w:p>
      <w:pPr>
        <w:numPr>
          <w:ilvl w:val="0"/>
          <w:numId w:val="1106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106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0" w:name="X5a29c95058cd80a781fd98ee0e076ebb5ef353c"/>
      <w:r>
        <w:t xml:space="preserve">49-composite-runner-class</w:t>
      </w:r>
      <w:bookmarkEnd w:id="230"/>
    </w:p>
    <w:p>
      <w:pPr>
        <w:pStyle w:val="FirstParagraph"/>
      </w:pPr>
      <w:r>
        <w:drawing>
          <wp:inline>
            <wp:extent cx="5334000" cy="1989005"/>
            <wp:effectExtent b="0" l="0" r="0" t="0"/>
            <wp:docPr descr="49-composite-runner-class" title="" id="1" name="Picture"/>
            <a:graphic>
              <a:graphicData uri="http://schemas.openxmlformats.org/drawingml/2006/picture">
                <pic:pic>
                  <pic:nvPicPr>
                    <pic:cNvPr descr="foundation/png/49-composite-runner-clas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9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07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mmd-diagrams/foundation/49-composite-runner-class.mmd</w:t>
      </w:r>
    </w:p>
    <w:p>
      <w:pPr>
        <w:pStyle w:val="Heading2"/>
      </w:pPr>
      <w:bookmarkStart w:id="232" w:name="описание-52"/>
      <w:r>
        <w:t xml:space="preserve">Описание</w:t>
      </w:r>
      <w:bookmarkEnd w:id="232"/>
    </w:p>
    <w:p>
      <w:pPr>
        <w:pStyle w:val="FirstParagraph"/>
      </w:pPr>
      <w:r>
        <w:t xml:space="preserve">Диаграмма Title: CompositePipelineRunner — Component Diagram из foundation-набора фиксирует устойчивый архитектурный или процессный паттерн проекта BioETL. Она представлена в формате classDiagram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49-composite-runner-class. В комментариях исходника зафиксирован фокус диаграммы: Covers: application/composite/ (runner, coordinator, merger, checkpoint, etc.). Это снижает неоднозначность интерпретации и помогает поддерживать консистентность между визуальной документацией, ADR-решениями и реальным кодом.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233" w:name="метаданные-52"/>
      <w:r>
        <w:t xml:space="preserve">Метаданные</w:t>
      </w:r>
      <w:bookmarkEnd w:id="233"/>
    </w:p>
    <w:p>
      <w:pPr>
        <w:numPr>
          <w:ilvl w:val="0"/>
          <w:numId w:val="1108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numPr>
          <w:ilvl w:val="0"/>
          <w:numId w:val="1108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108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4" w:name="Xdf57b4d242c081d776b7618d6f6605636676bd3"/>
      <w:r>
        <w:t xml:space="preserve">50-exception-hierarchy</w:t>
      </w:r>
      <w:bookmarkEnd w:id="234"/>
    </w:p>
    <w:p>
      <w:pPr>
        <w:pStyle w:val="FirstParagraph"/>
      </w:pPr>
      <w:r>
        <w:drawing>
          <wp:inline>
            <wp:extent cx="5334000" cy="588369"/>
            <wp:effectExtent b="0" l="0" r="0" t="0"/>
            <wp:docPr descr="50-exception-hierarchy" title="" id="1" name="Picture"/>
            <a:graphic>
              <a:graphicData uri="http://schemas.openxmlformats.org/drawingml/2006/picture">
                <pic:pic>
                  <pic:nvPicPr>
                    <pic:cNvPr descr="foundation/png/50-exception-hierarch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8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09"/>
        </w:numPr>
        <w:pStyle w:val="Compact"/>
      </w:pPr>
      <w:r>
        <w:t xml:space="preserve">Исходная диаграмма:</w:t>
      </w:r>
      <w:r>
        <w:t xml:space="preserve"> </w:t>
      </w:r>
      <w:r>
        <w:rPr>
          <w:rStyle w:val="VerbatimChar"/>
        </w:rPr>
        <w:t xml:space="preserve">mmd-diagrams/foundation/50-exception-hierarchy.mmd</w:t>
      </w:r>
    </w:p>
    <w:p>
      <w:pPr>
        <w:pStyle w:val="Heading2"/>
      </w:pPr>
      <w:bookmarkStart w:id="236" w:name="описание-53"/>
      <w:r>
        <w:t xml:space="preserve">Описание</w:t>
      </w:r>
      <w:bookmarkEnd w:id="236"/>
    </w:p>
    <w:p>
      <w:pPr>
        <w:pStyle w:val="FirstParagraph"/>
      </w:pPr>
      <w:r>
        <w:t xml:space="preserve">Диаграмма Title: Exception Hierarchy — Full Tree из foundation-набора фиксирует устойчивый архитектурный или процессный паттерн проекта BioETL. Она представлена в формате flowchart и служит базовым ориентиром для инженерного анализа, ревью изменений и обсуждения технических решений. Уровень детализации обозначен как Mixed (System / Component / Class), поэтому схема подходит одновременно для быстрой навигации по контексту и для проверки корректности зависимостей, контрактов и потоков обработки данных в рамках сценария 50-exception-hierarchy. В комментариях исходника зафиксирован фокус диаграммы: Covers: domain/exceptions/ (base, network, validation, internal, infrastructure, data_quality). Это снижает неоднозначность интерпретации и помогает поддерживать консистентность между визуальной документацией, ADR-решениями и реальным кодом. Показательные узлы диаграммы: Exception (Python built-in), BioETLError domain/exceptions/base.py error_type: ErrorType context: dict, CriticalError error_type = CRITICAL Action: ABORT pipeline, RecoverableError error_type = RECOVERABLE Action: RETRY with backoff, DataQualityError error_type = DATA_QUALITY Action: QUARANTINE record, InvalidStateError current_state, attempted_operation. Они позволяют быстро сопоставлять термины, роли сервисов и артефакты данных между моделью и реализацией. Дополнительно в метаданных указан показатель плотности (@nodes=n/a), что полезно при контроле читаемости и планировании декомпозиции диаграмм на более узкие представления.</w:t>
      </w:r>
    </w:p>
    <w:p>
      <w:pPr>
        <w:pStyle w:val="Heading2"/>
      </w:pPr>
      <w:bookmarkStart w:id="237" w:name="метаданные-53"/>
      <w:r>
        <w:t xml:space="preserve">Метаданные</w:t>
      </w:r>
      <w:bookmarkEnd w:id="237"/>
    </w:p>
    <w:p>
      <w:pPr>
        <w:numPr>
          <w:ilvl w:val="0"/>
          <w:numId w:val="1110"/>
        </w:numPr>
        <w:pStyle w:val="Compact"/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numPr>
          <w:ilvl w:val="0"/>
          <w:numId w:val="1110"/>
        </w:numPr>
        <w:pStyle w:val="Compact"/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numPr>
          <w:ilvl w:val="0"/>
          <w:numId w:val="1110"/>
        </w:numPr>
        <w:pStyle w:val="Compact"/>
      </w:pPr>
      <w:r>
        <w:t xml:space="preserve">Дата метаданных:</w:t>
      </w:r>
      <w:r>
        <w:t xml:space="preserve"> </w:t>
      </w:r>
      <w:r>
        <w:rPr>
          <w:rStyle w:val="VerbatimChar"/>
        </w:rPr>
        <w:t xml:space="preserve">2026-02-24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63" Target="media/rId163.png" /><Relationship Type="http://schemas.openxmlformats.org/officeDocument/2006/relationships/image" Id="rId167" Target="media/rId167.png" /><Relationship Type="http://schemas.openxmlformats.org/officeDocument/2006/relationships/image" Id="rId171" Target="media/rId171.png" /><Relationship Type="http://schemas.openxmlformats.org/officeDocument/2006/relationships/image" Id="rId175" Target="media/rId175.png" /><Relationship Type="http://schemas.openxmlformats.org/officeDocument/2006/relationships/image" Id="rId179" Target="media/rId179.png" /><Relationship Type="http://schemas.openxmlformats.org/officeDocument/2006/relationships/image" Id="rId183" Target="media/rId183.png" /><Relationship Type="http://schemas.openxmlformats.org/officeDocument/2006/relationships/image" Id="rId187" Target="media/rId187.png" /><Relationship Type="http://schemas.openxmlformats.org/officeDocument/2006/relationships/image" Id="rId191" Target="media/rId191.png" /><Relationship Type="http://schemas.openxmlformats.org/officeDocument/2006/relationships/image" Id="rId195" Target="media/rId195.png" /><Relationship Type="http://schemas.openxmlformats.org/officeDocument/2006/relationships/image" Id="rId199" Target="media/rId199.png" /><Relationship Type="http://schemas.openxmlformats.org/officeDocument/2006/relationships/image" Id="rId203" Target="media/rId203.png" /><Relationship Type="http://schemas.openxmlformats.org/officeDocument/2006/relationships/image" Id="rId207" Target="media/rId207.png" /><Relationship Type="http://schemas.openxmlformats.org/officeDocument/2006/relationships/image" Id="rId211" Target="media/rId211.png" /><Relationship Type="http://schemas.openxmlformats.org/officeDocument/2006/relationships/image" Id="rId215" Target="media/rId215.png" /><Relationship Type="http://schemas.openxmlformats.org/officeDocument/2006/relationships/image" Id="rId219" Target="media/rId219.png" /><Relationship Type="http://schemas.openxmlformats.org/officeDocument/2006/relationships/image" Id="rId223" Target="media/rId223.png" /><Relationship Type="http://schemas.openxmlformats.org/officeDocument/2006/relationships/image" Id="rId227" Target="media/rId227.png" /><Relationship Type="http://schemas.openxmlformats.org/officeDocument/2006/relationships/image" Id="rId231" Target="media/rId231.png" /><Relationship Type="http://schemas.openxmlformats.org/officeDocument/2006/relationships/image" Id="rId235" Target="media/rId235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2026-03-03T10:15:53Z</dcterms:created>
  <dcterms:modified xsi:type="dcterms:W3CDTF">2026-03-03T10:15:53Z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