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2.png" ContentType="image/png"/>
  <Override PartName="/word/media/rId28.png" ContentType="image/png"/>
  <Override PartName="/word/media/rId34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8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2.png" ContentType="image/png"/>
  <Override PartName="/word/media/rId88.png" ContentType="image/png"/>
  <Override PartName="/word/media/rId94.png" ContentType="image/png"/>
  <Override PartName="/word/media/rId100.png" ContentType="image/png"/>
  <Override PartName="/word/media/rId106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30.png" ContentType="image/png"/>
  <Override PartName="/word/media/rId136.png" ContentType="image/png"/>
  <Override PartName="/word/media/rId142.png" ContentType="image/png"/>
  <Override PartName="/word/media/rId148.png" ContentType="image/png"/>
  <Override PartName="/word/media/rId154.png" ContentType="image/png"/>
  <Override PartName="/word/media/rId160.png" ContentType="image/png"/>
  <Override PartName="/word/media/rId166.png" ContentType="image/png"/>
  <Override PartName="/word/media/rId172.png" ContentType="image/png"/>
  <Override PartName="/word/media/rId178.png" ContentType="image/png"/>
  <Override PartName="/word/media/rId184.png" ContentType="image/png"/>
  <Override PartName="/word/media/rId190.png" ContentType="image/png"/>
  <Override PartName="/word/media/rId196.png" ContentType="image/png"/>
  <Override PartName="/word/media/rId202.png" ContentType="image/png"/>
  <Override PartName="/word/media/rId208.png" ContentType="image/png"/>
  <Override PartName="/word/media/rId214.png" ContentType="image/png"/>
  <Override PartName="/word/media/rId220.png" ContentType="image/png"/>
  <Override PartName="/word/media/rId226.png" ContentType="image/png"/>
  <Override PartName="/word/media/rId232.png" ContentType="image/png"/>
  <Override PartName="/word/media/rId238.png" ContentType="image/png"/>
  <Override PartName="/word/media/rId244.png" ContentType="image/png"/>
  <Override PartName="/word/media/rId250.png" ContentType="image/png"/>
  <Override PartName="/word/media/rId256.png" ContentType="image/png"/>
  <Override PartName="/word/media/rId262.png" ContentType="image/png"/>
  <Override PartName="/word/media/rId268.png" ContentType="image/png"/>
  <Override PartName="/word/media/rId274.png" ContentType="image/png"/>
  <Override PartName="/word/media/rId280.png" ContentType="image/png"/>
  <Override PartName="/word/media/rId286.png" ContentType="image/png"/>
  <Override PartName="/word/media/rId292.png" ContentType="image/png"/>
  <Override PartName="/word/media/rId298.png" ContentType="image/png"/>
  <Override PartName="/word/media/rId304.png" ContentType="image/png"/>
  <Override PartName="/word/media/rId310.png" ContentType="image/png"/>
  <Override PartName="/word/media/rId3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2" w:name="Xd21dcf1c73de6206c52699118930c539b938de4"/>
    <w:p>
      <w:pPr>
        <w:pStyle w:val="Heading1"/>
      </w:pPr>
      <w:r>
        <w:t xml:space="preserve">BioETL Architecture Diagrams With Descriptions</w:t>
      </w:r>
    </w:p>
    <w:p>
      <w:pPr>
        <w:pStyle w:val="Compact"/>
        <w:numPr>
          <w:ilvl w:val="0"/>
          <w:numId w:val="1001"/>
        </w:numPr>
      </w:pPr>
      <w:r>
        <w:t xml:space="preserve">Generated: 2026-03-12T13:00:59</w:t>
      </w:r>
    </w:p>
    <w:p>
      <w:pPr>
        <w:pStyle w:val="Compact"/>
        <w:numPr>
          <w:ilvl w:val="0"/>
          <w:numId w:val="1001"/>
        </w:numPr>
      </w:pPr>
      <w:r>
        <w:t xml:space="preserve">Diagram count: 52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fd6e7f35668d2396e068105ed0e4ca3b159348a">
        <w:r>
          <w:rPr>
            <w:rStyle w:val="Hyperlink"/>
          </w:rPr>
          <w:t xml:space="preserve">01-high-level-hexagonal</w:t>
        </w:r>
      </w:hyperlink>
    </w:p>
    <w:p>
      <w:pPr>
        <w:pStyle w:val="Compact"/>
        <w:numPr>
          <w:ilvl w:val="0"/>
          <w:numId w:val="1002"/>
        </w:numPr>
      </w:pPr>
      <w:hyperlink w:anchor="X3285dd563211097e3da6b0147cd2074c43b554f">
        <w:r>
          <w:rPr>
            <w:rStyle w:val="Hyperlink"/>
          </w:rPr>
          <w:t xml:space="preserve">01a-hexagonal-overview</w:t>
        </w:r>
      </w:hyperlink>
    </w:p>
    <w:p>
      <w:pPr>
        <w:pStyle w:val="Compact"/>
        <w:numPr>
          <w:ilvl w:val="0"/>
          <w:numId w:val="1002"/>
        </w:numPr>
      </w:pPr>
      <w:hyperlink w:anchor="X1bcb3ff18eeb3883164949aeb9e38b14a830021">
        <w:r>
          <w:rPr>
            <w:rStyle w:val="Hyperlink"/>
          </w:rPr>
          <w:t xml:space="preserve">01b-hexagonal-domain-app</w:t>
        </w:r>
      </w:hyperlink>
    </w:p>
    <w:p>
      <w:pPr>
        <w:pStyle w:val="Compact"/>
        <w:numPr>
          <w:ilvl w:val="0"/>
          <w:numId w:val="1002"/>
        </w:numPr>
      </w:pPr>
      <w:hyperlink w:anchor="Xca4d9abd820b95e2c659fc4b2da2b78fc5695b5">
        <w:r>
          <w:rPr>
            <w:rStyle w:val="Hyperlink"/>
          </w:rPr>
          <w:t xml:space="preserve">01c-hexagonal-infra-comp</w:t>
        </w:r>
      </w:hyperlink>
    </w:p>
    <w:p>
      <w:pPr>
        <w:pStyle w:val="Compact"/>
        <w:numPr>
          <w:ilvl w:val="0"/>
          <w:numId w:val="1002"/>
        </w:numPr>
      </w:pPr>
      <w:hyperlink w:anchor="Xf33de9551686f4a0df3f2aaa4eccf2a6b652cd3">
        <w:r>
          <w:rPr>
            <w:rStyle w:val="Hyperlink"/>
          </w:rPr>
          <w:t xml:space="preserve">01d-hexagonal-overview-rounded</w:t>
        </w:r>
      </w:hyperlink>
    </w:p>
    <w:p>
      <w:pPr>
        <w:pStyle w:val="Compact"/>
        <w:numPr>
          <w:ilvl w:val="0"/>
          <w:numId w:val="1002"/>
        </w:numPr>
      </w:pPr>
      <w:hyperlink w:anchor="X70ef10417ad890169def489df4df608c3542e37">
        <w:r>
          <w:rPr>
            <w:rStyle w:val="Hyperlink"/>
          </w:rPr>
          <w:t xml:space="preserve">02-layer-dependency-matrix</w:t>
        </w:r>
      </w:hyperlink>
    </w:p>
    <w:p>
      <w:pPr>
        <w:pStyle w:val="Compact"/>
        <w:numPr>
          <w:ilvl w:val="0"/>
          <w:numId w:val="1002"/>
        </w:numPr>
      </w:pPr>
      <w:hyperlink w:anchor="X7a2c07a958c76c043e40036a93c93e4496dd414">
        <w:r>
          <w:rPr>
            <w:rStyle w:val="Hyperlink"/>
          </w:rPr>
          <w:t xml:space="preserve">03-medallion-data-flow</w:t>
        </w:r>
      </w:hyperlink>
    </w:p>
    <w:p>
      <w:pPr>
        <w:pStyle w:val="Compact"/>
        <w:numPr>
          <w:ilvl w:val="0"/>
          <w:numId w:val="1002"/>
        </w:numPr>
      </w:pPr>
      <w:hyperlink w:anchor="Xf7941136224cdd640244b7aead7895c5bc2b374">
        <w:r>
          <w:rPr>
            <w:rStyle w:val="Hyperlink"/>
          </w:rPr>
          <w:t xml:space="preserve">03a-medallion-layers-overview</w:t>
        </w:r>
      </w:hyperlink>
    </w:p>
    <w:p>
      <w:pPr>
        <w:pStyle w:val="Compact"/>
        <w:numPr>
          <w:ilvl w:val="0"/>
          <w:numId w:val="1002"/>
        </w:numPr>
      </w:pPr>
      <w:hyperlink w:anchor="Xd9dca22ebfadc530679e433a5e6f63abc6500ec">
        <w:r>
          <w:rPr>
            <w:rStyle w:val="Hyperlink"/>
          </w:rPr>
          <w:t xml:space="preserve">04-pipeline-execution-flow</w:t>
        </w:r>
      </w:hyperlink>
    </w:p>
    <w:p>
      <w:pPr>
        <w:pStyle w:val="Compact"/>
        <w:numPr>
          <w:ilvl w:val="0"/>
          <w:numId w:val="1002"/>
        </w:numPr>
      </w:pPr>
      <w:hyperlink w:anchor="X399af10f916b19bdfb9710b51b4f2bce7c87c99">
        <w:r>
          <w:rPr>
            <w:rStyle w:val="Hyperlink"/>
          </w:rPr>
          <w:t xml:space="preserve">05-provider-adapter-hierarchy</w:t>
        </w:r>
      </w:hyperlink>
    </w:p>
    <w:p>
      <w:pPr>
        <w:pStyle w:val="Compact"/>
        <w:numPr>
          <w:ilvl w:val="0"/>
          <w:numId w:val="1002"/>
        </w:numPr>
      </w:pPr>
      <w:hyperlink w:anchor="X0b83679be86735ec9ce2164053c7f28d9f9d75c">
        <w:r>
          <w:rPr>
            <w:rStyle w:val="Hyperlink"/>
          </w:rPr>
          <w:t xml:space="preserve">05a-adapter-hierarchy-base</w:t>
        </w:r>
      </w:hyperlink>
    </w:p>
    <w:p>
      <w:pPr>
        <w:pStyle w:val="Compact"/>
        <w:numPr>
          <w:ilvl w:val="0"/>
          <w:numId w:val="1002"/>
        </w:numPr>
      </w:pPr>
      <w:hyperlink w:anchor="Xf4d5090fa419cf6f27db9bb4251590b328a391f">
        <w:r>
          <w:rPr>
            <w:rStyle w:val="Hyperlink"/>
          </w:rPr>
          <w:t xml:space="preserve">05b-adapter-hierarchy-providers</w:t>
        </w:r>
      </w:hyperlink>
    </w:p>
    <w:p>
      <w:pPr>
        <w:pStyle w:val="Compact"/>
        <w:numPr>
          <w:ilvl w:val="0"/>
          <w:numId w:val="1002"/>
        </w:numPr>
      </w:pPr>
      <w:hyperlink w:anchor="Xe23479e8c7538552d8870ff864ac1dab31ecf53">
        <w:r>
          <w:rPr>
            <w:rStyle w:val="Hyperlink"/>
          </w:rPr>
          <w:t xml:space="preserve">06-storage-layer</w:t>
        </w:r>
      </w:hyperlink>
    </w:p>
    <w:p>
      <w:pPr>
        <w:pStyle w:val="Compact"/>
        <w:numPr>
          <w:ilvl w:val="0"/>
          <w:numId w:val="1002"/>
        </w:numPr>
      </w:pPr>
      <w:hyperlink w:anchor="X3e157a2ca8965b93998f3442f541c7435e7860d">
        <w:r>
          <w:rPr>
            <w:rStyle w:val="Hyperlink"/>
          </w:rPr>
          <w:t xml:space="preserve">06a-storage-writers</w:t>
        </w:r>
      </w:hyperlink>
    </w:p>
    <w:p>
      <w:pPr>
        <w:pStyle w:val="Compact"/>
        <w:numPr>
          <w:ilvl w:val="0"/>
          <w:numId w:val="1002"/>
        </w:numPr>
      </w:pPr>
      <w:hyperlink w:anchor="X35a3a99fa30367943602d728a82677c5c72be80">
        <w:r>
          <w:rPr>
            <w:rStyle w:val="Hyperlink"/>
          </w:rPr>
          <w:t xml:space="preserve">06b-storage-support</w:t>
        </w:r>
      </w:hyperlink>
    </w:p>
    <w:p>
      <w:pPr>
        <w:pStyle w:val="Compact"/>
        <w:numPr>
          <w:ilvl w:val="0"/>
          <w:numId w:val="1002"/>
        </w:numPr>
      </w:pPr>
      <w:hyperlink w:anchor="X3180247ec7e20c1b62ea496824dd14a0a4204fa">
        <w:r>
          <w:rPr>
            <w:rStyle w:val="Hyperlink"/>
          </w:rPr>
          <w:t xml:space="preserve">07-dq-system</w:t>
        </w:r>
      </w:hyperlink>
    </w:p>
    <w:p>
      <w:pPr>
        <w:pStyle w:val="Compact"/>
        <w:numPr>
          <w:ilvl w:val="0"/>
          <w:numId w:val="1002"/>
        </w:numPr>
      </w:pPr>
      <w:hyperlink w:anchor="X5001c7f5ca08c8b1cd985a7231769fb8df0e622">
        <w:r>
          <w:rPr>
            <w:rStyle w:val="Hyperlink"/>
          </w:rPr>
          <w:t xml:space="preserve">07a-dq-analysis</w:t>
        </w:r>
      </w:hyperlink>
    </w:p>
    <w:p>
      <w:pPr>
        <w:pStyle w:val="Compact"/>
        <w:numPr>
          <w:ilvl w:val="0"/>
          <w:numId w:val="1002"/>
        </w:numPr>
      </w:pPr>
      <w:hyperlink w:anchor="X394c5e7b72458d21fe7eadc43b6ef7ecf0b0a5c">
        <w:r>
          <w:rPr>
            <w:rStyle w:val="Hyperlink"/>
          </w:rPr>
          <w:t xml:space="preserve">07b-dq-pipeline</w:t>
        </w:r>
      </w:hyperlink>
    </w:p>
    <w:p>
      <w:pPr>
        <w:pStyle w:val="Compact"/>
        <w:numPr>
          <w:ilvl w:val="0"/>
          <w:numId w:val="1002"/>
        </w:numPr>
      </w:pPr>
      <w:hyperlink w:anchor="X258b5a82c72f107811b51b19f20296b98327590">
        <w:r>
          <w:rPr>
            <w:rStyle w:val="Hyperlink"/>
          </w:rPr>
          <w:t xml:space="preserve">08-composite-pipeline</w:t>
        </w:r>
      </w:hyperlink>
    </w:p>
    <w:p>
      <w:pPr>
        <w:pStyle w:val="Compact"/>
        <w:numPr>
          <w:ilvl w:val="0"/>
          <w:numId w:val="1002"/>
        </w:numPr>
      </w:pPr>
      <w:hyperlink w:anchor="Xb3b3f1e74fcc4764f88ddc251b381e201176bcc">
        <w:r>
          <w:rPr>
            <w:rStyle w:val="Hyperlink"/>
          </w:rPr>
          <w:t xml:space="preserve">08a-composite-config</w:t>
        </w:r>
      </w:hyperlink>
    </w:p>
    <w:p>
      <w:pPr>
        <w:pStyle w:val="Compact"/>
        <w:numPr>
          <w:ilvl w:val="0"/>
          <w:numId w:val="1002"/>
        </w:numPr>
      </w:pPr>
      <w:hyperlink w:anchor="X0f786549fd0e3a2a8c9e06454ad505fdf64f4d0">
        <w:r>
          <w:rPr>
            <w:rStyle w:val="Hyperlink"/>
          </w:rPr>
          <w:t xml:space="preserve">08b-composite-execution</w:t>
        </w:r>
      </w:hyperlink>
    </w:p>
    <w:p>
      <w:pPr>
        <w:pStyle w:val="Compact"/>
        <w:numPr>
          <w:ilvl w:val="0"/>
          <w:numId w:val="1002"/>
        </w:numPr>
      </w:pPr>
      <w:hyperlink w:anchor="X4035c774d1b15bf4376ea4fc294fc7666b7d26b">
        <w:r>
          <w:rPr>
            <w:rStyle w:val="Hyperlink"/>
          </w:rPr>
          <w:t xml:space="preserve">09-observability-stack</w:t>
        </w:r>
      </w:hyperlink>
    </w:p>
    <w:p>
      <w:pPr>
        <w:pStyle w:val="Compact"/>
        <w:numPr>
          <w:ilvl w:val="0"/>
          <w:numId w:val="1002"/>
        </w:numPr>
      </w:pPr>
      <w:hyperlink w:anchor="X66796e386e519f79daa04a0c326da962b537f52">
        <w:r>
          <w:rPr>
            <w:rStyle w:val="Hyperlink"/>
          </w:rPr>
          <w:t xml:space="preserve">09a-observability-app</w:t>
        </w:r>
      </w:hyperlink>
    </w:p>
    <w:p>
      <w:pPr>
        <w:pStyle w:val="Compact"/>
        <w:numPr>
          <w:ilvl w:val="0"/>
          <w:numId w:val="1002"/>
        </w:numPr>
      </w:pPr>
      <w:hyperlink w:anchor="X0245f0a49b79cfe7361fd40bfbdd6d50f71529e">
        <w:r>
          <w:rPr>
            <w:rStyle w:val="Hyperlink"/>
          </w:rPr>
          <w:t xml:space="preserve">09b-observability-infra</w:t>
        </w:r>
      </w:hyperlink>
    </w:p>
    <w:p>
      <w:pPr>
        <w:pStyle w:val="Compact"/>
        <w:numPr>
          <w:ilvl w:val="0"/>
          <w:numId w:val="1002"/>
        </w:numPr>
      </w:pPr>
      <w:hyperlink w:anchor="X25322fe0e0ca9b9c3119db27db2b33260679365">
        <w:r>
          <w:rPr>
            <w:rStyle w:val="Hyperlink"/>
          </w:rPr>
          <w:t xml:space="preserve">10-resilience-patterns</w:t>
        </w:r>
      </w:hyperlink>
    </w:p>
    <w:p>
      <w:pPr>
        <w:pStyle w:val="Compact"/>
        <w:numPr>
          <w:ilvl w:val="0"/>
          <w:numId w:val="1002"/>
        </w:numPr>
      </w:pPr>
      <w:hyperlink w:anchor="Xed6092386b76448f613123e05938077b6c4e894">
        <w:r>
          <w:rPr>
            <w:rStyle w:val="Hyperlink"/>
          </w:rPr>
          <w:t xml:space="preserve">11-configuration-system</w:t>
        </w:r>
      </w:hyperlink>
    </w:p>
    <w:p>
      <w:pPr>
        <w:pStyle w:val="Compact"/>
        <w:numPr>
          <w:ilvl w:val="0"/>
          <w:numId w:val="1002"/>
        </w:numPr>
      </w:pPr>
      <w:hyperlink w:anchor="Xe5fb57bb50c9d777b392aaaa4d1dde604fe168f">
        <w:r>
          <w:rPr>
            <w:rStyle w:val="Hyperlink"/>
          </w:rPr>
          <w:t xml:space="preserve">11a-config-loading</w:t>
        </w:r>
      </w:hyperlink>
    </w:p>
    <w:p>
      <w:pPr>
        <w:pStyle w:val="Compact"/>
        <w:numPr>
          <w:ilvl w:val="0"/>
          <w:numId w:val="1002"/>
        </w:numPr>
      </w:pPr>
      <w:hyperlink w:anchor="X10d0def250d51d059753395d3f069dee6c84298">
        <w:r>
          <w:rPr>
            <w:rStyle w:val="Hyperlink"/>
          </w:rPr>
          <w:t xml:space="preserve">11b-config-domain</w:t>
        </w:r>
      </w:hyperlink>
    </w:p>
    <w:p>
      <w:pPr>
        <w:pStyle w:val="Compact"/>
        <w:numPr>
          <w:ilvl w:val="0"/>
          <w:numId w:val="1002"/>
        </w:numPr>
      </w:pPr>
      <w:hyperlink w:anchor="X46398f454cbb57fd1cc55e470d73a3eef5258ad">
        <w:r>
          <w:rPr>
            <w:rStyle w:val="Hyperlink"/>
          </w:rPr>
          <w:t xml:space="preserve">12-bootstrap-di-container</w:t>
        </w:r>
      </w:hyperlink>
    </w:p>
    <w:p>
      <w:pPr>
        <w:pStyle w:val="Compact"/>
        <w:numPr>
          <w:ilvl w:val="0"/>
          <w:numId w:val="1002"/>
        </w:numPr>
      </w:pPr>
      <w:hyperlink w:anchor="X556f390b7d9690948cacbd95f1aa787f4b26832">
        <w:r>
          <w:rPr>
            <w:rStyle w:val="Hyperlink"/>
          </w:rPr>
          <w:t xml:space="preserve">12a-bootstrap-factories</w:t>
        </w:r>
      </w:hyperlink>
    </w:p>
    <w:p>
      <w:pPr>
        <w:pStyle w:val="Compact"/>
        <w:numPr>
          <w:ilvl w:val="0"/>
          <w:numId w:val="1002"/>
        </w:numPr>
      </w:pPr>
      <w:hyperlink w:anchor="X2c66d02ddfb36bcac8350104972b5b0c59a6d1d">
        <w:r>
          <w:rPr>
            <w:rStyle w:val="Hyperlink"/>
          </w:rPr>
          <w:t xml:space="preserve">12b-bootstrap-wiring</w:t>
        </w:r>
      </w:hyperlink>
    </w:p>
    <w:p>
      <w:pPr>
        <w:pStyle w:val="Compact"/>
        <w:numPr>
          <w:ilvl w:val="0"/>
          <w:numId w:val="1002"/>
        </w:numPr>
      </w:pPr>
      <w:hyperlink w:anchor="X9ee1dbdb80fe736aee50a5280391e249125adee">
        <w:r>
          <w:rPr>
            <w:rStyle w:val="Hyperlink"/>
          </w:rPr>
          <w:t xml:space="preserve">13-port-protocol-contracts</w:t>
        </w:r>
      </w:hyperlink>
    </w:p>
    <w:p>
      <w:pPr>
        <w:pStyle w:val="Compact"/>
        <w:numPr>
          <w:ilvl w:val="0"/>
          <w:numId w:val="1002"/>
        </w:numPr>
      </w:pPr>
      <w:hyperlink w:anchor="X1105599c9490d51ca1f2da6d27d5b1a710cbc3a">
        <w:r>
          <w:rPr>
            <w:rStyle w:val="Hyperlink"/>
          </w:rPr>
          <w:t xml:space="preserve">13a-data-storage-ports</w:t>
        </w:r>
      </w:hyperlink>
    </w:p>
    <w:p>
      <w:pPr>
        <w:pStyle w:val="Compact"/>
        <w:numPr>
          <w:ilvl w:val="0"/>
          <w:numId w:val="1002"/>
        </w:numPr>
      </w:pPr>
      <w:hyperlink w:anchor="X9b6f148ce6492111afe7cc0b134199b8560bdbb">
        <w:r>
          <w:rPr>
            <w:rStyle w:val="Hyperlink"/>
          </w:rPr>
          <w:t xml:space="preserve">13a-port-contracts-data-sources</w:t>
        </w:r>
      </w:hyperlink>
    </w:p>
    <w:p>
      <w:pPr>
        <w:pStyle w:val="Compact"/>
        <w:numPr>
          <w:ilvl w:val="0"/>
          <w:numId w:val="1002"/>
        </w:numPr>
      </w:pPr>
      <w:hyperlink w:anchor="X28d66455700b2fec9d150c9e01693516b9bd7eb">
        <w:r>
          <w:rPr>
            <w:rStyle w:val="Hyperlink"/>
          </w:rPr>
          <w:t xml:space="preserve">13b-operational-ports</w:t>
        </w:r>
      </w:hyperlink>
    </w:p>
    <w:p>
      <w:pPr>
        <w:pStyle w:val="Compact"/>
        <w:numPr>
          <w:ilvl w:val="0"/>
          <w:numId w:val="1002"/>
        </w:numPr>
      </w:pPr>
      <w:hyperlink w:anchor="X587580b4861dda4348bfb43adbb8ff64ff7014f">
        <w:r>
          <w:rPr>
            <w:rStyle w:val="Hyperlink"/>
          </w:rPr>
          <w:t xml:space="preserve">13b-port-contracts-storage</w:t>
        </w:r>
      </w:hyperlink>
    </w:p>
    <w:p>
      <w:pPr>
        <w:pStyle w:val="Compact"/>
        <w:numPr>
          <w:ilvl w:val="0"/>
          <w:numId w:val="1002"/>
        </w:numPr>
      </w:pPr>
      <w:hyperlink w:anchor="X1b4a7e27bc3560f630c6bacb2b9e99ec37d67f4">
        <w:r>
          <w:rPr>
            <w:rStyle w:val="Hyperlink"/>
          </w:rPr>
          <w:t xml:space="preserve">13c-port-contracts-observability</w:t>
        </w:r>
      </w:hyperlink>
    </w:p>
    <w:p>
      <w:pPr>
        <w:pStyle w:val="Compact"/>
        <w:numPr>
          <w:ilvl w:val="0"/>
          <w:numId w:val="1002"/>
        </w:numPr>
      </w:pPr>
      <w:hyperlink w:anchor="Xa5d5ba349a569367c81be66d3149bd744e5eda5">
        <w:r>
          <w:rPr>
            <w:rStyle w:val="Hyperlink"/>
          </w:rPr>
          <w:t xml:space="preserve">13c-validation-dq-ports</w:t>
        </w:r>
      </w:hyperlink>
    </w:p>
    <w:p>
      <w:pPr>
        <w:pStyle w:val="Compact"/>
        <w:numPr>
          <w:ilvl w:val="0"/>
          <w:numId w:val="1002"/>
        </w:numPr>
      </w:pPr>
      <w:hyperlink w:anchor="X6d23d8bf98c7d1c9c2ebc64ae3b37073e6502e6">
        <w:r>
          <w:rPr>
            <w:rStyle w:val="Hyperlink"/>
          </w:rPr>
          <w:t xml:space="preserve">13d-port-contracts-services</w:t>
        </w:r>
      </w:hyperlink>
    </w:p>
    <w:p>
      <w:pPr>
        <w:pStyle w:val="Compact"/>
        <w:numPr>
          <w:ilvl w:val="0"/>
          <w:numId w:val="1002"/>
        </w:numPr>
      </w:pPr>
      <w:hyperlink w:anchor="Xb487158a9fed53660b6c54edb02d1c5ea9000de">
        <w:r>
          <w:rPr>
            <w:rStyle w:val="Hyperlink"/>
          </w:rPr>
          <w:t xml:space="preserve">13e-operational-ports-domain</w:t>
        </w:r>
      </w:hyperlink>
    </w:p>
    <w:p>
      <w:pPr>
        <w:pStyle w:val="Compact"/>
        <w:numPr>
          <w:ilvl w:val="0"/>
          <w:numId w:val="1002"/>
        </w:numPr>
      </w:pPr>
      <w:hyperlink w:anchor="X922dcdb214e9c479abdfa05383c1bf6865e5f6a">
        <w:r>
          <w:rPr>
            <w:rStyle w:val="Hyperlink"/>
          </w:rPr>
          <w:t xml:space="preserve">13f-operational-ports-infra</w:t>
        </w:r>
      </w:hyperlink>
    </w:p>
    <w:p>
      <w:pPr>
        <w:pStyle w:val="Compact"/>
        <w:numPr>
          <w:ilvl w:val="0"/>
          <w:numId w:val="1002"/>
        </w:numPr>
      </w:pPr>
      <w:hyperlink w:anchor="X4da636e118cfc51f5f9dc53eeed33eaace3696c">
        <w:r>
          <w:rPr>
            <w:rStyle w:val="Hyperlink"/>
          </w:rPr>
          <w:t xml:space="preserve">14-cli-interface-layer</w:t>
        </w:r>
      </w:hyperlink>
    </w:p>
    <w:p>
      <w:pPr>
        <w:pStyle w:val="Compact"/>
        <w:numPr>
          <w:ilvl w:val="0"/>
          <w:numId w:val="1002"/>
        </w:numPr>
      </w:pPr>
      <w:hyperlink w:anchor="X71c5bd2fb365807f9012e622745c21d9682c4a8">
        <w:r>
          <w:rPr>
            <w:rStyle w:val="Hyperlink"/>
          </w:rPr>
          <w:t xml:space="preserve">14a-cli-commands</w:t>
        </w:r>
      </w:hyperlink>
    </w:p>
    <w:p>
      <w:pPr>
        <w:pStyle w:val="Compact"/>
        <w:numPr>
          <w:ilvl w:val="0"/>
          <w:numId w:val="1002"/>
        </w:numPr>
      </w:pPr>
      <w:hyperlink w:anchor="X21e34f443b76494704d8997a4f2bd8dbb8fe836">
        <w:r>
          <w:rPr>
            <w:rStyle w:val="Hyperlink"/>
          </w:rPr>
          <w:t xml:space="preserve">14b-cli-routing</w:t>
        </w:r>
      </w:hyperlink>
    </w:p>
    <w:p>
      <w:pPr>
        <w:pStyle w:val="Compact"/>
        <w:numPr>
          <w:ilvl w:val="0"/>
          <w:numId w:val="1002"/>
        </w:numPr>
      </w:pPr>
      <w:hyperlink w:anchor="X6b6c0058fadad35b1f24807a83969b36ca6f7ef">
        <w:r>
          <w:rPr>
            <w:rStyle w:val="Hyperlink"/>
          </w:rPr>
          <w:t xml:space="preserve">15-batch-executor-internals</w:t>
        </w:r>
      </w:hyperlink>
    </w:p>
    <w:p>
      <w:pPr>
        <w:pStyle w:val="Compact"/>
        <w:numPr>
          <w:ilvl w:val="0"/>
          <w:numId w:val="1002"/>
        </w:numPr>
      </w:pPr>
      <w:hyperlink w:anchor="X33ca675d349453cc680a37ef07998c9836bc14d">
        <w:r>
          <w:rPr>
            <w:rStyle w:val="Hyperlink"/>
          </w:rPr>
          <w:t xml:space="preserve">16-transformer-hierarchy</w:t>
        </w:r>
      </w:hyperlink>
    </w:p>
    <w:p>
      <w:pPr>
        <w:pStyle w:val="Compact"/>
        <w:numPr>
          <w:ilvl w:val="0"/>
          <w:numId w:val="1002"/>
        </w:numPr>
      </w:pPr>
      <w:hyperlink w:anchor="X6db4417e30180b443957a0157a97d8c5bd27db3">
        <w:r>
          <w:rPr>
            <w:rStyle w:val="Hyperlink"/>
          </w:rPr>
          <w:t xml:space="preserve">16a-transformer-base</w:t>
        </w:r>
      </w:hyperlink>
    </w:p>
    <w:p>
      <w:pPr>
        <w:pStyle w:val="Compact"/>
        <w:numPr>
          <w:ilvl w:val="0"/>
          <w:numId w:val="1002"/>
        </w:numPr>
      </w:pPr>
      <w:hyperlink w:anchor="X2eb9849dfbdb9a3e1d99c8c021d5b046dacbba0">
        <w:r>
          <w:rPr>
            <w:rStyle w:val="Hyperlink"/>
          </w:rPr>
          <w:t xml:space="preserve">16b-transformer-pub-other</w:t>
        </w:r>
      </w:hyperlink>
    </w:p>
    <w:p>
      <w:pPr>
        <w:pStyle w:val="Compact"/>
        <w:numPr>
          <w:ilvl w:val="0"/>
          <w:numId w:val="1002"/>
        </w:numPr>
      </w:pPr>
      <w:hyperlink w:anchor="X95d5a1670fb1bae1099c74a776b0a15337980d2">
        <w:r>
          <w:rPr>
            <w:rStyle w:val="Hyperlink"/>
          </w:rPr>
          <w:t xml:space="preserve">17-security-pii-audit</w:t>
        </w:r>
      </w:hyperlink>
    </w:p>
    <w:p>
      <w:pPr>
        <w:pStyle w:val="Compact"/>
        <w:numPr>
          <w:ilvl w:val="0"/>
          <w:numId w:val="1002"/>
        </w:numPr>
      </w:pPr>
      <w:hyperlink w:anchor="X39f363dbe3996ddfe7385c8d0e9407cd0a3f11d">
        <w:r>
          <w:rPr>
            <w:rStyle w:val="Hyperlink"/>
          </w:rPr>
          <w:t xml:space="preserve">18-lock-checkpoint-shutdown</w:t>
        </w:r>
      </w:hyperlink>
    </w:p>
    <w:p>
      <w:pPr>
        <w:pStyle w:val="Compact"/>
        <w:numPr>
          <w:ilvl w:val="0"/>
          <w:numId w:val="1002"/>
        </w:numPr>
      </w:pPr>
      <w:hyperlink w:anchor="X898668cc371d5687bee0a6ffdb4aa12c4710058">
        <w:r>
          <w:rPr>
            <w:rStyle w:val="Hyperlink"/>
          </w:rPr>
          <w:t xml:space="preserve">18a-lock-system</w:t>
        </w:r>
      </w:hyperlink>
    </w:p>
    <w:p>
      <w:pPr>
        <w:pStyle w:val="Compact"/>
        <w:numPr>
          <w:ilvl w:val="0"/>
          <w:numId w:val="1002"/>
        </w:numPr>
      </w:pPr>
      <w:hyperlink w:anchor="X269a2de74e5c259e2549d2d7cec809056b33277">
        <w:r>
          <w:rPr>
            <w:rStyle w:val="Hyperlink"/>
          </w:rPr>
          <w:t xml:space="preserve">18b-checkpoint-shutdown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fd6e7f35668d2396e068105ed0e4ca3b159348a"/>
    <w:p>
      <w:pPr>
        <w:pStyle w:val="Heading2"/>
      </w:pPr>
      <w:r>
        <w:t xml:space="preserve">01-high-level-hexagonal</w:t>
      </w:r>
    </w:p>
    <w:p>
      <w:pPr>
        <w:pStyle w:val="FirstParagraph"/>
      </w:pPr>
      <w:r>
        <w:drawing>
          <wp:inline>
            <wp:extent cx="5334000" cy="1810799"/>
            <wp:effectExtent b="0" l="0" r="0" t="0"/>
            <wp:docPr descr="01-high-level-hexagonal" title="" id="11" name="Picture"/>
            <a:graphic>
              <a:graphicData uri="http://schemas.openxmlformats.org/drawingml/2006/picture">
                <pic:pic>
                  <pic:nvPicPr>
                    <pic:cNvPr descr="architecture/png/01-high-level-hexagonal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0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mmd-diagrams/architecture/01-high-level-hexagonal.mmd</w:t>
      </w:r>
    </w:p>
    <w:bookmarkEnd w:id="13"/>
    <w:bookmarkStart w:id="14" w:name="описание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«High-Level Hexagonal Architecture» из набора architecture представлена в формате flowchart. Уровень детализации: System / Component. Показывает: the Ports &amp; Adapters (Hexagonal) pattern across all layers.. Количество узлов: 46. Примечание: Decomposed into 01a, 01b, 01c sub-diagrams.</w:t>
      </w:r>
    </w:p>
    <w:bookmarkEnd w:id="14"/>
    <w:bookmarkStart w:id="15" w:name="метаданные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0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46</w:t>
      </w:r>
    </w:p>
    <w:bookmarkEnd w:id="15"/>
    <w:bookmarkStart w:id="19" w:name="X3285dd563211097e3da6b0147cd2074c43b554f"/>
    <w:p>
      <w:pPr>
        <w:pStyle w:val="Heading2"/>
      </w:pPr>
      <w:r>
        <w:t xml:space="preserve">01a-hexagonal-overview</w:t>
      </w:r>
    </w:p>
    <w:p>
      <w:pPr>
        <w:pStyle w:val="FirstParagraph"/>
      </w:pPr>
      <w:r>
        <w:drawing>
          <wp:inline>
            <wp:extent cx="5334000" cy="2934464"/>
            <wp:effectExtent b="0" l="0" r="0" t="0"/>
            <wp:docPr descr="01a-hexagonal-overview" title="" id="17" name="Picture"/>
            <a:graphic>
              <a:graphicData uri="http://schemas.openxmlformats.org/drawingml/2006/picture">
                <pic:pic>
                  <pic:nvPicPr>
                    <pic:cNvPr descr="architecture/png/01a-hexagonal-overview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4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mmd-diagrams/architecture/01a-hexagonal-overview.mmd</w:t>
      </w:r>
    </w:p>
    <w:bookmarkEnd w:id="19"/>
    <w:bookmarkStart w:id="20" w:name="описание-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«Hexagonal Overview» из набора architecture представлена в формате flowchart. Уровень детализации: System / Component. Количество узлов: 11.</w:t>
      </w:r>
    </w:p>
    <w:bookmarkEnd w:id="20"/>
    <w:bookmarkStart w:id="21" w:name="метаданные-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0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0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11</w:t>
      </w:r>
    </w:p>
    <w:bookmarkEnd w:id="21"/>
    <w:bookmarkStart w:id="25" w:name="X1bcb3ff18eeb3883164949aeb9e38b14a830021"/>
    <w:p>
      <w:pPr>
        <w:pStyle w:val="Heading2"/>
      </w:pPr>
      <w:r>
        <w:t xml:space="preserve">01b-hexagonal-domain-app</w:t>
      </w:r>
    </w:p>
    <w:p>
      <w:pPr>
        <w:pStyle w:val="FirstParagraph"/>
      </w:pPr>
      <w:r>
        <w:drawing>
          <wp:inline>
            <wp:extent cx="5334000" cy="973247"/>
            <wp:effectExtent b="0" l="0" r="0" t="0"/>
            <wp:docPr descr="01b-hexagonal-domain-app" title="" id="23" name="Picture"/>
            <a:graphic>
              <a:graphicData uri="http://schemas.openxmlformats.org/drawingml/2006/picture">
                <pic:pic>
                  <pic:nvPicPr>
                    <pic:cNvPr descr="architecture/png/01b-hexagonal-domain-ap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3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mmd-diagrams/architecture/01b-hexagonal-domain-app.mmd</w:t>
      </w:r>
    </w:p>
    <w:bookmarkEnd w:id="25"/>
    <w:bookmarkStart w:id="26" w:name="описание-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«Hexagonal Domain and Application» из набора architecture представлена в формате flowchart. Уровень детализации: System / Component. Количество узлов: 13.</w:t>
      </w:r>
    </w:p>
    <w:bookmarkEnd w:id="26"/>
    <w:bookmarkStart w:id="27" w:name="метаданные-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0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0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13</w:t>
      </w:r>
    </w:p>
    <w:bookmarkEnd w:id="27"/>
    <w:bookmarkStart w:id="31" w:name="Xca4d9abd820b95e2c659fc4b2da2b78fc5695b5"/>
    <w:p>
      <w:pPr>
        <w:pStyle w:val="Heading2"/>
      </w:pPr>
      <w:r>
        <w:t xml:space="preserve">01c-hexagonal-infra-comp</w:t>
      </w:r>
    </w:p>
    <w:p>
      <w:pPr>
        <w:pStyle w:val="FirstParagraph"/>
      </w:pPr>
      <w:r>
        <w:drawing>
          <wp:inline>
            <wp:extent cx="5334000" cy="1449739"/>
            <wp:effectExtent b="0" l="0" r="0" t="0"/>
            <wp:docPr descr="01c-hexagonal-infra-comp" title="" id="29" name="Picture"/>
            <a:graphic>
              <a:graphicData uri="http://schemas.openxmlformats.org/drawingml/2006/picture">
                <pic:pic>
                  <pic:nvPicPr>
                    <pic:cNvPr descr="architecture/png/01c-hexagonal-infra-com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9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mmd-diagrams/architecture/01c-hexagonal-infra-comp.mmd</w:t>
      </w:r>
    </w:p>
    <w:bookmarkEnd w:id="31"/>
    <w:bookmarkStart w:id="32" w:name="описание-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«Hexagonal Infrastructure and Composition» из набора architecture представлена в формате flowchart. Уровень детализации: System / Component. Количество узлов: 14.</w:t>
      </w:r>
    </w:p>
    <w:bookmarkEnd w:id="32"/>
    <w:bookmarkStart w:id="33" w:name="метаданные-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1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14</w:t>
      </w:r>
    </w:p>
    <w:bookmarkEnd w:id="33"/>
    <w:bookmarkStart w:id="37" w:name="Xf33de9551686f4a0df3f2aaa4eccf2a6b652cd3"/>
    <w:p>
      <w:pPr>
        <w:pStyle w:val="Heading2"/>
      </w:pPr>
      <w:r>
        <w:t xml:space="preserve">01d-hexagonal-overview-rounded</w:t>
      </w:r>
    </w:p>
    <w:p>
      <w:pPr>
        <w:pStyle w:val="FirstParagraph"/>
      </w:pPr>
      <w:r>
        <w:drawing>
          <wp:inline>
            <wp:extent cx="5334000" cy="2934464"/>
            <wp:effectExtent b="0" l="0" r="0" t="0"/>
            <wp:docPr descr="01d-hexagonal-overview-rounded" title="" id="35" name="Picture"/>
            <a:graphic>
              <a:graphicData uri="http://schemas.openxmlformats.org/drawingml/2006/picture">
                <pic:pic>
                  <pic:nvPicPr>
                    <pic:cNvPr descr="architecture/png/01d-hexagonal-overview-round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4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mmd-diagrams/architecture/01d-hexagonal-overview-rounded.mmd</w:t>
      </w:r>
    </w:p>
    <w:bookmarkEnd w:id="37"/>
    <w:bookmarkStart w:id="38" w:name="описание-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«Hexagonal Overview (Rounded Nodes)» из набора architecture представлена в формате flowchart. Уровень детализации: System / Component. Количество узлов: 11.</w:t>
      </w:r>
    </w:p>
    <w:bookmarkEnd w:id="38"/>
    <w:bookmarkStart w:id="39" w:name="метаданные-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2026-03-01</w:t>
      </w:r>
    </w:p>
    <w:p>
      <w:pPr>
        <w:pStyle w:val="Compact"/>
        <w:numPr>
          <w:ilvl w:val="0"/>
          <w:numId w:val="101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11</w:t>
      </w:r>
    </w:p>
    <w:bookmarkEnd w:id="39"/>
    <w:bookmarkStart w:id="43" w:name="X70ef10417ad890169def489df4df608c3542e37"/>
    <w:p>
      <w:pPr>
        <w:pStyle w:val="Heading2"/>
      </w:pPr>
      <w:r>
        <w:t xml:space="preserve">02-layer-dependency-matrix</w:t>
      </w:r>
    </w:p>
    <w:p>
      <w:pPr>
        <w:pStyle w:val="FirstParagraph"/>
      </w:pPr>
      <w:r>
        <w:drawing>
          <wp:inline>
            <wp:extent cx="5334000" cy="7871218"/>
            <wp:effectExtent b="0" l="0" r="0" t="0"/>
            <wp:docPr descr="02-layer-dependency-matrix" title="" id="41" name="Picture"/>
            <a:graphic>
              <a:graphicData uri="http://schemas.openxmlformats.org/drawingml/2006/picture">
                <pic:pic>
                  <pic:nvPicPr>
                    <pic:cNvPr descr="architecture/png/02-layer-dependency-matrix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7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mmd-diagrams/architecture/02-layer-dependency-matrix.mmd</w:t>
      </w:r>
    </w:p>
    <w:bookmarkEnd w:id="43"/>
    <w:bookmarkStart w:id="44" w:name="описание-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«Layer Dependency Matrix (ARCH-001)» из набора architecture представлена в формате flowchart. Уровень детализации: System / Component. Количество узлов: 5.</w:t>
      </w:r>
    </w:p>
    <w:bookmarkEnd w:id="44"/>
    <w:bookmarkStart w:id="45" w:name="метаданные-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5</w:t>
      </w:r>
    </w:p>
    <w:bookmarkEnd w:id="45"/>
    <w:bookmarkStart w:id="49" w:name="X7a2c07a958c76c043e40036a93c93e4496dd414"/>
    <w:p>
      <w:pPr>
        <w:pStyle w:val="Heading2"/>
      </w:pPr>
      <w:r>
        <w:t xml:space="preserve">03-medallion-data-flow</w:t>
      </w:r>
    </w:p>
    <w:p>
      <w:pPr>
        <w:pStyle w:val="FirstParagraph"/>
      </w:pPr>
      <w:r>
        <w:drawing>
          <wp:inline>
            <wp:extent cx="5334000" cy="856051"/>
            <wp:effectExtent b="0" l="0" r="0" t="0"/>
            <wp:docPr descr="03-medallion-data-flow" title="" id="47" name="Picture"/>
            <a:graphic>
              <a:graphicData uri="http://schemas.openxmlformats.org/drawingml/2006/picture">
                <pic:pic>
                  <pic:nvPicPr>
                    <pic:cNvPr descr="architecture/png/03-medallion-data-f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mmd-diagrams/architecture/03-medallion-data-flow.mmd</w:t>
      </w:r>
    </w:p>
    <w:bookmarkEnd w:id="49"/>
    <w:bookmarkStart w:id="50" w:name="описание-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«Medallion Architecture Data Flow (Bronze → Silver → Gold)» из набора architecture представлена в формате flowchart. Уровень детализации: System / Component. Показывает: how data flows through the three medallion layers.. Количество узлов: 36. Примечание: Canonical medallion flow — at threshold boundary.</w:t>
      </w:r>
    </w:p>
    <w:bookmarkEnd w:id="50"/>
    <w:bookmarkStart w:id="51" w:name="метаданные-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36</w:t>
      </w:r>
    </w:p>
    <w:bookmarkEnd w:id="51"/>
    <w:bookmarkStart w:id="55" w:name="Xf7941136224cdd640244b7aead7895c5bc2b374"/>
    <w:p>
      <w:pPr>
        <w:pStyle w:val="Heading2"/>
      </w:pPr>
      <w:r>
        <w:t xml:space="preserve">03a-medallion-layers-overview</w:t>
      </w:r>
    </w:p>
    <w:p>
      <w:pPr>
        <w:pStyle w:val="FirstParagraph"/>
      </w:pPr>
      <w:r>
        <w:drawing>
          <wp:inline>
            <wp:extent cx="5334000" cy="454741"/>
            <wp:effectExtent b="0" l="0" r="0" t="0"/>
            <wp:docPr descr="03a-medallion-layers-overview" title="" id="53" name="Picture"/>
            <a:graphic>
              <a:graphicData uri="http://schemas.openxmlformats.org/drawingml/2006/picture">
                <pic:pic>
                  <pic:nvPicPr>
                    <pic:cNvPr descr="architecture/png/03a-medallion-layers-overview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mmd-diagrams/architecture/03a-medallion-layers-overview.mmd</w:t>
      </w:r>
    </w:p>
    <w:bookmarkEnd w:id="55"/>
    <w:bookmarkStart w:id="56" w:name="описание-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«Medallion Layers Overview» из набора architecture представлена в формате flowchart. Уровень детализации: System / Component. Количество узлов: 12.</w:t>
      </w:r>
    </w:p>
    <w:bookmarkEnd w:id="56"/>
    <w:bookmarkStart w:id="57" w:name="метаданные-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1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12</w:t>
      </w:r>
    </w:p>
    <w:bookmarkEnd w:id="57"/>
    <w:bookmarkStart w:id="61" w:name="Xd9dca22ebfadc530679e433a5e6f63abc6500ec"/>
    <w:p>
      <w:pPr>
        <w:pStyle w:val="Heading2"/>
      </w:pPr>
      <w:r>
        <w:t xml:space="preserve">04-pipeline-execution-flow</w:t>
      </w:r>
    </w:p>
    <w:p>
      <w:pPr>
        <w:pStyle w:val="FirstParagraph"/>
      </w:pPr>
      <w:r>
        <w:drawing>
          <wp:inline>
            <wp:extent cx="5334000" cy="4756202"/>
            <wp:effectExtent b="0" l="0" r="0" t="0"/>
            <wp:docPr descr="04-pipeline-execution-flow" title="" id="59" name="Picture"/>
            <a:graphic>
              <a:graphicData uri="http://schemas.openxmlformats.org/drawingml/2006/picture">
                <pic:pic>
                  <pic:nvPicPr>
                    <pic:cNvPr descr="architecture/png/04-pipeline-execution-flow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6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mmd-diagrams/architecture/04-pipeline-execution-flow.mmd</w:t>
      </w:r>
    </w:p>
    <w:bookmarkEnd w:id="61"/>
    <w:bookmarkStart w:id="62" w:name="описание-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«Pipeline Execution Lifecycle» из набора architecture представлена в формате sequenceDiagram. Уровень детализации: System / Component. Количество узлов: 12.</w:t>
      </w:r>
    </w:p>
    <w:bookmarkEnd w:id="62"/>
    <w:bookmarkStart w:id="63" w:name="метаданные-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2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12</w:t>
      </w:r>
    </w:p>
    <w:bookmarkEnd w:id="63"/>
    <w:bookmarkStart w:id="67" w:name="X399af10f916b19bdfb9710b51b4f2bce7c87c99"/>
    <w:p>
      <w:pPr>
        <w:pStyle w:val="Heading2"/>
      </w:pPr>
      <w:r>
        <w:t xml:space="preserve">05-provider-adapter-hierarchy</w:t>
      </w:r>
    </w:p>
    <w:p>
      <w:pPr>
        <w:pStyle w:val="FirstParagraph"/>
      </w:pPr>
      <w:r>
        <w:drawing>
          <wp:inline>
            <wp:extent cx="5334000" cy="1241956"/>
            <wp:effectExtent b="0" l="0" r="0" t="0"/>
            <wp:docPr descr="05-provider-adapter-hierarchy" title="" id="65" name="Picture"/>
            <a:graphic>
              <a:graphicData uri="http://schemas.openxmlformats.org/drawingml/2006/picture">
                <pic:pic>
                  <pic:nvPicPr>
                    <pic:cNvPr descr="architecture/png/05-provider-adapter-hierarchy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1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mmd-diagrams/architecture/05-provider-adapter-hierarchy.mmd</w:t>
      </w:r>
    </w:p>
    <w:bookmarkEnd w:id="67"/>
    <w:bookmarkStart w:id="68" w:name="описание-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«Provider Adapter Hierarchy» из набора architecture представлена в формате flowchart. Уровень детализации: System / Component. Показывает: how each provider adapter inherits from base classes and implements DataSourcePort.. Количество узлов: 27. Примечание: Decomposed into 05a, 05b sub-diagrams.</w:t>
      </w:r>
    </w:p>
    <w:bookmarkEnd w:id="68"/>
    <w:bookmarkStart w:id="69" w:name="метаданные-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27</w:t>
      </w:r>
    </w:p>
    <w:bookmarkEnd w:id="69"/>
    <w:bookmarkStart w:id="73" w:name="X0b83679be86735ec9ce2164053c7f28d9f9d75c"/>
    <w:p>
      <w:pPr>
        <w:pStyle w:val="Heading2"/>
      </w:pPr>
      <w:r>
        <w:t xml:space="preserve">05a-adapter-hierarchy-base</w:t>
      </w:r>
    </w:p>
    <w:p>
      <w:pPr>
        <w:pStyle w:val="FirstParagraph"/>
      </w:pPr>
      <w:r>
        <w:drawing>
          <wp:inline>
            <wp:extent cx="5334000" cy="1369200"/>
            <wp:effectExtent b="0" l="0" r="0" t="0"/>
            <wp:docPr descr="05a-adapter-hierarchy-base" title="" id="71" name="Picture"/>
            <a:graphic>
              <a:graphicData uri="http://schemas.openxmlformats.org/drawingml/2006/picture">
                <pic:pic>
                  <pic:nvPicPr>
                    <pic:cNvPr descr="architecture/png/05a-adapter-hierarchy-base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mmd-diagrams/architecture/05a-adapter-hierarchy-base.mmd</w:t>
      </w:r>
    </w:p>
    <w:bookmarkEnd w:id="73"/>
    <w:bookmarkStart w:id="74" w:name="описание-1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«Adapter Hierarchy: Base Types» из набора architecture представлена в формате flowchart. Уровень детализации: System / Component. Количество узлов: 12.</w:t>
      </w:r>
    </w:p>
    <w:bookmarkEnd w:id="74"/>
    <w:bookmarkStart w:id="75" w:name="метаданные-1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2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12</w:t>
      </w:r>
    </w:p>
    <w:bookmarkEnd w:id="75"/>
    <w:bookmarkStart w:id="79" w:name="Xf4d5090fa419cf6f27db9bb4251590b328a391f"/>
    <w:p>
      <w:pPr>
        <w:pStyle w:val="Heading2"/>
      </w:pPr>
      <w:r>
        <w:t xml:space="preserve">05b-adapter-hierarchy-providers</w:t>
      </w:r>
    </w:p>
    <w:p>
      <w:pPr>
        <w:pStyle w:val="FirstParagraph"/>
      </w:pPr>
      <w:r>
        <w:drawing>
          <wp:inline>
            <wp:extent cx="5334000" cy="600845"/>
            <wp:effectExtent b="0" l="0" r="0" t="0"/>
            <wp:docPr descr="05b-adapter-hierarchy-providers" title="" id="77" name="Picture"/>
            <a:graphic>
              <a:graphicData uri="http://schemas.openxmlformats.org/drawingml/2006/picture">
                <pic:pic>
                  <pic:nvPicPr>
                    <pic:cNvPr descr="architecture/png/05b-adapter-hierarchy-provid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mmd-diagrams/architecture/05b-adapter-hierarchy-providers.mmd</w:t>
      </w:r>
    </w:p>
    <w:bookmarkEnd w:id="79"/>
    <w:bookmarkStart w:id="80" w:name="описание-1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«Adapter Hierarchy: Provider Implementations» из набора architecture представлена в формате flowchart. Уровень детализации: System / Component. Количество узлов: 15.</w:t>
      </w:r>
    </w:p>
    <w:bookmarkEnd w:id="80"/>
    <w:bookmarkStart w:id="81" w:name="метаданные-1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2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15</w:t>
      </w:r>
    </w:p>
    <w:bookmarkEnd w:id="81"/>
    <w:bookmarkStart w:id="85" w:name="Xe23479e8c7538552d8870ff864ac1dab31ecf53"/>
    <w:p>
      <w:pPr>
        <w:pStyle w:val="Heading2"/>
      </w:pPr>
      <w:r>
        <w:t xml:space="preserve">06-storage-layer</w:t>
      </w:r>
    </w:p>
    <w:p>
      <w:pPr>
        <w:pStyle w:val="FirstParagraph"/>
      </w:pPr>
      <w:r>
        <w:drawing>
          <wp:inline>
            <wp:extent cx="5334000" cy="5295724"/>
            <wp:effectExtent b="0" l="0" r="0" t="0"/>
            <wp:docPr descr="06-storage-layer" title="" id="83" name="Picture"/>
            <a:graphic>
              <a:graphicData uri="http://schemas.openxmlformats.org/drawingml/2006/picture">
                <pic:pic>
                  <pic:nvPicPr>
                    <pic:cNvPr descr="architecture/png/06-storage-layer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5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mmd-diagrams/architecture/06-storage-layer.mmd</w:t>
      </w:r>
    </w:p>
    <w:bookmarkEnd w:id="85"/>
    <w:bookmarkStart w:id="86" w:name="описание-1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«Storage Layer Components» из набора architecture представлена в формате flowchart. Уровень детализации: System / Component. Показывает: Bronze/Silver/Gold writers, Delta Lake, metadata, and validation.. Количество узлов: 21. Примечание: Decomposed into 06a-storage-writers, 06b-storage-support.</w:t>
      </w:r>
    </w:p>
    <w:bookmarkEnd w:id="86"/>
    <w:bookmarkStart w:id="87" w:name="метаданные-1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21</w:t>
      </w:r>
    </w:p>
    <w:bookmarkEnd w:id="87"/>
    <w:bookmarkStart w:id="91" w:name="X3e157a2ca8965b93998f3442f541c7435e7860d"/>
    <w:p>
      <w:pPr>
        <w:pStyle w:val="Heading2"/>
      </w:pPr>
      <w:r>
        <w:t xml:space="preserve">06a-storage-writers</w:t>
      </w:r>
    </w:p>
    <w:p>
      <w:pPr>
        <w:pStyle w:val="FirstParagraph"/>
      </w:pPr>
      <w:r>
        <w:drawing>
          <wp:inline>
            <wp:extent cx="5334000" cy="5572306"/>
            <wp:effectExtent b="0" l="0" r="0" t="0"/>
            <wp:docPr descr="06a-storage-writers" title="" id="89" name="Picture"/>
            <a:graphic>
              <a:graphicData uri="http://schemas.openxmlformats.org/drawingml/2006/picture">
                <pic:pic>
                  <pic:nvPicPr>
                    <pic:cNvPr descr="architecture/png/06a-storage-writer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72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mmd-diagrams/architecture/06a-storage-writers.mmd</w:t>
      </w:r>
    </w:p>
    <w:bookmarkEnd w:id="91"/>
    <w:bookmarkStart w:id="92" w:name="описание-1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«Storage Writers» из набора architecture представлена в формате flowchart. Уровень детализации: System / Component. Количество узлов: 10.</w:t>
      </w:r>
    </w:p>
    <w:bookmarkEnd w:id="92"/>
    <w:bookmarkStart w:id="93" w:name="метаданные-1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10</w:t>
      </w:r>
    </w:p>
    <w:bookmarkEnd w:id="93"/>
    <w:bookmarkStart w:id="97" w:name="X35a3a99fa30367943602d728a82677c5c72be80"/>
    <w:p>
      <w:pPr>
        <w:pStyle w:val="Heading2"/>
      </w:pPr>
      <w:r>
        <w:t xml:space="preserve">06b-storage-support</w:t>
      </w:r>
    </w:p>
    <w:p>
      <w:pPr>
        <w:pStyle w:val="FirstParagraph"/>
      </w:pPr>
      <w:r>
        <w:drawing>
          <wp:inline>
            <wp:extent cx="5334000" cy="616979"/>
            <wp:effectExtent b="0" l="0" r="0" t="0"/>
            <wp:docPr descr="06b-storage-support" title="" id="95" name="Picture"/>
            <a:graphic>
              <a:graphicData uri="http://schemas.openxmlformats.org/drawingml/2006/picture">
                <pic:pic>
                  <pic:nvPicPr>
                    <pic:cNvPr descr="architecture/png/06b-storage-support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6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mmd-diagrams/architecture/06b-storage-support.mmd</w:t>
      </w:r>
    </w:p>
    <w:bookmarkEnd w:id="97"/>
    <w:bookmarkStart w:id="98" w:name="описание-1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«Storage Support Components» из набора architecture представлена в формате flowchart. Уровень детализации: System / Component. Количество узлов: 11.</w:t>
      </w:r>
    </w:p>
    <w:bookmarkEnd w:id="98"/>
    <w:bookmarkStart w:id="99" w:name="метаданные-1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11</w:t>
      </w:r>
    </w:p>
    <w:bookmarkEnd w:id="99"/>
    <w:bookmarkStart w:id="103" w:name="X3180247ec7e20c1b62ea496824dd14a0a4204fa"/>
    <w:p>
      <w:pPr>
        <w:pStyle w:val="Heading2"/>
      </w:pPr>
      <w:r>
        <w:t xml:space="preserve">07-dq-system</w:t>
      </w:r>
    </w:p>
    <w:p>
      <w:pPr>
        <w:pStyle w:val="FirstParagraph"/>
      </w:pPr>
      <w:r>
        <w:drawing>
          <wp:inline>
            <wp:extent cx="5334000" cy="2588471"/>
            <wp:effectExtent b="0" l="0" r="0" t="0"/>
            <wp:docPr descr="07-dq-system" title="" id="101" name="Picture"/>
            <a:graphic>
              <a:graphicData uri="http://schemas.openxmlformats.org/drawingml/2006/picture">
                <pic:pic>
                  <pic:nvPicPr>
                    <pic:cNvPr descr="architecture/png/07-dq-system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8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mmd-diagrams/architecture/07-dq-system.mmd</w:t>
      </w:r>
    </w:p>
    <w:bookmarkEnd w:id="103"/>
    <w:bookmarkStart w:id="104" w:name="описание-1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«Data Quality (DQ) System» из набора architecture представлена в формате flowchart. Уровень детализации: System / Component. Показывает: DQ monitoring, analysis, and reporting across all medallion layers.. Количество узлов: 22. Примечание: Decomposed into 07a-dq-analysis, 07b-dq-pipeline.</w:t>
      </w:r>
    </w:p>
    <w:bookmarkEnd w:id="104"/>
    <w:bookmarkStart w:id="105" w:name="метаданные-1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22</w:t>
      </w:r>
    </w:p>
    <w:bookmarkEnd w:id="105"/>
    <w:bookmarkStart w:id="109" w:name="X5001c7f5ca08c8b1cd985a7231769fb8df0e622"/>
    <w:p>
      <w:pPr>
        <w:pStyle w:val="Heading2"/>
      </w:pPr>
      <w:r>
        <w:t xml:space="preserve">07a-dq-analysis</w:t>
      </w:r>
    </w:p>
    <w:p>
      <w:pPr>
        <w:pStyle w:val="FirstParagraph"/>
      </w:pPr>
      <w:r>
        <w:drawing>
          <wp:inline>
            <wp:extent cx="5334000" cy="2953026"/>
            <wp:effectExtent b="0" l="0" r="0" t="0"/>
            <wp:docPr descr="07a-dq-analysis" title="" id="107" name="Picture"/>
            <a:graphic>
              <a:graphicData uri="http://schemas.openxmlformats.org/drawingml/2006/picture">
                <pic:pic>
                  <pic:nvPicPr>
                    <pic:cNvPr descr="architecture/png/07a-dq-analy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3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mmd-diagrams/architecture/07a-dq-analysis.mmd</w:t>
      </w:r>
    </w:p>
    <w:bookmarkEnd w:id="109"/>
    <w:bookmarkStart w:id="110" w:name="описание-1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«DQ Analysis Services» из набора architecture представлена в формате flowchart. Уровень детализации: System / Component. Количество узлов: 12.</w:t>
      </w:r>
    </w:p>
    <w:bookmarkEnd w:id="110"/>
    <w:bookmarkStart w:id="111" w:name="метаданные-1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12</w:t>
      </w:r>
    </w:p>
    <w:bookmarkEnd w:id="111"/>
    <w:bookmarkStart w:id="115" w:name="X394c5e7b72458d21fe7eadc43b6ef7ecf0b0a5c"/>
    <w:p>
      <w:pPr>
        <w:pStyle w:val="Heading2"/>
      </w:pPr>
      <w:r>
        <w:t xml:space="preserve">07b-dq-pipeline</w:t>
      </w:r>
    </w:p>
    <w:p>
      <w:pPr>
        <w:pStyle w:val="FirstParagraph"/>
      </w:pPr>
      <w:r>
        <w:drawing>
          <wp:inline>
            <wp:extent cx="5334000" cy="1778000"/>
            <wp:effectExtent b="0" l="0" r="0" t="0"/>
            <wp:docPr descr="07b-dq-pipeline" title="" id="113" name="Picture"/>
            <a:graphic>
              <a:graphicData uri="http://schemas.openxmlformats.org/drawingml/2006/picture">
                <pic:pic>
                  <pic:nvPicPr>
                    <pic:cNvPr descr="architecture/png/07b-dq-pipelin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mmd-diagrams/architecture/07b-dq-pipeline.mmd</w:t>
      </w:r>
    </w:p>
    <w:bookmarkEnd w:id="115"/>
    <w:bookmarkStart w:id="116" w:name="описание-1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«DQ Pipeline Integration» из набора architecture представлена в формате flowchart. Уровень детализации: System / Component. Количество узлов: 10.</w:t>
      </w:r>
    </w:p>
    <w:bookmarkEnd w:id="116"/>
    <w:bookmarkStart w:id="117" w:name="метаданные-1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10</w:t>
      </w:r>
    </w:p>
    <w:bookmarkEnd w:id="117"/>
    <w:bookmarkStart w:id="121" w:name="X258b5a82c72f107811b51b19f20296b98327590"/>
    <w:p>
      <w:pPr>
        <w:pStyle w:val="Heading2"/>
      </w:pPr>
      <w:r>
        <w:t xml:space="preserve">08-composite-pipeline</w:t>
      </w:r>
    </w:p>
    <w:p>
      <w:pPr>
        <w:pStyle w:val="FirstParagraph"/>
      </w:pPr>
      <w:r>
        <w:drawing>
          <wp:inline>
            <wp:extent cx="5334000" cy="3802455"/>
            <wp:effectExtent b="0" l="0" r="0" t="0"/>
            <wp:docPr descr="08-composite-pipeline" title="" id="119" name="Picture"/>
            <a:graphic>
              <a:graphicData uri="http://schemas.openxmlformats.org/drawingml/2006/picture">
                <pic:pic>
                  <pic:nvPicPr>
                    <pic:cNvPr descr="architecture/png/08-composite-pipeline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2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mmd-diagrams/architecture/08-composite-pipeline.mmd</w:t>
      </w:r>
    </w:p>
    <w:bookmarkEnd w:id="121"/>
    <w:bookmarkStart w:id="122" w:name="описание-1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«Composite Pipeline Architecture» из набора architecture представлена в формате flowchart. Уровень детализации: System / Component. Показывает: seed → dependencies → enrichers (parallel) → merge flow.. Количество узлов: 33. Примечание: Decomposed into 08a-composite-config, 08b-composite-execution.</w:t>
      </w:r>
    </w:p>
    <w:bookmarkEnd w:id="122"/>
    <w:bookmarkStart w:id="123" w:name="метаданные-1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33</w:t>
      </w:r>
    </w:p>
    <w:bookmarkEnd w:id="123"/>
    <w:bookmarkStart w:id="127" w:name="Xb3b3f1e74fcc4764f88ddc251b381e201176bcc"/>
    <w:p>
      <w:pPr>
        <w:pStyle w:val="Heading2"/>
      </w:pPr>
      <w:r>
        <w:t xml:space="preserve">08a-composite-config</w:t>
      </w:r>
    </w:p>
    <w:p>
      <w:pPr>
        <w:pStyle w:val="FirstParagraph"/>
      </w:pPr>
      <w:r>
        <w:drawing>
          <wp:inline>
            <wp:extent cx="5334000" cy="2028078"/>
            <wp:effectExtent b="0" l="0" r="0" t="0"/>
            <wp:docPr descr="08a-composite-config" title="" id="125" name="Picture"/>
            <a:graphic>
              <a:graphicData uri="http://schemas.openxmlformats.org/drawingml/2006/picture">
                <pic:pic>
                  <pic:nvPicPr>
                    <pic:cNvPr descr="architecture/png/08a-composite-config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mmd-diagrams/architecture/08a-composite-config.mmd</w:t>
      </w:r>
    </w:p>
    <w:bookmarkEnd w:id="127"/>
    <w:bookmarkStart w:id="128" w:name="описание-1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«Composite Pipeline Configuration &amp; FSM» из набора architecture представлена в формате flowchart. Уровень детализации: System / Component. Количество узлов: 13.</w:t>
      </w:r>
    </w:p>
    <w:bookmarkEnd w:id="128"/>
    <w:bookmarkStart w:id="129" w:name="метаданные-1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4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13</w:t>
      </w:r>
    </w:p>
    <w:bookmarkEnd w:id="129"/>
    <w:bookmarkStart w:id="133" w:name="X0f786549fd0e3a2a8c9e06454ad505fdf64f4d0"/>
    <w:p>
      <w:pPr>
        <w:pStyle w:val="Heading2"/>
      </w:pPr>
      <w:r>
        <w:t xml:space="preserve">08b-composite-execution</w:t>
      </w:r>
    </w:p>
    <w:p>
      <w:pPr>
        <w:pStyle w:val="FirstParagraph"/>
      </w:pPr>
      <w:r>
        <w:drawing>
          <wp:inline>
            <wp:extent cx="5334000" cy="4136571"/>
            <wp:effectExtent b="0" l="0" r="0" t="0"/>
            <wp:docPr descr="08b-composite-execution" title="" id="131" name="Picture"/>
            <a:graphic>
              <a:graphicData uri="http://schemas.openxmlformats.org/drawingml/2006/picture">
                <pic:pic>
                  <pic:nvPicPr>
                    <pic:cNvPr descr="architecture/png/08b-composite-execution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mmd-diagrams/architecture/08b-composite-execution.mmd</w:t>
      </w:r>
    </w:p>
    <w:bookmarkEnd w:id="133"/>
    <w:bookmarkStart w:id="134" w:name="описание-2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«Composite Pipeline Execution» из набора architecture представлена в формате flowchart. Уровень детализации: System / Component. Количество узлов: 20.</w:t>
      </w:r>
    </w:p>
    <w:bookmarkEnd w:id="134"/>
    <w:bookmarkStart w:id="135" w:name="метаданные-2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4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20</w:t>
      </w:r>
    </w:p>
    <w:bookmarkEnd w:id="135"/>
    <w:bookmarkStart w:id="139" w:name="X4035c774d1b15bf4376ea4fc294fc7666b7d26b"/>
    <w:p>
      <w:pPr>
        <w:pStyle w:val="Heading2"/>
      </w:pPr>
      <w:r>
        <w:t xml:space="preserve">09-observability-stack</w:t>
      </w:r>
    </w:p>
    <w:p>
      <w:pPr>
        <w:pStyle w:val="FirstParagraph"/>
      </w:pPr>
      <w:r>
        <w:drawing>
          <wp:inline>
            <wp:extent cx="5334000" cy="3594272"/>
            <wp:effectExtent b="0" l="0" r="0" t="0"/>
            <wp:docPr descr="09-observability-stack" title="" id="137" name="Picture"/>
            <a:graphic>
              <a:graphicData uri="http://schemas.openxmlformats.org/drawingml/2006/picture">
                <pic:pic>
                  <pic:nvPicPr>
                    <pic:cNvPr descr="architecture/png/09-observability-stack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4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mmd-diagrams/architecture/09-observability-stack.mmd</w:t>
      </w:r>
    </w:p>
    <w:bookmarkEnd w:id="139"/>
    <w:bookmarkStart w:id="140" w:name="описание-2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«Observability Stack» из набора architecture представлена в формате flowchart. Уровень детализации: System / Component. Количество узлов: 24. Примечание: Decomposed into 09a-observability-app, 09b-observability-infra.</w:t>
      </w:r>
    </w:p>
    <w:bookmarkEnd w:id="140"/>
    <w:bookmarkStart w:id="141" w:name="метаданные-2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24</w:t>
      </w:r>
    </w:p>
    <w:bookmarkEnd w:id="141"/>
    <w:bookmarkStart w:id="145" w:name="X66796e386e519f79daa04a0c326da962b537f52"/>
    <w:p>
      <w:pPr>
        <w:pStyle w:val="Heading2"/>
      </w:pPr>
      <w:r>
        <w:t xml:space="preserve">09a-observability-app</w:t>
      </w:r>
    </w:p>
    <w:p>
      <w:pPr>
        <w:pStyle w:val="FirstParagraph"/>
      </w:pPr>
      <w:r>
        <w:drawing>
          <wp:inline>
            <wp:extent cx="5334000" cy="1787663"/>
            <wp:effectExtent b="0" l="0" r="0" t="0"/>
            <wp:docPr descr="09a-observability-app" title="" id="143" name="Picture"/>
            <a:graphic>
              <a:graphicData uri="http://schemas.openxmlformats.org/drawingml/2006/picture">
                <pic:pic>
                  <pic:nvPicPr>
                    <pic:cNvPr descr="architecture/png/09a-observability-app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7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mmd-diagrams/architecture/09a-observability-app.mmd</w:t>
      </w:r>
    </w:p>
    <w:bookmarkEnd w:id="145"/>
    <w:bookmarkStart w:id="146" w:name="описание-2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«Observability: Application Layer» из набора architecture представлена в формате flowchart. Уровень детализации: System / Component. Количество узлов: 8.</w:t>
      </w:r>
    </w:p>
    <w:bookmarkEnd w:id="146"/>
    <w:bookmarkStart w:id="147" w:name="метаданные-2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4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8</w:t>
      </w:r>
    </w:p>
    <w:bookmarkEnd w:id="147"/>
    <w:bookmarkStart w:id="151" w:name="X0245f0a49b79cfe7361fd40bfbdd6d50f71529e"/>
    <w:p>
      <w:pPr>
        <w:pStyle w:val="Heading2"/>
      </w:pPr>
      <w:r>
        <w:t xml:space="preserve">09b-observability-infra</w:t>
      </w:r>
    </w:p>
    <w:p>
      <w:pPr>
        <w:pStyle w:val="FirstParagraph"/>
      </w:pPr>
      <w:r>
        <w:drawing>
          <wp:inline>
            <wp:extent cx="5334000" cy="1990725"/>
            <wp:effectExtent b="0" l="0" r="0" t="0"/>
            <wp:docPr descr="09b-observability-infra" title="" id="149" name="Picture"/>
            <a:graphic>
              <a:graphicData uri="http://schemas.openxmlformats.org/drawingml/2006/picture">
                <pic:pic>
                  <pic:nvPicPr>
                    <pic:cNvPr descr="architecture/png/09b-observability-infra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mmd-diagrams/architecture/09b-observability-infra.mmd</w:t>
      </w:r>
    </w:p>
    <w:bookmarkEnd w:id="151"/>
    <w:bookmarkStart w:id="152" w:name="описание-2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«Observability: Infrastructure Layer» из набора architecture представлена в формате flowchart. Уровень детализации: System / Component. Количество узлов: 13.</w:t>
      </w:r>
    </w:p>
    <w:bookmarkEnd w:id="152"/>
    <w:bookmarkStart w:id="153" w:name="метаданные-2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5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5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13</w:t>
      </w:r>
    </w:p>
    <w:bookmarkEnd w:id="153"/>
    <w:bookmarkStart w:id="157" w:name="X25322fe0e0ca9b9c3119db27db2b33260679365"/>
    <w:p>
      <w:pPr>
        <w:pStyle w:val="Heading2"/>
      </w:pPr>
      <w:r>
        <w:t xml:space="preserve">10-resilience-patterns</w:t>
      </w:r>
    </w:p>
    <w:p>
      <w:pPr>
        <w:pStyle w:val="FirstParagraph"/>
      </w:pPr>
      <w:r>
        <w:drawing>
          <wp:inline>
            <wp:extent cx="5334000" cy="2527340"/>
            <wp:effectExtent b="0" l="0" r="0" t="0"/>
            <wp:docPr descr="10-resilience-patterns" title="" id="155" name="Picture"/>
            <a:graphic>
              <a:graphicData uri="http://schemas.openxmlformats.org/drawingml/2006/picture">
                <pic:pic>
                  <pic:nvPicPr>
                    <pic:cNvPr descr="architecture/png/10-resilience-patterns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mmd-diagrams/architecture/10-resilience-patterns.mmd</w:t>
      </w:r>
    </w:p>
    <w:bookmarkEnd w:id="157"/>
    <w:bookmarkStart w:id="158" w:name="описание-2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«Resilience Patterns» из набора architecture представлена в формате flowchart. Уровень детализации: System / Component. Количество узлов: 15.</w:t>
      </w:r>
    </w:p>
    <w:bookmarkEnd w:id="158"/>
    <w:bookmarkStart w:id="159" w:name="метаданные-2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5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15</w:t>
      </w:r>
    </w:p>
    <w:bookmarkEnd w:id="159"/>
    <w:bookmarkStart w:id="163" w:name="Xed6092386b76448f613123e05938077b6c4e894"/>
    <w:p>
      <w:pPr>
        <w:pStyle w:val="Heading2"/>
      </w:pPr>
      <w:r>
        <w:t xml:space="preserve">11-configuration-system</w:t>
      </w:r>
    </w:p>
    <w:p>
      <w:pPr>
        <w:pStyle w:val="FirstParagraph"/>
      </w:pPr>
      <w:r>
        <w:drawing>
          <wp:inline>
            <wp:extent cx="5334000" cy="2368773"/>
            <wp:effectExtent b="0" l="0" r="0" t="0"/>
            <wp:docPr descr="11-configuration-system" title="" id="161" name="Picture"/>
            <a:graphic>
              <a:graphicData uri="http://schemas.openxmlformats.org/drawingml/2006/picture">
                <pic:pic>
                  <pic:nvPicPr>
                    <pic:cNvPr descr="architecture/png/11-configuration-system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8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mmd-diagrams/architecture/11-configuration-system.mmd</w:t>
      </w:r>
    </w:p>
    <w:bookmarkEnd w:id="163"/>
    <w:bookmarkStart w:id="164" w:name="описание-2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«Configuration System» из набора architecture представлена в формате flowchart. Уровень детализации: System / Component. Показывает: how YAML configs are loaded, validated, and used across the system.. Количество узлов: 29. Примечание: Decomposed into 11a-config-loading, 11b-config-domain.</w:t>
      </w:r>
    </w:p>
    <w:bookmarkEnd w:id="164"/>
    <w:bookmarkStart w:id="165" w:name="метаданные-2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5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5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29</w:t>
      </w:r>
    </w:p>
    <w:bookmarkEnd w:id="165"/>
    <w:bookmarkStart w:id="169" w:name="Xe5fb57bb50c9d777b392aaaa4d1dde604fe168f"/>
    <w:p>
      <w:pPr>
        <w:pStyle w:val="Heading2"/>
      </w:pPr>
      <w:r>
        <w:t xml:space="preserve">11a-config-loading</w:t>
      </w:r>
    </w:p>
    <w:p>
      <w:pPr>
        <w:pStyle w:val="FirstParagraph"/>
      </w:pPr>
      <w:r>
        <w:drawing>
          <wp:inline>
            <wp:extent cx="5334000" cy="2254536"/>
            <wp:effectExtent b="0" l="0" r="0" t="0"/>
            <wp:docPr descr="11a-config-loading" title="" id="167" name="Picture"/>
            <a:graphic>
              <a:graphicData uri="http://schemas.openxmlformats.org/drawingml/2006/picture">
                <pic:pic>
                  <pic:nvPicPr>
                    <pic:cNvPr descr="architecture/png/11a-config-loading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mmd-diagrams/architecture/11a-config-loading.mmd</w:t>
      </w:r>
    </w:p>
    <w:bookmarkEnd w:id="169"/>
    <w:bookmarkStart w:id="170" w:name="описание-2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«Configuration: Loading Pipeline» из набора architecture представлена в формате flowchart. Уровень детализации: System / Component. Количество узлов: 13.</w:t>
      </w:r>
    </w:p>
    <w:bookmarkEnd w:id="170"/>
    <w:bookmarkStart w:id="171" w:name="метаданные-2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5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5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13</w:t>
      </w:r>
    </w:p>
    <w:bookmarkEnd w:id="171"/>
    <w:bookmarkStart w:id="175" w:name="X10d0def250d51d059753395d3f069dee6c84298"/>
    <w:p>
      <w:pPr>
        <w:pStyle w:val="Heading2"/>
      </w:pPr>
      <w:r>
        <w:t xml:space="preserve">11b-config-domain</w:t>
      </w:r>
    </w:p>
    <w:p>
      <w:pPr>
        <w:pStyle w:val="FirstParagraph"/>
      </w:pPr>
      <w:r>
        <w:drawing>
          <wp:inline>
            <wp:extent cx="5334000" cy="461170"/>
            <wp:effectExtent b="0" l="0" r="0" t="0"/>
            <wp:docPr descr="11b-config-domain" title="" id="173" name="Picture"/>
            <a:graphic>
              <a:graphicData uri="http://schemas.openxmlformats.org/drawingml/2006/picture">
                <pic:pic>
                  <pic:nvPicPr>
                    <pic:cNvPr descr="architecture/png/11b-config-domain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1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mmd-diagrams/architecture/11b-config-domain.mmd</w:t>
      </w:r>
    </w:p>
    <w:bookmarkEnd w:id="175"/>
    <w:bookmarkStart w:id="176" w:name="описание-2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«Configuration: Domain &amp; Application Config» из набора architecture представлена в формате flowchart. Уровень детализации: System / Component. Количество узлов: 16.</w:t>
      </w:r>
    </w:p>
    <w:bookmarkEnd w:id="176"/>
    <w:bookmarkStart w:id="177" w:name="метаданные-2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5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5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16</w:t>
      </w:r>
    </w:p>
    <w:bookmarkEnd w:id="177"/>
    <w:bookmarkStart w:id="181" w:name="X46398f454cbb57fd1cc55e470d73a3eef5258ad"/>
    <w:p>
      <w:pPr>
        <w:pStyle w:val="Heading2"/>
      </w:pPr>
      <w:r>
        <w:t xml:space="preserve">12-bootstrap-di-container</w:t>
      </w:r>
    </w:p>
    <w:p>
      <w:pPr>
        <w:pStyle w:val="FirstParagraph"/>
      </w:pPr>
      <w:r>
        <w:drawing>
          <wp:inline>
            <wp:extent cx="5334000" cy="4125745"/>
            <wp:effectExtent b="0" l="0" r="0" t="0"/>
            <wp:docPr descr="12-bootstrap-di-container" title="" id="179" name="Picture"/>
            <a:graphic>
              <a:graphicData uri="http://schemas.openxmlformats.org/drawingml/2006/picture">
                <pic:pic>
                  <pic:nvPicPr>
                    <pic:cNvPr descr="architecture/png/12-bootstrap-di-container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5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mmd-diagrams/architecture/12-bootstrap-di-container.mmd</w:t>
      </w:r>
    </w:p>
    <w:bookmarkEnd w:id="181"/>
    <w:bookmarkStart w:id="182" w:name="описание-2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«Bootstrap / DI Container (Composition Root)» из набора architecture представлена в формате flowchart. Уровень детализации: System / Component. Показывает: how dependencies are assembled and wired together.. Количество узлов: 29. Примечание: Decomposed into 12a, 12b sub-diagrams.</w:t>
      </w:r>
    </w:p>
    <w:bookmarkEnd w:id="182"/>
    <w:bookmarkStart w:id="183" w:name="метаданные-2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6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6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29</w:t>
      </w:r>
    </w:p>
    <w:bookmarkEnd w:id="183"/>
    <w:bookmarkStart w:id="187" w:name="X556f390b7d9690948cacbd95f1aa787f4b26832"/>
    <w:p>
      <w:pPr>
        <w:pStyle w:val="Heading2"/>
      </w:pPr>
      <w:r>
        <w:t xml:space="preserve">12a-bootstrap-factories</w:t>
      </w:r>
    </w:p>
    <w:p>
      <w:pPr>
        <w:pStyle w:val="FirstParagraph"/>
      </w:pPr>
      <w:r>
        <w:drawing>
          <wp:inline>
            <wp:extent cx="5334000" cy="3331909"/>
            <wp:effectExtent b="0" l="0" r="0" t="0"/>
            <wp:docPr descr="12a-bootstrap-factories" title="" id="185" name="Picture"/>
            <a:graphic>
              <a:graphicData uri="http://schemas.openxmlformats.org/drawingml/2006/picture">
                <pic:pic>
                  <pic:nvPicPr>
                    <pic:cNvPr descr="architecture/png/12a-bootstrap-factories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mmd-diagrams/architecture/12a-bootstrap-factories.mmd</w:t>
      </w:r>
    </w:p>
    <w:bookmarkEnd w:id="187"/>
    <w:bookmarkStart w:id="188" w:name="описание-2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«Bootstrap: Factories and Registries» из набора architecture представлена в формате flowchart. Уровень детализации: System / Component. Количество узлов: 10.</w:t>
      </w:r>
    </w:p>
    <w:bookmarkEnd w:id="188"/>
    <w:bookmarkStart w:id="189" w:name="метаданные-2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6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6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10</w:t>
      </w:r>
    </w:p>
    <w:bookmarkEnd w:id="189"/>
    <w:bookmarkStart w:id="193" w:name="X2c66d02ddfb36bcac8350104972b5b0c59a6d1d"/>
    <w:p>
      <w:pPr>
        <w:pStyle w:val="Heading2"/>
      </w:pPr>
      <w:r>
        <w:t xml:space="preserve">12b-bootstrap-wiring</w:t>
      </w:r>
    </w:p>
    <w:p>
      <w:pPr>
        <w:pStyle w:val="FirstParagraph"/>
      </w:pPr>
      <w:r>
        <w:drawing>
          <wp:inline>
            <wp:extent cx="5334000" cy="1776751"/>
            <wp:effectExtent b="0" l="0" r="0" t="0"/>
            <wp:docPr descr="12b-bootstrap-wiring" title="" id="191" name="Picture"/>
            <a:graphic>
              <a:graphicData uri="http://schemas.openxmlformats.org/drawingml/2006/picture">
                <pic:pic>
                  <pic:nvPicPr>
                    <pic:cNvPr descr="architecture/png/12b-bootstrap-wiring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mmd-diagrams/architecture/12b-bootstrap-wiring.mmd</w:t>
      </w:r>
    </w:p>
    <w:bookmarkEnd w:id="193"/>
    <w:bookmarkStart w:id="194" w:name="описание-3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«Bootstrap: Wiring Graph» из набора architecture представлена в формате flowchart. Уровень детализации: System / Component. Количество узлов: 15.</w:t>
      </w:r>
    </w:p>
    <w:bookmarkEnd w:id="194"/>
    <w:bookmarkStart w:id="195" w:name="метаданные-3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6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6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15</w:t>
      </w:r>
    </w:p>
    <w:bookmarkEnd w:id="195"/>
    <w:bookmarkStart w:id="199" w:name="X9ee1dbdb80fe736aee50a5280391e249125adee"/>
    <w:p>
      <w:pPr>
        <w:pStyle w:val="Heading2"/>
      </w:pPr>
      <w:r>
        <w:t xml:space="preserve">13-port-protocol-contracts</w:t>
      </w:r>
    </w:p>
    <w:p>
      <w:pPr>
        <w:pStyle w:val="FirstParagraph"/>
      </w:pPr>
      <w:r>
        <w:drawing>
          <wp:inline>
            <wp:extent cx="5334000" cy="23247900"/>
            <wp:effectExtent b="0" l="0" r="0" t="0"/>
            <wp:docPr descr="13-port-protocol-contracts" title="" id="197" name="Picture"/>
            <a:graphic>
              <a:graphicData uri="http://schemas.openxmlformats.org/drawingml/2006/picture">
                <pic:pic>
                  <pic:nvPicPr>
                    <pic:cNvPr descr="architecture/png/13-port-protocol-contracts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47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mmd-diagrams/architecture/13-port-protocol-contracts.mmd</w:t>
      </w:r>
    </w:p>
    <w:bookmarkEnd w:id="199"/>
    <w:bookmarkStart w:id="200" w:name="описание-3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«Port/Protocol Contracts (Full Map)» из набора architecture представлена в формате flowchart. Уровень детализации: System / Component. Количество узлов: 68. Примечание: Decomposed into 13a, 13b, 13c, 13d sub-diagrams.</w:t>
      </w:r>
    </w:p>
    <w:bookmarkEnd w:id="200"/>
    <w:bookmarkStart w:id="201" w:name="метаданные-3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6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6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68</w:t>
      </w:r>
    </w:p>
    <w:bookmarkEnd w:id="201"/>
    <w:bookmarkStart w:id="205" w:name="X1105599c9490d51ca1f2da6d27d5b1a710cbc3a"/>
    <w:p>
      <w:pPr>
        <w:pStyle w:val="Heading2"/>
      </w:pPr>
      <w:r>
        <w:t xml:space="preserve">13a-data-storage-ports</w:t>
      </w:r>
    </w:p>
    <w:p>
      <w:pPr>
        <w:pStyle w:val="FirstParagraph"/>
      </w:pPr>
      <w:r>
        <w:drawing>
          <wp:inline>
            <wp:extent cx="5334000" cy="6991321"/>
            <wp:effectExtent b="0" l="0" r="0" t="0"/>
            <wp:docPr descr="13a-data-storage-ports" title="" id="203" name="Picture"/>
            <a:graphic>
              <a:graphicData uri="http://schemas.openxmlformats.org/drawingml/2006/picture">
                <pic:pic>
                  <pic:nvPicPr>
                    <pic:cNvPr descr="architecture/png/13a-data-storage-ports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91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mmd-diagrams/architecture/13a-data-storage-ports.mmd</w:t>
      </w:r>
    </w:p>
    <w:bookmarkEnd w:id="205"/>
    <w:bookmarkStart w:id="206" w:name="описание-3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«DataSource and Storage Ports» из набора architecture представлена в формате flowchart. Уровень детализации: System / Component. Количество узлов: 20.</w:t>
      </w:r>
    </w:p>
    <w:bookmarkEnd w:id="206"/>
    <w:bookmarkStart w:id="207" w:name="метаданные-3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6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6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20</w:t>
      </w:r>
    </w:p>
    <w:bookmarkEnd w:id="207"/>
    <w:bookmarkStart w:id="211" w:name="X9b6f148ce6492111afe7cc0b134199b8560bdbb"/>
    <w:p>
      <w:pPr>
        <w:pStyle w:val="Heading2"/>
      </w:pPr>
      <w:r>
        <w:t xml:space="preserve">13a-port-contracts-data-sources</w:t>
      </w:r>
    </w:p>
    <w:p>
      <w:pPr>
        <w:pStyle w:val="FirstParagraph"/>
      </w:pPr>
      <w:r>
        <w:drawing>
          <wp:inline>
            <wp:extent cx="5334000" cy="6935070"/>
            <wp:effectExtent b="0" l="0" r="0" t="0"/>
            <wp:docPr descr="13a-port-contracts-data-sources" title="" id="209" name="Picture"/>
            <a:graphic>
              <a:graphicData uri="http://schemas.openxmlformats.org/drawingml/2006/picture">
                <pic:pic>
                  <pic:nvPicPr>
                    <pic:cNvPr descr="architecture/png/13a-port-contracts-data-sources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5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mmd-diagrams/architecture/13a-port-contracts-data-sources.mmd</w:t>
      </w:r>
    </w:p>
    <w:bookmarkEnd w:id="211"/>
    <w:bookmarkStart w:id="212" w:name="описание-3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«Port Contracts: Data Sources» из набора architecture представлена в формате flowchart. Уровень детализации: System / Component. Количество узлов: 9.</w:t>
      </w:r>
    </w:p>
    <w:bookmarkEnd w:id="212"/>
    <w:bookmarkStart w:id="213" w:name="метаданные-3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7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7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9</w:t>
      </w:r>
    </w:p>
    <w:bookmarkEnd w:id="213"/>
    <w:bookmarkStart w:id="217" w:name="X28d66455700b2fec9d150c9e01693516b9bd7eb"/>
    <w:p>
      <w:pPr>
        <w:pStyle w:val="Heading2"/>
      </w:pPr>
      <w:r>
        <w:t xml:space="preserve">13b-operational-ports</w:t>
      </w:r>
    </w:p>
    <w:p>
      <w:pPr>
        <w:pStyle w:val="FirstParagraph"/>
      </w:pPr>
      <w:r>
        <w:drawing>
          <wp:inline>
            <wp:extent cx="5334000" cy="7276681"/>
            <wp:effectExtent b="0" l="0" r="0" t="0"/>
            <wp:docPr descr="13b-operational-ports" title="" id="215" name="Picture"/>
            <a:graphic>
              <a:graphicData uri="http://schemas.openxmlformats.org/drawingml/2006/picture">
                <pic:pic>
                  <pic:nvPicPr>
                    <pic:cNvPr descr="architecture/png/13b-operational-ports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7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mmd-diagrams/architecture/13b-operational-ports.mmd</w:t>
      </w:r>
    </w:p>
    <w:bookmarkEnd w:id="217"/>
    <w:bookmarkStart w:id="218" w:name="описание-3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«Operational and Observability Ports» из набора architecture представлена в формате flowchart. Уровень детализации: System / Component. Количество узлов: 25. Примечание: Decomposed into 13e-operational-ports-domain, 13f-operational-ports-infra.</w:t>
      </w:r>
    </w:p>
    <w:bookmarkEnd w:id="218"/>
    <w:bookmarkStart w:id="219" w:name="метаданные-3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7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7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25</w:t>
      </w:r>
    </w:p>
    <w:bookmarkEnd w:id="219"/>
    <w:bookmarkStart w:id="223" w:name="X587580b4861dda4348bfb43adbb8ff64ff7014f"/>
    <w:p>
      <w:pPr>
        <w:pStyle w:val="Heading2"/>
      </w:pPr>
      <w:r>
        <w:t xml:space="preserve">13b-port-contracts-storage</w:t>
      </w:r>
    </w:p>
    <w:p>
      <w:pPr>
        <w:pStyle w:val="FirstParagraph"/>
      </w:pPr>
      <w:r>
        <w:drawing>
          <wp:inline>
            <wp:extent cx="5334000" cy="6179080"/>
            <wp:effectExtent b="0" l="0" r="0" t="0"/>
            <wp:docPr descr="13b-port-contracts-storage" title="" id="221" name="Picture"/>
            <a:graphic>
              <a:graphicData uri="http://schemas.openxmlformats.org/drawingml/2006/picture">
                <pic:pic>
                  <pic:nvPicPr>
                    <pic:cNvPr descr="architecture/png/13b-port-contracts-storag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79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mmd-diagrams/architecture/13b-port-contracts-storage.mmd</w:t>
      </w:r>
    </w:p>
    <w:bookmarkEnd w:id="223"/>
    <w:bookmarkStart w:id="224" w:name="описание-3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«Port Contracts: Storage» из набора architecture представлена в формате flowchart. Уровень детализации: System / Component. Количество узлов: 9.</w:t>
      </w:r>
    </w:p>
    <w:bookmarkEnd w:id="224"/>
    <w:bookmarkStart w:id="225" w:name="метаданные-3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7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7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9</w:t>
      </w:r>
    </w:p>
    <w:bookmarkEnd w:id="225"/>
    <w:bookmarkStart w:id="229" w:name="X1b4a7e27bc3560f630c6bacb2b9e99ec37d67f4"/>
    <w:p>
      <w:pPr>
        <w:pStyle w:val="Heading2"/>
      </w:pPr>
      <w:r>
        <w:t xml:space="preserve">13c-port-contracts-observability</w:t>
      </w:r>
    </w:p>
    <w:p>
      <w:pPr>
        <w:pStyle w:val="FirstParagraph"/>
      </w:pPr>
      <w:r>
        <w:drawing>
          <wp:inline>
            <wp:extent cx="5334000" cy="9122635"/>
            <wp:effectExtent b="0" l="0" r="0" t="0"/>
            <wp:docPr descr="13c-port-contracts-observability" title="" id="227" name="Picture"/>
            <a:graphic>
              <a:graphicData uri="http://schemas.openxmlformats.org/drawingml/2006/picture">
                <pic:pic>
                  <pic:nvPicPr>
                    <pic:cNvPr descr="architecture/png/13c-port-contracts-observability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22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mmd-diagrams/architecture/13c-port-contracts-observability.mmd</w:t>
      </w:r>
    </w:p>
    <w:bookmarkEnd w:id="229"/>
    <w:bookmarkStart w:id="230" w:name="описание-3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«Port Contracts: Observability and Resilience» из набора architecture представлена в формате flowchart. Уровень детализации: System / Component. Количество узлов: 15.</w:t>
      </w:r>
    </w:p>
    <w:bookmarkEnd w:id="230"/>
    <w:bookmarkStart w:id="231" w:name="метаданные-3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7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7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15</w:t>
      </w:r>
    </w:p>
    <w:bookmarkEnd w:id="231"/>
    <w:bookmarkStart w:id="235" w:name="Xa5d5ba349a569367c81be66d3149bd744e5eda5"/>
    <w:p>
      <w:pPr>
        <w:pStyle w:val="Heading2"/>
      </w:pPr>
      <w:r>
        <w:t xml:space="preserve">13c-validation-dq-ports</w:t>
      </w:r>
    </w:p>
    <w:p>
      <w:pPr>
        <w:pStyle w:val="FirstParagraph"/>
      </w:pPr>
      <w:r>
        <w:drawing>
          <wp:inline>
            <wp:extent cx="5334000" cy="7126156"/>
            <wp:effectExtent b="0" l="0" r="0" t="0"/>
            <wp:docPr descr="13c-validation-dq-ports" title="" id="233" name="Picture"/>
            <a:graphic>
              <a:graphicData uri="http://schemas.openxmlformats.org/drawingml/2006/picture">
                <pic:pic>
                  <pic:nvPicPr>
                    <pic:cNvPr descr="architecture/png/13c-validation-dq-ports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26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mmd-diagrams/architecture/13c-validation-dq-ports.mmd</w:t>
      </w:r>
    </w:p>
    <w:bookmarkEnd w:id="235"/>
    <w:bookmarkStart w:id="236" w:name="описание-3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«Validation and Data Quality Ports» из набора architecture представлена в формате flowchart. Уровень детализации: System / Component. Количество узлов: 20.</w:t>
      </w:r>
    </w:p>
    <w:bookmarkEnd w:id="236"/>
    <w:bookmarkStart w:id="237" w:name="метаданные-3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7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7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20</w:t>
      </w:r>
    </w:p>
    <w:bookmarkEnd w:id="237"/>
    <w:bookmarkStart w:id="241" w:name="X6d23d8bf98c7d1c9c2ebc64ae3b37073e6502e6"/>
    <w:p>
      <w:pPr>
        <w:pStyle w:val="Heading2"/>
      </w:pPr>
      <w:r>
        <w:t xml:space="preserve">13d-port-contracts-services</w:t>
      </w:r>
    </w:p>
    <w:p>
      <w:pPr>
        <w:pStyle w:val="FirstParagraph"/>
      </w:pPr>
      <w:r>
        <w:drawing>
          <wp:inline>
            <wp:extent cx="5334000" cy="6537782"/>
            <wp:effectExtent b="0" l="0" r="0" t="0"/>
            <wp:docPr descr="13d-port-contracts-services" title="" id="239" name="Picture"/>
            <a:graphic>
              <a:graphicData uri="http://schemas.openxmlformats.org/drawingml/2006/picture">
                <pic:pic>
                  <pic:nvPicPr>
                    <pic:cNvPr descr="architecture/png/13d-port-contracts-services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37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mmd-diagrams/architecture/13d-port-contracts-services.mmd</w:t>
      </w:r>
    </w:p>
    <w:bookmarkEnd w:id="241"/>
    <w:bookmarkStart w:id="242" w:name="описание-3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«Port Contracts: Services and Controls» из набора architecture представлена в формате flowchart. Уровень детализации: System / Component. Количество узлов: 20.</w:t>
      </w:r>
    </w:p>
    <w:bookmarkEnd w:id="242"/>
    <w:bookmarkStart w:id="243" w:name="метаданные-3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8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8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20</w:t>
      </w:r>
    </w:p>
    <w:bookmarkEnd w:id="243"/>
    <w:bookmarkStart w:id="247" w:name="Xb487158a9fed53660b6c54edb02d1c5ea9000de"/>
    <w:p>
      <w:pPr>
        <w:pStyle w:val="Heading2"/>
      </w:pPr>
      <w:r>
        <w:t xml:space="preserve">13e-operational-ports-domain</w:t>
      </w:r>
    </w:p>
    <w:p>
      <w:pPr>
        <w:pStyle w:val="FirstParagraph"/>
      </w:pPr>
      <w:r>
        <w:drawing>
          <wp:inline>
            <wp:extent cx="5334000" cy="417139"/>
            <wp:effectExtent b="0" l="0" r="0" t="0"/>
            <wp:docPr descr="13e-operational-ports-domain" title="" id="245" name="Picture"/>
            <a:graphic>
              <a:graphicData uri="http://schemas.openxmlformats.org/drawingml/2006/picture">
                <pic:pic>
                  <pic:nvPicPr>
                    <pic:cNvPr descr="architecture/png/13e-operational-ports-domain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mmd-diagrams/architecture/13e-operational-ports-domain.mmd</w:t>
      </w:r>
    </w:p>
    <w:bookmarkEnd w:id="247"/>
    <w:bookmarkStart w:id="248" w:name="описание-3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«Domain Operational Ports» из набора architecture представлена в формате flowchart. Уровень детализации: System / Component. Количество узлов: 8.</w:t>
      </w:r>
    </w:p>
    <w:bookmarkEnd w:id="248"/>
    <w:bookmarkStart w:id="249" w:name="метаданные-3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8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8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8</w:t>
      </w:r>
    </w:p>
    <w:bookmarkEnd w:id="249"/>
    <w:bookmarkStart w:id="253" w:name="X922dcdb214e9c479abdfa05383c1bf6865e5f6a"/>
    <w:p>
      <w:pPr>
        <w:pStyle w:val="Heading2"/>
      </w:pPr>
      <w:r>
        <w:t xml:space="preserve">13f-operational-ports-infra</w:t>
      </w:r>
    </w:p>
    <w:p>
      <w:pPr>
        <w:pStyle w:val="FirstParagraph"/>
      </w:pPr>
      <w:r>
        <w:drawing>
          <wp:inline>
            <wp:extent cx="5334000" cy="486621"/>
            <wp:effectExtent b="0" l="0" r="0" t="0"/>
            <wp:docPr descr="13f-operational-ports-infra" title="" id="251" name="Picture"/>
            <a:graphic>
              <a:graphicData uri="http://schemas.openxmlformats.org/drawingml/2006/picture">
                <pic:pic>
                  <pic:nvPicPr>
                    <pic:cNvPr descr="architecture/png/13f-operational-ports-infra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6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mmd-diagrams/architecture/13f-operational-ports-infra.mmd</w:t>
      </w:r>
    </w:p>
    <w:bookmarkEnd w:id="253"/>
    <w:bookmarkStart w:id="254" w:name="описание-4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«Infrastructure Operational Implementations» из набора architecture представлена в формате flowchart. Уровень детализации: System / Component. Количество узлов: 7.</w:t>
      </w:r>
    </w:p>
    <w:bookmarkEnd w:id="254"/>
    <w:bookmarkStart w:id="255" w:name="метаданные-4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8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8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7</w:t>
      </w:r>
    </w:p>
    <w:bookmarkEnd w:id="255"/>
    <w:bookmarkStart w:id="259" w:name="X4da636e118cfc51f5f9dc53eeed33eaace3696c"/>
    <w:p>
      <w:pPr>
        <w:pStyle w:val="Heading2"/>
      </w:pPr>
      <w:r>
        <w:t xml:space="preserve">14-cli-interface-layer</w:t>
      </w:r>
    </w:p>
    <w:p>
      <w:pPr>
        <w:pStyle w:val="FirstParagraph"/>
      </w:pPr>
      <w:r>
        <w:drawing>
          <wp:inline>
            <wp:extent cx="5334000" cy="5446390"/>
            <wp:effectExtent b="0" l="0" r="0" t="0"/>
            <wp:docPr descr="14-cli-interface-layer" title="" id="257" name="Picture"/>
            <a:graphic>
              <a:graphicData uri="http://schemas.openxmlformats.org/drawingml/2006/picture">
                <pic:pic>
                  <pic:nvPicPr>
                    <pic:cNvPr descr="architecture/png/14-cli-interface-layer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6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mmd-diagrams/architecture/14-cli-interface-layer.mmd</w:t>
      </w:r>
    </w:p>
    <w:bookmarkEnd w:id="259"/>
    <w:bookmarkStart w:id="260" w:name="описание-4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«CLI / Interface Layer» из набора architecture представлена в формате flowchart. Уровень детализации: System / Component. Показывает: CLI commands, their routing, and interaction with composition.. Количество узлов: 24. Примечание: Decomposed into 14a-cli-commands, 14b-cli-routing.</w:t>
      </w:r>
    </w:p>
    <w:bookmarkEnd w:id="260"/>
    <w:bookmarkStart w:id="261" w:name="метаданные-4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8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8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24</w:t>
      </w:r>
    </w:p>
    <w:bookmarkEnd w:id="261"/>
    <w:bookmarkStart w:id="265" w:name="X71c5bd2fb365807f9012e622745c21d9682c4a8"/>
    <w:p>
      <w:pPr>
        <w:pStyle w:val="Heading2"/>
      </w:pPr>
      <w:r>
        <w:t xml:space="preserve">14a-cli-commands</w:t>
      </w:r>
    </w:p>
    <w:p>
      <w:pPr>
        <w:pStyle w:val="FirstParagraph"/>
      </w:pPr>
      <w:r>
        <w:drawing>
          <wp:inline>
            <wp:extent cx="5334000" cy="5007511"/>
            <wp:effectExtent b="0" l="0" r="0" t="0"/>
            <wp:docPr descr="14a-cli-commands" title="" id="263" name="Picture"/>
            <a:graphic>
              <a:graphicData uri="http://schemas.openxmlformats.org/drawingml/2006/picture">
                <pic:pic>
                  <pic:nvPicPr>
                    <pic:cNvPr descr="architecture/png/14a-cli-commands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7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mmd-diagrams/architecture/14a-cli-commands.mmd</w:t>
      </w:r>
    </w:p>
    <w:bookmarkEnd w:id="265"/>
    <w:bookmarkStart w:id="266" w:name="описание-4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«CLI: Command Structure» из набора architecture представлена в формате flowchart. Уровень детализации: System / Component. Количество узлов: 12.</w:t>
      </w:r>
    </w:p>
    <w:bookmarkEnd w:id="266"/>
    <w:bookmarkStart w:id="267" w:name="метаданные-4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8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8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12</w:t>
      </w:r>
    </w:p>
    <w:bookmarkEnd w:id="267"/>
    <w:bookmarkStart w:id="271" w:name="X21e34f443b76494704d8997a4f2bd8dbb8fe836"/>
    <w:p>
      <w:pPr>
        <w:pStyle w:val="Heading2"/>
      </w:pPr>
      <w:r>
        <w:t xml:space="preserve">14b-cli-routing</w:t>
      </w:r>
    </w:p>
    <w:p>
      <w:pPr>
        <w:pStyle w:val="FirstParagraph"/>
      </w:pPr>
      <w:r>
        <w:drawing>
          <wp:inline>
            <wp:extent cx="5334000" cy="910209"/>
            <wp:effectExtent b="0" l="0" r="0" t="0"/>
            <wp:docPr descr="14b-cli-routing" title="" id="269" name="Picture"/>
            <a:graphic>
              <a:graphicData uri="http://schemas.openxmlformats.org/drawingml/2006/picture">
                <pic:pic>
                  <pic:nvPicPr>
                    <pic:cNvPr descr="architecture/png/14b-cli-routing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0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mmd-diagrams/architecture/14b-cli-routing.mmd</w:t>
      </w:r>
    </w:p>
    <w:bookmarkEnd w:id="271"/>
    <w:bookmarkStart w:id="272" w:name="описание-4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«CLI: Routing to Composition &amp; Application» из набора architecture представлена в формате flowchart. Уровень детализации: System / Component. Количество узлов: 12.</w:t>
      </w:r>
    </w:p>
    <w:bookmarkEnd w:id="272"/>
    <w:bookmarkStart w:id="273" w:name="метаданные-4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9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9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12</w:t>
      </w:r>
    </w:p>
    <w:bookmarkEnd w:id="273"/>
    <w:bookmarkStart w:id="277" w:name="X6b6c0058fadad35b1f24807a83969b36ca6f7ef"/>
    <w:p>
      <w:pPr>
        <w:pStyle w:val="Heading2"/>
      </w:pPr>
      <w:r>
        <w:t xml:space="preserve">15-batch-executor-internals</w:t>
      </w:r>
    </w:p>
    <w:p>
      <w:pPr>
        <w:pStyle w:val="FirstParagraph"/>
      </w:pPr>
      <w:r>
        <w:drawing>
          <wp:inline>
            <wp:extent cx="5334000" cy="3195726"/>
            <wp:effectExtent b="0" l="0" r="0" t="0"/>
            <wp:docPr descr="15-batch-executor-internals" title="" id="275" name="Picture"/>
            <a:graphic>
              <a:graphicData uri="http://schemas.openxmlformats.org/drawingml/2006/picture">
                <pic:pic>
                  <pic:nvPicPr>
                    <pic:cNvPr descr="architecture/png/15-batch-executor-internals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5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mmd-diagrams/architecture/15-batch-executor-internals.mmd</w:t>
      </w:r>
    </w:p>
    <w:bookmarkEnd w:id="277"/>
    <w:bookmarkStart w:id="278" w:name="описание-4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«BatchExecutor Internal Architecture» из набора architecture представлена в формате flowchart. Уровень детализации: System / Component. Показывает: the composition of BatchExecutor and its helper components.. Количество узлов: 15.</w:t>
      </w:r>
    </w:p>
    <w:bookmarkEnd w:id="278"/>
    <w:bookmarkStart w:id="279" w:name="метаданные-4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9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9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15</w:t>
      </w:r>
    </w:p>
    <w:bookmarkEnd w:id="279"/>
    <w:bookmarkStart w:id="283" w:name="X33ca675d349453cc680a37ef07998c9836bc14d"/>
    <w:p>
      <w:pPr>
        <w:pStyle w:val="Heading2"/>
      </w:pPr>
      <w:r>
        <w:t xml:space="preserve">16-transformer-hierarchy</w:t>
      </w:r>
    </w:p>
    <w:p>
      <w:pPr>
        <w:pStyle w:val="FirstParagraph"/>
      </w:pPr>
      <w:r>
        <w:drawing>
          <wp:inline>
            <wp:extent cx="5334000" cy="1678081"/>
            <wp:effectExtent b="0" l="0" r="0" t="0"/>
            <wp:docPr descr="16-transformer-hierarchy" title="" id="281" name="Picture"/>
            <a:graphic>
              <a:graphicData uri="http://schemas.openxmlformats.org/drawingml/2006/picture">
                <pic:pic>
                  <pic:nvPicPr>
                    <pic:cNvPr descr="architecture/png/16-transformer-hierarchy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8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mmd-diagrams/architecture/16-transformer-hierarchy.mmd</w:t>
      </w:r>
    </w:p>
    <w:bookmarkEnd w:id="283"/>
    <w:bookmarkStart w:id="284" w:name="описание-4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«Transformer Hierarchy» из набора architecture представлена в формате flowchart. Уровень детализации: System / Component. Показывает: the Template Method pattern and all provider-specific transformers.. Количество узлов: 35. Примечание: Decomposed into 16a-transformer-base, 16b-transformer-pub-other.</w:t>
      </w:r>
    </w:p>
    <w:bookmarkEnd w:id="284"/>
    <w:bookmarkStart w:id="285" w:name="метаданные-4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9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9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35</w:t>
      </w:r>
    </w:p>
    <w:bookmarkEnd w:id="285"/>
    <w:bookmarkStart w:id="289" w:name="X6db4417e30180b443957a0157a97d8c5bd27db3"/>
    <w:p>
      <w:pPr>
        <w:pStyle w:val="Heading2"/>
      </w:pPr>
      <w:r>
        <w:t xml:space="preserve">16a-transformer-base</w:t>
      </w:r>
    </w:p>
    <w:p>
      <w:pPr>
        <w:pStyle w:val="FirstParagraph"/>
      </w:pPr>
      <w:r>
        <w:drawing>
          <wp:inline>
            <wp:extent cx="5334000" cy="729047"/>
            <wp:effectExtent b="0" l="0" r="0" t="0"/>
            <wp:docPr descr="16a-transformer-base" title="" id="287" name="Picture"/>
            <a:graphic>
              <a:graphicData uri="http://schemas.openxmlformats.org/drawingml/2006/picture">
                <pic:pic>
                  <pic:nvPicPr>
                    <pic:cNvPr descr="architecture/png/16a-transformer-bas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9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mmd-diagrams/architecture/16a-transformer-base.mmd</w:t>
      </w:r>
    </w:p>
    <w:bookmarkEnd w:id="289"/>
    <w:bookmarkStart w:id="290" w:name="описание-4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«Base Transformer and ChEMBL Transformers» из набора architecture представлена в формате flowchart. Уровень детализации: System / Component. Количество узлов: 17.</w:t>
      </w:r>
    </w:p>
    <w:bookmarkEnd w:id="290"/>
    <w:bookmarkStart w:id="291" w:name="метаданные-4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9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9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17</w:t>
      </w:r>
    </w:p>
    <w:bookmarkEnd w:id="291"/>
    <w:bookmarkStart w:id="295" w:name="X2eb9849dfbdb9a3e1d99c8c021d5b046dacbba0"/>
    <w:p>
      <w:pPr>
        <w:pStyle w:val="Heading2"/>
      </w:pPr>
      <w:r>
        <w:t xml:space="preserve">16b-transformer-pub-other</w:t>
      </w:r>
    </w:p>
    <w:p>
      <w:pPr>
        <w:pStyle w:val="FirstParagraph"/>
      </w:pPr>
      <w:r>
        <w:drawing>
          <wp:inline>
            <wp:extent cx="5334000" cy="1264276"/>
            <wp:effectExtent b="0" l="0" r="0" t="0"/>
            <wp:docPr descr="16b-transformer-pub-other" title="" id="293" name="Picture"/>
            <a:graphic>
              <a:graphicData uri="http://schemas.openxmlformats.org/drawingml/2006/picture">
                <pic:pic>
                  <pic:nvPicPr>
                    <pic:cNvPr descr="architecture/png/16b-transformer-pub-other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4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mmd-diagrams/architecture/16b-transformer-pub-other.mmd</w:t>
      </w:r>
    </w:p>
    <w:bookmarkEnd w:id="295"/>
    <w:bookmarkStart w:id="296" w:name="описание-4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«Publication, UniProt, Other Transformers and Extractors» из набора architecture представлена в формате flowchart. Уровень детализации: System / Component. Количество узлов: 18.</w:t>
      </w:r>
    </w:p>
    <w:bookmarkEnd w:id="296"/>
    <w:bookmarkStart w:id="297" w:name="метаданные-4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9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9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18</w:t>
      </w:r>
    </w:p>
    <w:bookmarkEnd w:id="297"/>
    <w:bookmarkStart w:id="301" w:name="X95d5a1670fb1bae1099c74a776b0a15337980d2"/>
    <w:p>
      <w:pPr>
        <w:pStyle w:val="Heading2"/>
      </w:pPr>
      <w:r>
        <w:t xml:space="preserve">17-security-pii-audit</w:t>
      </w:r>
    </w:p>
    <w:p>
      <w:pPr>
        <w:pStyle w:val="FirstParagraph"/>
      </w:pPr>
      <w:r>
        <w:drawing>
          <wp:inline>
            <wp:extent cx="5334000" cy="6426403"/>
            <wp:effectExtent b="0" l="0" r="0" t="0"/>
            <wp:docPr descr="17-security-pii-audit" title="" id="299" name="Picture"/>
            <a:graphic>
              <a:graphicData uri="http://schemas.openxmlformats.org/drawingml/2006/picture">
                <pic:pic>
                  <pic:nvPicPr>
                    <pic:cNvPr descr="architecture/png/17-security-pii-audit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6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mmd-diagrams/architecture/17-security-pii-audit.mmd</w:t>
      </w:r>
    </w:p>
    <w:bookmarkEnd w:id="301"/>
    <w:bookmarkStart w:id="302" w:name="описание-4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«Security, PII Hashing, and Audit Trail» из набора architecture представлена в формате flowchart. Уровень детализации: System / Component. Показывает: how PII is handled and audit trail is maintained.. Количество узлов: 16.</w:t>
      </w:r>
    </w:p>
    <w:bookmarkEnd w:id="302"/>
    <w:bookmarkStart w:id="303" w:name="метаданные-4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10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0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16</w:t>
      </w:r>
    </w:p>
    <w:bookmarkEnd w:id="303"/>
    <w:bookmarkStart w:id="307" w:name="X39f363dbe3996ddfe7385c8d0e9407cd0a3f11d"/>
    <w:p>
      <w:pPr>
        <w:pStyle w:val="Heading2"/>
      </w:pPr>
      <w:r>
        <w:t xml:space="preserve">18-lock-checkpoint-shutdown</w:t>
      </w:r>
    </w:p>
    <w:p>
      <w:pPr>
        <w:pStyle w:val="FirstParagraph"/>
      </w:pPr>
      <w:r>
        <w:drawing>
          <wp:inline>
            <wp:extent cx="5334000" cy="2906768"/>
            <wp:effectExtent b="0" l="0" r="0" t="0"/>
            <wp:docPr descr="18-lock-checkpoint-shutdown" title="" id="305" name="Picture"/>
            <a:graphic>
              <a:graphicData uri="http://schemas.openxmlformats.org/drawingml/2006/picture">
                <pic:pic>
                  <pic:nvPicPr>
                    <pic:cNvPr descr="architecture/png/18-lock-checkpoint-shutdown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6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0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mmd-diagrams/architecture/18-lock-checkpoint-shutdown.mmd</w:t>
      </w:r>
    </w:p>
    <w:bookmarkEnd w:id="307"/>
    <w:bookmarkStart w:id="308" w:name="описание-4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«Locking, Checkpoint, and Graceful Shutdown» из набора architecture представлена в формате flowchart. Уровень детализации: System / Component. Показывает: distributed safety mechanisms.. Количество узлов: 22. Примечание: Decomposed into 18a-lock-system, 18b-checkpoint-shutdown.</w:t>
      </w:r>
    </w:p>
    <w:bookmarkEnd w:id="308"/>
    <w:bookmarkStart w:id="309" w:name="метаданные-4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10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0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22</w:t>
      </w:r>
    </w:p>
    <w:bookmarkEnd w:id="309"/>
    <w:bookmarkStart w:id="313" w:name="X898668cc371d5687bee0a6ffdb4aa12c4710058"/>
    <w:p>
      <w:pPr>
        <w:pStyle w:val="Heading2"/>
      </w:pPr>
      <w:r>
        <w:t xml:space="preserve">18a-lock-system</w:t>
      </w:r>
    </w:p>
    <w:p>
      <w:pPr>
        <w:pStyle w:val="FirstParagraph"/>
      </w:pPr>
      <w:r>
        <w:drawing>
          <wp:inline>
            <wp:extent cx="5334000" cy="5548504"/>
            <wp:effectExtent b="0" l="0" r="0" t="0"/>
            <wp:docPr descr="18a-lock-system" title="" id="311" name="Picture"/>
            <a:graphic>
              <a:graphicData uri="http://schemas.openxmlformats.org/drawingml/2006/picture">
                <pic:pic>
                  <pic:nvPicPr>
                    <pic:cNvPr descr="architecture/png/18a-lock-system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8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mmd-diagrams/architecture/18a-lock-system.mmd</w:t>
      </w:r>
    </w:p>
    <w:bookmarkEnd w:id="313"/>
    <w:bookmarkStart w:id="314" w:name="описание-5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«Lock System» из набора architecture представлена в формате flowchart. Уровень детализации: System / Component. Количество узлов: 8.</w:t>
      </w:r>
    </w:p>
    <w:bookmarkEnd w:id="314"/>
    <w:bookmarkStart w:id="315" w:name="метаданные-5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10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10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8</w:t>
      </w:r>
    </w:p>
    <w:bookmarkEnd w:id="315"/>
    <w:bookmarkStart w:id="319" w:name="X269a2de74e5c259e2549d2d7cec809056b33277"/>
    <w:p>
      <w:pPr>
        <w:pStyle w:val="Heading2"/>
      </w:pPr>
      <w:r>
        <w:t xml:space="preserve">18b-checkpoint-shutdown</w:t>
      </w:r>
    </w:p>
    <w:p>
      <w:pPr>
        <w:pStyle w:val="FirstParagraph"/>
      </w:pPr>
      <w:r>
        <w:drawing>
          <wp:inline>
            <wp:extent cx="5334000" cy="1537264"/>
            <wp:effectExtent b="0" l="0" r="0" t="0"/>
            <wp:docPr descr="18b-checkpoint-shutdown" title="" id="317" name="Picture"/>
            <a:graphic>
              <a:graphicData uri="http://schemas.openxmlformats.org/drawingml/2006/picture">
                <pic:pic>
                  <pic:nvPicPr>
                    <pic:cNvPr descr="architecture/png/18b-checkpoint-shutdown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7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mmd-diagrams/architecture/18b-checkpoint-shutdown.mmd</w:t>
      </w:r>
    </w:p>
    <w:bookmarkEnd w:id="319"/>
    <w:bookmarkStart w:id="320" w:name="описание-5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«Checkpoint and Shutdown System» из набора architecture представлена в формате flowchart. Уровень детализации: System / Component. Количество узлов: 14.</w:t>
      </w:r>
    </w:p>
    <w:bookmarkEnd w:id="320"/>
    <w:bookmarkStart w:id="321" w:name="метаданные-5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10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10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14</w:t>
      </w:r>
    </w:p>
    <w:bookmarkEnd w:id="321"/>
    <w:bookmarkEnd w:id="3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154" Target="media/rId154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4" Target="media/rId184.png" /><Relationship Type="http://schemas.openxmlformats.org/officeDocument/2006/relationships/image" Id="rId190" Target="media/rId190.png" /><Relationship Type="http://schemas.openxmlformats.org/officeDocument/2006/relationships/image" Id="rId196" Target="media/rId196.png" /><Relationship Type="http://schemas.openxmlformats.org/officeDocument/2006/relationships/image" Id="rId202" Target="media/rId202.png" /><Relationship Type="http://schemas.openxmlformats.org/officeDocument/2006/relationships/image" Id="rId208" Target="media/rId208.png" /><Relationship Type="http://schemas.openxmlformats.org/officeDocument/2006/relationships/image" Id="rId214" Target="media/rId214.png" /><Relationship Type="http://schemas.openxmlformats.org/officeDocument/2006/relationships/image" Id="rId220" Target="media/rId220.png" /><Relationship Type="http://schemas.openxmlformats.org/officeDocument/2006/relationships/image" Id="rId226" Target="media/rId226.png" /><Relationship Type="http://schemas.openxmlformats.org/officeDocument/2006/relationships/image" Id="rId232" Target="media/rId232.png" /><Relationship Type="http://schemas.openxmlformats.org/officeDocument/2006/relationships/image" Id="rId238" Target="media/rId238.png" /><Relationship Type="http://schemas.openxmlformats.org/officeDocument/2006/relationships/image" Id="rId244" Target="media/rId244.png" /><Relationship Type="http://schemas.openxmlformats.org/officeDocument/2006/relationships/image" Id="rId250" Target="media/rId250.png" /><Relationship Type="http://schemas.openxmlformats.org/officeDocument/2006/relationships/image" Id="rId256" Target="media/rId256.png" /><Relationship Type="http://schemas.openxmlformats.org/officeDocument/2006/relationships/image" Id="rId262" Target="media/rId262.png" /><Relationship Type="http://schemas.openxmlformats.org/officeDocument/2006/relationships/image" Id="rId268" Target="media/rId268.png" /><Relationship Type="http://schemas.openxmlformats.org/officeDocument/2006/relationships/image" Id="rId274" Target="media/rId274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92" Target="media/rId292.png" /><Relationship Type="http://schemas.openxmlformats.org/officeDocument/2006/relationships/image" Id="rId298" Target="media/rId298.png" /><Relationship Type="http://schemas.openxmlformats.org/officeDocument/2006/relationships/image" Id="rId304" Target="media/rId304.png" /><Relationship Type="http://schemas.openxmlformats.org/officeDocument/2006/relationships/image" Id="rId310" Target="media/rId310.png" /><Relationship Type="http://schemas.openxmlformats.org/officeDocument/2006/relationships/image" Id="rId316" Target="media/rId3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2026-03-12T10:08:31Z</dcterms:created>
  <dcterms:modified xsi:type="dcterms:W3CDTF">2026-03-12T10:08:31Z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