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2C8" w:rsidRDefault="009925BE">
      <w:pPr>
        <w:pStyle w:val="Heading1"/>
        <w:jc w:val="center"/>
        <w:rPr>
          <w:rFonts w:ascii="Times New Roman" w:hAnsi="Times New Roman" w:cs="Times New Roman"/>
          <w:szCs w:val="24"/>
        </w:rPr>
      </w:pPr>
      <w:bookmarkStart w:id="0" w:name="_GoBack"/>
      <w:r w:rsidRPr="009925BE">
        <w:rPr>
          <w:rFonts w:ascii="Times New Roman" w:hAnsi="Times New Roman" w:cs="Times New Roman"/>
          <w:szCs w:val="24"/>
          <w:lang w:val="ru-RU"/>
        </w:rPr>
        <w:t xml:space="preserve">Клиническая эффективность терапии оси </w:t>
      </w:r>
      <w:r w:rsidRPr="009925BE">
        <w:rPr>
          <w:rFonts w:ascii="Times New Roman" w:hAnsi="Times New Roman" w:cs="Times New Roman"/>
          <w:szCs w:val="24"/>
        </w:rPr>
        <w:t>CD</w:t>
      </w:r>
      <w:r w:rsidRPr="009925BE">
        <w:rPr>
          <w:rFonts w:ascii="Times New Roman" w:hAnsi="Times New Roman" w:cs="Times New Roman"/>
          <w:szCs w:val="24"/>
          <w:lang w:val="ru-RU"/>
        </w:rPr>
        <w:t>47–</w:t>
      </w:r>
      <w:r w:rsidRPr="009925BE">
        <w:rPr>
          <w:rFonts w:ascii="Times New Roman" w:hAnsi="Times New Roman" w:cs="Times New Roman"/>
          <w:szCs w:val="24"/>
        </w:rPr>
        <w:t>SIRPα</w:t>
      </w:r>
      <w:bookmarkEnd w:id="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54"/>
        <w:gridCol w:w="5791"/>
      </w:tblGrid>
      <w:tr w:rsidR="000415BE" w:rsidTr="00041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tcBorders>
              <w:bottom w:val="single" w:sz="4" w:space="0" w:color="BFBFBF" w:themeColor="background1" w:themeShade="BF"/>
            </w:tcBorders>
            <w:vAlign w:val="center"/>
          </w:tcPr>
          <w:p w:rsidR="000415BE" w:rsidRPr="000415BE" w:rsidRDefault="000415BE" w:rsidP="000415BE">
            <w:pPr>
              <w:pStyle w:val="NormalWeb"/>
              <w:rPr>
                <w:rStyle w:val="Strong"/>
                <w:lang w:val="ru-RU"/>
              </w:rPr>
            </w:pPr>
            <w:r w:rsidRPr="000415BE">
              <w:rPr>
                <w:rStyle w:val="Strong"/>
                <w:lang w:val="ru-RU"/>
              </w:rPr>
              <w:t>Доказана ли эффективность?</w:t>
            </w:r>
          </w:p>
        </w:tc>
        <w:tc>
          <w:tcPr>
            <w:tcW w:w="5953" w:type="dxa"/>
            <w:tcBorders>
              <w:bottom w:val="single" w:sz="4" w:space="0" w:color="BFBFBF" w:themeColor="background1" w:themeShade="BF"/>
            </w:tcBorders>
            <w:vAlign w:val="center"/>
          </w:tcPr>
          <w:p w:rsidR="000415BE" w:rsidRDefault="000415BE" w:rsidP="000415BE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ru-RU"/>
              </w:rPr>
            </w:pPr>
            <w:r w:rsidRPr="000415BE">
              <w:rPr>
                <w:lang w:val="ru-RU"/>
              </w:rPr>
              <w:t>Нет</w:t>
            </w:r>
          </w:p>
        </w:tc>
      </w:tr>
      <w:tr w:rsidR="000415BE" w:rsidTr="009C2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tcBorders>
              <w:bottom w:val="single" w:sz="4" w:space="0" w:color="auto"/>
            </w:tcBorders>
            <w:vAlign w:val="center"/>
          </w:tcPr>
          <w:p w:rsidR="000415BE" w:rsidRPr="000415BE" w:rsidRDefault="000415BE" w:rsidP="000415BE">
            <w:pPr>
              <w:pStyle w:val="NormalWeb"/>
              <w:rPr>
                <w:rStyle w:val="Strong"/>
                <w:lang w:val="ru-RU"/>
              </w:rPr>
            </w:pPr>
            <w:r w:rsidRPr="000415BE">
              <w:rPr>
                <w:rStyle w:val="Strong"/>
                <w:lang w:val="ru-RU"/>
              </w:rPr>
              <w:t>Наиболее сильные доказательства: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vAlign w:val="center"/>
          </w:tcPr>
          <w:p w:rsidR="000415BE" w:rsidRDefault="000415BE" w:rsidP="000415B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lang w:val="ru-RU"/>
              </w:rPr>
            </w:pPr>
            <w:r>
              <w:t>Evorpacept</w:t>
            </w:r>
            <w:r w:rsidRPr="000415BE">
              <w:rPr>
                <w:lang w:val="ru-RU"/>
              </w:rPr>
              <w:t>+</w:t>
            </w:r>
            <w:r>
              <w:t>HER</w:t>
            </w:r>
            <w:r w:rsidRPr="000415BE">
              <w:rPr>
                <w:lang w:val="ru-RU"/>
              </w:rPr>
              <w:t>2 при раке желудка/</w:t>
            </w:r>
            <w:r>
              <w:t>GEJ</w:t>
            </w:r>
            <w:r w:rsidRPr="000415BE">
              <w:rPr>
                <w:lang w:val="ru-RU"/>
              </w:rPr>
              <w:t xml:space="preserve"> и </w:t>
            </w:r>
            <w:r>
              <w:rPr>
                <w:lang w:val="ru-RU"/>
              </w:rPr>
              <w:br/>
            </w:r>
            <w:r>
              <w:t>ligufalimab</w:t>
            </w:r>
            <w:r w:rsidRPr="000415BE">
              <w:rPr>
                <w:lang w:val="ru-RU"/>
              </w:rPr>
              <w:t xml:space="preserve"> при </w:t>
            </w:r>
            <w:r>
              <w:t>AML</w:t>
            </w:r>
            <w:r w:rsidRPr="000415BE">
              <w:rPr>
                <w:lang w:val="ru-RU"/>
              </w:rPr>
              <w:t>, однако данные по выживаемости пока отсутствуют [4,5].</w:t>
            </w:r>
          </w:p>
        </w:tc>
      </w:tr>
      <w:tr w:rsidR="000415BE" w:rsidTr="000415BE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tcBorders>
              <w:top w:val="single" w:sz="4" w:space="0" w:color="auto"/>
              <w:bottom w:val="single" w:sz="4" w:space="0" w:color="BFBFBF" w:themeColor="background1" w:themeShade="BF"/>
            </w:tcBorders>
            <w:vAlign w:val="center"/>
          </w:tcPr>
          <w:p w:rsidR="000415BE" w:rsidRPr="000415BE" w:rsidRDefault="000415BE" w:rsidP="000415BE">
            <w:pPr>
              <w:pStyle w:val="NormalWeb"/>
              <w:rPr>
                <w:rStyle w:val="Strong"/>
                <w:lang w:val="ru-RU"/>
              </w:rPr>
            </w:pPr>
            <w:r w:rsidRPr="000415BE">
              <w:rPr>
                <w:rStyle w:val="Strong"/>
                <w:lang w:val="ru-RU"/>
              </w:rPr>
              <w:t>Доказана ли неэффективность?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BFBFBF" w:themeColor="background1" w:themeShade="BF"/>
            </w:tcBorders>
            <w:vAlign w:val="center"/>
          </w:tcPr>
          <w:p w:rsidR="000415BE" w:rsidRDefault="000415BE" w:rsidP="000415B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ru-RU"/>
              </w:rPr>
            </w:pPr>
            <w:r w:rsidRPr="000415BE">
              <w:rPr>
                <w:lang w:val="ru-RU"/>
              </w:rPr>
              <w:t>Нет</w:t>
            </w:r>
          </w:p>
        </w:tc>
      </w:tr>
      <w:tr w:rsidR="000415BE" w:rsidTr="00041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tcBorders>
              <w:bottom w:val="single" w:sz="4" w:space="0" w:color="auto"/>
            </w:tcBorders>
            <w:vAlign w:val="center"/>
          </w:tcPr>
          <w:p w:rsidR="000415BE" w:rsidRPr="000415BE" w:rsidRDefault="000415BE" w:rsidP="000415BE">
            <w:pPr>
              <w:pStyle w:val="NormalWeb"/>
              <w:rPr>
                <w:rStyle w:val="Strong"/>
                <w:lang w:val="ru-RU"/>
              </w:rPr>
            </w:pPr>
            <w:r w:rsidRPr="000415BE">
              <w:rPr>
                <w:rStyle w:val="Strong"/>
                <w:lang w:val="ru-RU"/>
              </w:rPr>
              <w:t>Наиболее сильные доказательства: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vAlign w:val="center"/>
          </w:tcPr>
          <w:p w:rsidR="000415BE" w:rsidRPr="000415BE" w:rsidRDefault="000415BE" w:rsidP="000415BE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ong"/>
                <w:b w:val="0"/>
                <w:bCs w:val="0"/>
                <w:lang w:val="ru-RU"/>
              </w:rPr>
            </w:pPr>
            <w:r>
              <w:t>Magrolimab</w:t>
            </w:r>
            <w:r w:rsidRPr="000415BE">
              <w:rPr>
                <w:lang w:val="ru-RU"/>
              </w:rPr>
              <w:t xml:space="preserve"> при </w:t>
            </w:r>
            <w:r>
              <w:t>HR</w:t>
            </w:r>
            <w:r w:rsidRPr="000415BE">
              <w:rPr>
                <w:lang w:val="ru-RU"/>
              </w:rPr>
              <w:t>-</w:t>
            </w:r>
            <w:r>
              <w:t>MDS</w:t>
            </w:r>
            <w:r w:rsidRPr="000415BE">
              <w:rPr>
                <w:lang w:val="ru-RU"/>
              </w:rPr>
              <w:t>/</w:t>
            </w:r>
            <w:r>
              <w:t>AML</w:t>
            </w:r>
            <w:r w:rsidRPr="000415BE">
              <w:rPr>
                <w:lang w:val="ru-RU"/>
              </w:rPr>
              <w:t xml:space="preserve"> и </w:t>
            </w:r>
            <w:r>
              <w:t>evorpacept</w:t>
            </w:r>
            <w:r w:rsidRPr="000415BE">
              <w:rPr>
                <w:lang w:val="ru-RU"/>
              </w:rPr>
              <w:t>+</w:t>
            </w:r>
            <w:r>
              <w:t>PD</w:t>
            </w:r>
            <w:r w:rsidRPr="000415BE">
              <w:rPr>
                <w:lang w:val="ru-RU"/>
              </w:rPr>
              <w:t xml:space="preserve">-1 при </w:t>
            </w:r>
            <w:r>
              <w:t>R</w:t>
            </w:r>
            <w:r w:rsidRPr="000415BE">
              <w:rPr>
                <w:lang w:val="ru-RU"/>
              </w:rPr>
              <w:t>/</w:t>
            </w:r>
            <w:r>
              <w:t>M</w:t>
            </w:r>
            <w:r w:rsidRPr="000415BE">
              <w:rPr>
                <w:lang w:val="ru-RU"/>
              </w:rPr>
              <w:t xml:space="preserve"> </w:t>
            </w:r>
            <w:r>
              <w:t>HNSCC</w:t>
            </w:r>
            <w:r w:rsidRPr="000415BE">
              <w:rPr>
                <w:lang w:val="ru-RU"/>
              </w:rPr>
              <w:t xml:space="preserve"> [1–3,7]. </w:t>
            </w:r>
          </w:p>
        </w:tc>
      </w:tr>
      <w:tr w:rsidR="000415BE" w:rsidTr="000415BE">
        <w:trPr>
          <w:trHeight w:val="2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tcBorders>
              <w:top w:val="single" w:sz="4" w:space="0" w:color="auto"/>
            </w:tcBorders>
            <w:vAlign w:val="center"/>
          </w:tcPr>
          <w:p w:rsidR="000415BE" w:rsidRPr="000415BE" w:rsidRDefault="000415BE" w:rsidP="000415BE">
            <w:pPr>
              <w:pStyle w:val="NormalWeb"/>
              <w:rPr>
                <w:rStyle w:val="Strong"/>
                <w:lang w:val="ru-RU"/>
              </w:rPr>
            </w:pPr>
            <w:r w:rsidRPr="000415BE">
              <w:rPr>
                <w:rStyle w:val="Strong"/>
                <w:lang w:val="ru-RU"/>
              </w:rPr>
              <w:t>Решены ли основные риски?</w:t>
            </w:r>
          </w:p>
        </w:tc>
        <w:tc>
          <w:tcPr>
            <w:tcW w:w="5953" w:type="dxa"/>
            <w:tcBorders>
              <w:top w:val="single" w:sz="4" w:space="0" w:color="auto"/>
            </w:tcBorders>
            <w:vAlign w:val="center"/>
          </w:tcPr>
          <w:p w:rsidR="000415BE" w:rsidRDefault="000415BE" w:rsidP="000415B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0415BE">
              <w:rPr>
                <w:lang w:val="ru-RU"/>
              </w:rPr>
              <w:t xml:space="preserve">Частично. </w:t>
            </w:r>
          </w:p>
          <w:p w:rsidR="000415BE" w:rsidRDefault="000415BE" w:rsidP="000415BE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ru-RU"/>
              </w:rPr>
            </w:pPr>
            <w:r w:rsidRPr="000415BE">
              <w:rPr>
                <w:lang w:val="ru-RU"/>
              </w:rPr>
              <w:t>Инженерные подходы снизили выраженность анемии и элиминации эритроцитов, однако цитопении (тромбоцитопении и нейтропении) не устранены. Риск тяжёлых инфекций, особенно в интенсивных комбинациях, сохраняется и требует отдельной оценки для каждого препарата и режима [3,4,9–11,13,33,41].</w:t>
            </w:r>
          </w:p>
        </w:tc>
      </w:tr>
    </w:tbl>
    <w:p w:rsidR="00282110" w:rsidRDefault="00282110" w:rsidP="00282110">
      <w:pPr>
        <w:rPr>
          <w:rStyle w:val="Strong"/>
          <w:rFonts w:cs="Times New Roman"/>
          <w:sz w:val="24"/>
          <w:szCs w:val="24"/>
          <w:lang w:val="ru-RU"/>
        </w:rPr>
      </w:pPr>
      <w:r>
        <w:rPr>
          <w:rStyle w:val="Strong"/>
          <w:lang w:val="ru-RU"/>
        </w:rPr>
        <w:br w:type="page"/>
      </w:r>
    </w:p>
    <w:p w:rsidR="000415BE" w:rsidRPr="00282110" w:rsidRDefault="00282110" w:rsidP="00282110">
      <w:pPr>
        <w:pStyle w:val="Heading2"/>
        <w:rPr>
          <w:rStyle w:val="Strong"/>
          <w:b w:val="0"/>
        </w:rPr>
      </w:pPr>
      <w:r w:rsidRPr="00282110">
        <w:rPr>
          <w:rStyle w:val="Strong"/>
          <w:b w:val="0"/>
        </w:rPr>
        <w:lastRenderedPageBreak/>
        <w:t>РЕЗЮМЕ</w:t>
      </w:r>
    </w:p>
    <w:p w:rsidR="009C25E4" w:rsidRPr="009C25E4" w:rsidRDefault="009C25E4" w:rsidP="009C25E4">
      <w:pPr>
        <w:rPr>
          <w:sz w:val="24"/>
          <w:lang w:val="ru-RU"/>
        </w:rPr>
      </w:pPr>
      <w:r w:rsidRPr="009C25E4">
        <w:rPr>
          <w:lang w:val="ru-RU"/>
        </w:rPr>
        <w:t xml:space="preserve">По состоянию на 2026 год блокада оси </w:t>
      </w:r>
      <w:r>
        <w:t>CD</w:t>
      </w:r>
      <w:r w:rsidRPr="009C25E4">
        <w:rPr>
          <w:lang w:val="ru-RU"/>
        </w:rPr>
        <w:t>47–</w:t>
      </w:r>
      <w:r>
        <w:t>SIRPα</w:t>
      </w:r>
      <w:r w:rsidRPr="009C25E4">
        <w:rPr>
          <w:lang w:val="ru-RU"/>
        </w:rPr>
        <w:t xml:space="preserve"> сохраняет клинический потенциал, однако наиболее перспективные результаты пока имеют предварительный характер. Наибольший интерес представляют комбинации </w:t>
      </w:r>
      <w:r>
        <w:t>ligufalimab</w:t>
      </w:r>
      <w:r w:rsidRPr="009C25E4">
        <w:rPr>
          <w:lang w:val="ru-RU"/>
        </w:rPr>
        <w:t xml:space="preserve"> (</w:t>
      </w:r>
      <w:r>
        <w:t>AK</w:t>
      </w:r>
      <w:r w:rsidRPr="009C25E4">
        <w:rPr>
          <w:lang w:val="ru-RU"/>
        </w:rPr>
        <w:t>117) при остром миелоидном лейкозе (</w:t>
      </w:r>
      <w:r>
        <w:t>AML</w:t>
      </w:r>
      <w:r w:rsidRPr="009C25E4">
        <w:rPr>
          <w:lang w:val="ru-RU"/>
        </w:rPr>
        <w:t xml:space="preserve">) и </w:t>
      </w:r>
      <w:r>
        <w:t>evorpacept</w:t>
      </w:r>
      <w:r w:rsidRPr="009C25E4">
        <w:rPr>
          <w:lang w:val="ru-RU"/>
        </w:rPr>
        <w:t xml:space="preserve"> при </w:t>
      </w:r>
      <w:r>
        <w:t>HER</w:t>
      </w:r>
      <w:r w:rsidRPr="009C25E4">
        <w:rPr>
          <w:lang w:val="ru-RU"/>
        </w:rPr>
        <w:t>2-положительном раке желудка или гастроэзофагеального перехода.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В небольшом рандомизированном исследовании </w:t>
      </w:r>
      <w:r>
        <w:t>II</w:t>
      </w:r>
      <w:r w:rsidRPr="009C25E4">
        <w:rPr>
          <w:lang w:val="ru-RU"/>
        </w:rPr>
        <w:t xml:space="preserve"> фазы добавление </w:t>
      </w:r>
      <w:r>
        <w:t>ligufalimab</w:t>
      </w:r>
      <w:r w:rsidRPr="009C25E4">
        <w:rPr>
          <w:lang w:val="ru-RU"/>
        </w:rPr>
        <w:t xml:space="preserve"> к </w:t>
      </w:r>
      <w:r>
        <w:t>azacitidine</w:t>
      </w:r>
      <w:r w:rsidRPr="009C25E4">
        <w:rPr>
          <w:lang w:val="ru-RU"/>
        </w:rPr>
        <w:t xml:space="preserve"> и </w:t>
      </w:r>
      <w:r>
        <w:t>venetoclax</w:t>
      </w:r>
      <w:r w:rsidRPr="009C25E4">
        <w:rPr>
          <w:lang w:val="ru-RU"/>
        </w:rPr>
        <w:t xml:space="preserve"> у пациентов с впервые диагностированным </w:t>
      </w:r>
      <w:r>
        <w:t>AML</w:t>
      </w:r>
      <w:r w:rsidRPr="009C25E4">
        <w:rPr>
          <w:lang w:val="ru-RU"/>
        </w:rPr>
        <w:t xml:space="preserve">, непригодных для интенсивной химиотерапии, сопровождалось увеличением медианы бессобытийной выживаемости с 6,9 до 9,1 месяца при </w:t>
      </w:r>
      <w:r>
        <w:t>HR</w:t>
      </w:r>
      <w:r w:rsidRPr="009C25E4">
        <w:rPr>
          <w:lang w:val="ru-RU"/>
        </w:rPr>
        <w:t xml:space="preserve"> около 0,46. Результат указывает на возможное клинически значимое снижение риска прогрессирования, рецидива или смерти. Вместе с тем ограниченная выборка, недостаточная зрелость данных и отсутствие полного рецензируемого анализа общей выживаемости пока не позволяют считать эффект подтверждённым.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В исследовании </w:t>
      </w:r>
      <w:r>
        <w:t>ASPEN</w:t>
      </w:r>
      <w:r w:rsidRPr="009C25E4">
        <w:rPr>
          <w:lang w:val="ru-RU"/>
        </w:rPr>
        <w:t xml:space="preserve">-06 добавление </w:t>
      </w:r>
      <w:r>
        <w:t>evorpacept</w:t>
      </w:r>
      <w:r w:rsidRPr="009C25E4">
        <w:rPr>
          <w:lang w:val="ru-RU"/>
        </w:rPr>
        <w:t xml:space="preserve"> к </w:t>
      </w:r>
      <w:r>
        <w:t>HER</w:t>
      </w:r>
      <w:r w:rsidRPr="009C25E4">
        <w:rPr>
          <w:lang w:val="ru-RU"/>
        </w:rPr>
        <w:t xml:space="preserve">2-направленной терапии при ранее леченном </w:t>
      </w:r>
      <w:r>
        <w:t>HER</w:t>
      </w:r>
      <w:r w:rsidRPr="009C25E4">
        <w:rPr>
          <w:lang w:val="ru-RU"/>
        </w:rPr>
        <w:t xml:space="preserve">2-положительном раке желудка или гастроэзофагеального перехода повысило частоту объективного ответа с 26,6 до 41,3%. Однако медиана выживаемости без прогрессирования практически не различалась и составила 7,5 против 7,4 месяца, </w:t>
      </w:r>
      <w:r>
        <w:t>HR</w:t>
      </w:r>
      <w:r w:rsidRPr="009C25E4">
        <w:rPr>
          <w:lang w:val="ru-RU"/>
        </w:rPr>
        <w:t xml:space="preserve"> 0,77. Планировавшаяся часть </w:t>
      </w:r>
      <w:r>
        <w:t>III</w:t>
      </w:r>
      <w:r w:rsidRPr="009C25E4">
        <w:rPr>
          <w:lang w:val="ru-RU"/>
        </w:rPr>
        <w:t xml:space="preserve"> фазы не была продолжена по стратегическим причинам, что само по себе не доказывает фармакологическую неэффективность препарата. Таким образом, результаты </w:t>
      </w:r>
      <w:r>
        <w:t>ligufalimab</w:t>
      </w:r>
      <w:r w:rsidRPr="009C25E4">
        <w:rPr>
          <w:lang w:val="ru-RU"/>
        </w:rPr>
        <w:t xml:space="preserve"> и </w:t>
      </w:r>
      <w:r>
        <w:t>evorpacept</w:t>
      </w:r>
      <w:r w:rsidRPr="009C25E4">
        <w:rPr>
          <w:lang w:val="ru-RU"/>
        </w:rPr>
        <w:t xml:space="preserve"> подтверждают наличие противоопухолевой активности, но пока не устанавливают устойчивого преимущества по клинически значимым исходам [4–6].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Несмотря на эти положительные сигналы, ни для одного онкологического показания эффективность блокады </w:t>
      </w:r>
      <w:r>
        <w:t>CD</w:t>
      </w:r>
      <w:r w:rsidRPr="009C25E4">
        <w:rPr>
          <w:lang w:val="ru-RU"/>
        </w:rPr>
        <w:t xml:space="preserve">47 не подтверждена зрелым рандомизированным исследованием. В настоящее время отсутствует режим, для которого добавление </w:t>
      </w:r>
      <w:r>
        <w:t>anti</w:t>
      </w:r>
      <w:r w:rsidRPr="009C25E4">
        <w:rPr>
          <w:lang w:val="ru-RU"/>
        </w:rPr>
        <w:t>-</w:t>
      </w:r>
      <w:r>
        <w:t>CD</w:t>
      </w:r>
      <w:r w:rsidRPr="009C25E4">
        <w:rPr>
          <w:lang w:val="ru-RU"/>
        </w:rPr>
        <w:t xml:space="preserve">47-терапии обеспечивало бы </w:t>
      </w:r>
      <w:r w:rsidRPr="009C25E4">
        <w:rPr>
          <w:lang w:val="ru-RU"/>
        </w:rPr>
        <w:lastRenderedPageBreak/>
        <w:t>статистически и клинически убедительное улучшение выживаемости или другого значимого для пациента исхода по сравнению с адекватной стандартной терапией.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Наиболее зрелые данные получены для </w:t>
      </w:r>
      <w:r>
        <w:t>magrolimab</w:t>
      </w:r>
      <w:r w:rsidRPr="009C25E4">
        <w:rPr>
          <w:lang w:val="ru-RU"/>
        </w:rPr>
        <w:t xml:space="preserve"> и являются убедительно отрицательными. В трёх исследованиях </w:t>
      </w:r>
      <w:r>
        <w:t>III</w:t>
      </w:r>
      <w:r w:rsidRPr="009C25E4">
        <w:rPr>
          <w:lang w:val="ru-RU"/>
        </w:rPr>
        <w:t xml:space="preserve"> фазы препарат не улучшил результаты лечения миелодиспластических неоплазий высокого риска, </w:t>
      </w:r>
      <w:r>
        <w:t>TP</w:t>
      </w:r>
      <w:r w:rsidRPr="009C25E4">
        <w:rPr>
          <w:lang w:val="ru-RU"/>
        </w:rPr>
        <w:t xml:space="preserve">53-мутированного </w:t>
      </w:r>
      <w:r>
        <w:t>AML</w:t>
      </w:r>
      <w:r w:rsidRPr="009C25E4">
        <w:rPr>
          <w:lang w:val="ru-RU"/>
        </w:rPr>
        <w:t xml:space="preserve"> и впервые диагностированного </w:t>
      </w:r>
      <w:r>
        <w:t>AML</w:t>
      </w:r>
      <w:r w:rsidRPr="009C25E4">
        <w:rPr>
          <w:lang w:val="ru-RU"/>
        </w:rPr>
        <w:t xml:space="preserve"> у пациентов, непригодных для интенсивной химиотерапии. В исследовании </w:t>
      </w:r>
      <w:r>
        <w:t>ENHANCE</w:t>
      </w:r>
      <w:r w:rsidRPr="009C25E4">
        <w:rPr>
          <w:lang w:val="ru-RU"/>
        </w:rPr>
        <w:t xml:space="preserve"> частота полной ремиссии при добавлении </w:t>
      </w:r>
      <w:r>
        <w:t>magrolimab</w:t>
      </w:r>
      <w:r w:rsidRPr="009C25E4">
        <w:rPr>
          <w:lang w:val="ru-RU"/>
        </w:rPr>
        <w:t xml:space="preserve"> к </w:t>
      </w:r>
      <w:r>
        <w:t>azacitidine</w:t>
      </w:r>
      <w:r w:rsidRPr="009C25E4">
        <w:rPr>
          <w:lang w:val="ru-RU"/>
        </w:rPr>
        <w:t xml:space="preserve"> составила 21,3% против 23,6% в контрольной группе, а медиана общей выживаемости — 15,9 против 18,6 месяца, </w:t>
      </w:r>
      <w:r>
        <w:t>HR</w:t>
      </w:r>
      <w:r w:rsidRPr="009C25E4">
        <w:rPr>
          <w:lang w:val="ru-RU"/>
        </w:rPr>
        <w:t xml:space="preserve"> 1,203. В </w:t>
      </w:r>
      <w:r>
        <w:t>ENHANCE</w:t>
      </w:r>
      <w:r w:rsidRPr="009C25E4">
        <w:rPr>
          <w:lang w:val="ru-RU"/>
        </w:rPr>
        <w:t xml:space="preserve">-3 комбинация </w:t>
      </w:r>
      <w:r>
        <w:t>magrolimab</w:t>
      </w:r>
      <w:r w:rsidRPr="009C25E4">
        <w:rPr>
          <w:lang w:val="ru-RU"/>
        </w:rPr>
        <w:t xml:space="preserve">, </w:t>
      </w:r>
      <w:r>
        <w:t>venetoclax</w:t>
      </w:r>
      <w:r w:rsidRPr="009C25E4">
        <w:rPr>
          <w:lang w:val="ru-RU"/>
        </w:rPr>
        <w:t xml:space="preserve"> и </w:t>
      </w:r>
      <w:r>
        <w:t>azacitidine</w:t>
      </w:r>
      <w:r w:rsidRPr="009C25E4">
        <w:rPr>
          <w:lang w:val="ru-RU"/>
        </w:rPr>
        <w:t xml:space="preserve"> также не обеспечила преимущества: медиана общей выживаемости составила 10,7 против 14,1 месяца, </w:t>
      </w:r>
      <w:r>
        <w:t>HR</w:t>
      </w:r>
      <w:r w:rsidRPr="009C25E4">
        <w:rPr>
          <w:lang w:val="ru-RU"/>
        </w:rPr>
        <w:t xml:space="preserve"> 1,178. Одновременно частота фатальных нежелательных явлений увеличилась с 11,4 до 19,0% [1–3]. Эти результаты свидетельствуют об отсутствии клинической пользы изученных режимов </w:t>
      </w:r>
      <w:r>
        <w:t>magrolimab</w:t>
      </w:r>
      <w:r w:rsidRPr="009C25E4">
        <w:rPr>
          <w:lang w:val="ru-RU"/>
        </w:rPr>
        <w:t xml:space="preserve"> при </w:t>
      </w:r>
      <w:r>
        <w:t>MDS</w:t>
      </w:r>
      <w:r w:rsidRPr="009C25E4">
        <w:rPr>
          <w:lang w:val="ru-RU"/>
        </w:rPr>
        <w:t xml:space="preserve"> и </w:t>
      </w:r>
      <w:r>
        <w:t>AML</w:t>
      </w:r>
      <w:r w:rsidRPr="009C25E4">
        <w:rPr>
          <w:lang w:val="ru-RU"/>
        </w:rPr>
        <w:t xml:space="preserve"> и о неблагоприятном соотношении пользы и риска для отдельных комбинаций.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В солидных опухолях наиболее последовательные отрицательные результаты получены при рецидивирующем или метастатическом плоскоклеточном раке головы и шеи. Два независимых рандомизированных исследования </w:t>
      </w:r>
      <w:r>
        <w:t>evorpacept</w:t>
      </w:r>
      <w:r w:rsidRPr="009C25E4">
        <w:rPr>
          <w:lang w:val="ru-RU"/>
        </w:rPr>
        <w:t xml:space="preserve">, </w:t>
      </w:r>
      <w:r>
        <w:t>ASPEN</w:t>
      </w:r>
      <w:r w:rsidRPr="009C25E4">
        <w:rPr>
          <w:lang w:val="ru-RU"/>
        </w:rPr>
        <w:t xml:space="preserve">-03 и </w:t>
      </w:r>
      <w:r>
        <w:t>ASPEN</w:t>
      </w:r>
      <w:r w:rsidRPr="009C25E4">
        <w:rPr>
          <w:lang w:val="ru-RU"/>
        </w:rPr>
        <w:t xml:space="preserve">-04, не достигли первичных целей и не продемонстрировали убедительного улучшения выживаемости без прогрессирования или общей выживаемости при добавлении препарата к терапии на основе ингибиторов </w:t>
      </w:r>
      <w:r>
        <w:t>PD</w:t>
      </w:r>
      <w:r w:rsidRPr="009C25E4">
        <w:rPr>
          <w:lang w:val="ru-RU"/>
        </w:rPr>
        <w:t>-1 [7]. Совпадение результатов двух исследований существенно снижает вероятность клинически значимого дополнительного эффекта в данной популяции.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Дополнительный отрицательный сравнительный сигнал получен в исследовании </w:t>
      </w:r>
      <w:r>
        <w:t>ELEVATE</w:t>
      </w:r>
      <w:r w:rsidRPr="009C25E4">
        <w:rPr>
          <w:lang w:val="ru-RU"/>
        </w:rPr>
        <w:t xml:space="preserve"> </w:t>
      </w:r>
      <w:r>
        <w:t>CRC</w:t>
      </w:r>
      <w:r w:rsidRPr="009C25E4">
        <w:rPr>
          <w:lang w:val="ru-RU"/>
        </w:rPr>
        <w:t xml:space="preserve"> при метастатическом колоректальном раке. </w:t>
      </w:r>
      <w:r w:rsidRPr="009C25E4">
        <w:rPr>
          <w:lang w:val="ru-RU"/>
        </w:rPr>
        <w:lastRenderedPageBreak/>
        <w:t xml:space="preserve">Комбинация </w:t>
      </w:r>
      <w:r>
        <w:t>magrolimab</w:t>
      </w:r>
      <w:r w:rsidRPr="009C25E4">
        <w:rPr>
          <w:lang w:val="ru-RU"/>
        </w:rPr>
        <w:t xml:space="preserve"> с </w:t>
      </w:r>
      <w:r>
        <w:t>bevacizumab</w:t>
      </w:r>
      <w:r w:rsidRPr="009C25E4">
        <w:rPr>
          <w:lang w:val="ru-RU"/>
        </w:rPr>
        <w:t>-</w:t>
      </w:r>
      <w:r>
        <w:t>FOLFIRI</w:t>
      </w:r>
      <w:r w:rsidRPr="009C25E4">
        <w:rPr>
          <w:lang w:val="ru-RU"/>
        </w:rPr>
        <w:t xml:space="preserve"> обеспечила медиану выживаемости без прогрессирования 6,2 месяца против 6,7 месяца в контрольной группе, </w:t>
      </w:r>
      <w:r>
        <w:t>HR</w:t>
      </w:r>
      <w:r w:rsidRPr="009C25E4">
        <w:rPr>
          <w:lang w:val="ru-RU"/>
        </w:rPr>
        <w:t xml:space="preserve"> 0,956, при увеличении частоты нежелательных явлений степени 3 и выше с 52,4 до 72,7%. Однако исследование было прекращено после включения 67 из приблизительно 117 запланированных пациентов, поэтому его статистическая точность ограничена. Полученные данные не указывают на пользу </w:t>
      </w:r>
      <w:r>
        <w:t>magrolimab</w:t>
      </w:r>
      <w:r w:rsidRPr="009C25E4">
        <w:rPr>
          <w:lang w:val="ru-RU"/>
        </w:rPr>
        <w:t>, но недостаточны для окончательного вывода об отсутствии любого эффекта в этой популяции [8].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Основным установленным </w:t>
      </w:r>
      <w:r>
        <w:t>on</w:t>
      </w:r>
      <w:r w:rsidRPr="009C25E4">
        <w:rPr>
          <w:lang w:val="ru-RU"/>
        </w:rPr>
        <w:t>-</w:t>
      </w:r>
      <w:r>
        <w:t>target</w:t>
      </w:r>
      <w:r w:rsidRPr="009C25E4">
        <w:rPr>
          <w:lang w:val="ru-RU"/>
        </w:rPr>
        <w:t xml:space="preserve"> риском системных препаратов, непосредственно связывающих </w:t>
      </w:r>
      <w:r>
        <w:t>CD</w:t>
      </w:r>
      <w:r w:rsidRPr="009C25E4">
        <w:rPr>
          <w:lang w:val="ru-RU"/>
        </w:rPr>
        <w:t xml:space="preserve">47, остаётся анемия. </w:t>
      </w:r>
      <w:r>
        <w:t>CD</w:t>
      </w:r>
      <w:r w:rsidRPr="009C25E4">
        <w:rPr>
          <w:lang w:val="ru-RU"/>
        </w:rPr>
        <w:t>47 экспрессируется на нормальных эритроцитах, поэтому его блокада способствует их преимущественно экстрав</w:t>
      </w:r>
      <w:r>
        <w:t>ascular</w:t>
      </w:r>
      <w:r w:rsidRPr="009C25E4">
        <w:rPr>
          <w:lang w:val="ru-RU"/>
        </w:rPr>
        <w:t xml:space="preserve"> удалению макрофагами и создаёт выраженный антигенный «резервуар». Применение праймирующей дозы </w:t>
      </w:r>
      <w:r>
        <w:t>magrolimab</w:t>
      </w:r>
      <w:r w:rsidRPr="009C25E4">
        <w:rPr>
          <w:lang w:val="ru-RU"/>
        </w:rPr>
        <w:t xml:space="preserve"> уменьшало повторные резкие снижения гемоглобина, но не устраняло сам механизм элиминации эритроцитов.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t xml:space="preserve">Профиль других цитопений зависит от молекулярной конструкции препарата. Например, </w:t>
      </w:r>
      <w:r>
        <w:t>TTI</w:t>
      </w:r>
      <w:r w:rsidRPr="009C25E4">
        <w:rPr>
          <w:lang w:val="ru-RU"/>
        </w:rPr>
        <w:t xml:space="preserve">-621 минимально связывался с эритроцитами, однако наличие активного </w:t>
      </w:r>
      <w:r>
        <w:t>IgG</w:t>
      </w:r>
      <w:r w:rsidRPr="009C25E4">
        <w:rPr>
          <w:lang w:val="ru-RU"/>
        </w:rPr>
        <w:t xml:space="preserve">1 </w:t>
      </w:r>
      <w:r>
        <w:t>Fc</w:t>
      </w:r>
      <w:r w:rsidRPr="009C25E4">
        <w:rPr>
          <w:lang w:val="ru-RU"/>
        </w:rPr>
        <w:t xml:space="preserve"> сопровождалось выраженной обратимой тромбоцитопенией степени 3 и выше примерно у 20% пациентов. Нейтропения и другие цитопении при </w:t>
      </w:r>
      <w:r>
        <w:t>MDS</w:t>
      </w:r>
      <w:r w:rsidRPr="009C25E4">
        <w:rPr>
          <w:lang w:val="ru-RU"/>
        </w:rPr>
        <w:t xml:space="preserve"> и </w:t>
      </w:r>
      <w:r>
        <w:t>AML</w:t>
      </w:r>
      <w:r w:rsidRPr="009C25E4">
        <w:rPr>
          <w:lang w:val="ru-RU"/>
        </w:rPr>
        <w:t xml:space="preserve"> имеют многофакторное происхождение и могут быть связаны как с основным заболеванием, так и с </w:t>
      </w:r>
      <w:r>
        <w:t>azacitidine</w:t>
      </w:r>
      <w:r w:rsidRPr="009C25E4">
        <w:rPr>
          <w:lang w:val="ru-RU"/>
        </w:rPr>
        <w:t xml:space="preserve">, </w:t>
      </w:r>
      <w:r>
        <w:t>venetoclax</w:t>
      </w:r>
      <w:r w:rsidRPr="009C25E4">
        <w:rPr>
          <w:lang w:val="ru-RU"/>
        </w:rPr>
        <w:t xml:space="preserve"> и другими компонентами комбинированной терапии. </w:t>
      </w:r>
      <w:r>
        <w:t>Fc</w:t>
      </w:r>
      <w:r w:rsidRPr="009C25E4">
        <w:rPr>
          <w:lang w:val="ru-RU"/>
        </w:rPr>
        <w:t xml:space="preserve">-неактивные и </w:t>
      </w:r>
      <w:r>
        <w:t>RBC</w:t>
      </w:r>
      <w:r w:rsidRPr="009C25E4">
        <w:rPr>
          <w:lang w:val="ru-RU"/>
        </w:rPr>
        <w:t>-</w:t>
      </w:r>
      <w:r>
        <w:t>sparing</w:t>
      </w:r>
      <w:r w:rsidRPr="009C25E4">
        <w:rPr>
          <w:lang w:val="ru-RU"/>
        </w:rPr>
        <w:t xml:space="preserve"> конструкции снизили риск ранней тяжёлой анемии, однако цитопении и инфузионные реакции полностью не устранены. Риск инфекционных осложнений также сохраняется, особенно в интенсивных комбинационных режимах. Пока не доказано, что улучшение гематологической безопасности новых конструкций сопровождается увеличением общей выживаемости или улучшением совокупного соотношения пользы и риска [9–12].</w:t>
      </w:r>
    </w:p>
    <w:p w:rsidR="009C25E4" w:rsidRPr="009C25E4" w:rsidRDefault="009C25E4" w:rsidP="009C25E4">
      <w:pPr>
        <w:rPr>
          <w:lang w:val="ru-RU"/>
        </w:rPr>
      </w:pPr>
      <w:r w:rsidRPr="009C25E4">
        <w:rPr>
          <w:lang w:val="ru-RU"/>
        </w:rPr>
        <w:lastRenderedPageBreak/>
        <w:t xml:space="preserve">В целом клинические данные подтверждают, что блокада </w:t>
      </w:r>
      <w:r>
        <w:t>CD</w:t>
      </w:r>
      <w:r w:rsidRPr="009C25E4">
        <w:rPr>
          <w:lang w:val="ru-RU"/>
        </w:rPr>
        <w:t>47–</w:t>
      </w:r>
      <w:r>
        <w:t>SIRPα</w:t>
      </w:r>
      <w:r w:rsidRPr="009C25E4">
        <w:rPr>
          <w:lang w:val="ru-RU"/>
        </w:rPr>
        <w:t xml:space="preserve"> способна индуцировать противоопухолевые ответы у человека. Однако воспроизводимое преимущество перед стандартной терапией пока не доказано. Наиболее перспективные современные результаты следует рассматривать как гипотезообразующие и требующие подтверждения в полноценных рандомизированных исследованиях с достаточной выборкой и зрелыми данными по выживаемости. Напротив, результаты </w:t>
      </w:r>
      <w:r>
        <w:t>magrolimab</w:t>
      </w:r>
      <w:r w:rsidRPr="009C25E4">
        <w:rPr>
          <w:lang w:val="ru-RU"/>
        </w:rPr>
        <w:t xml:space="preserve"> при </w:t>
      </w:r>
      <w:r>
        <w:t>MDS</w:t>
      </w:r>
      <w:r w:rsidRPr="009C25E4">
        <w:rPr>
          <w:lang w:val="ru-RU"/>
        </w:rPr>
        <w:t xml:space="preserve"> и </w:t>
      </w:r>
      <w:r>
        <w:t>AML</w:t>
      </w:r>
      <w:r w:rsidRPr="009C25E4">
        <w:rPr>
          <w:lang w:val="ru-RU"/>
        </w:rPr>
        <w:t xml:space="preserve"> убедительно показывают, что выраженная биологическая активность и высокая частота ответа в ранних неконтролируемых исследованиях не гарантируют клинической пользы. После серии отрицательных исследований доказательные требования к новым препаратам этого класса должны включать не только увеличение частоты ответа, но и подтверждённое улучшение продолжительности ответа, выживаемости и общего профиля безопасности.</w:t>
      </w:r>
    </w:p>
    <w:p w:rsidR="006042C8" w:rsidRPr="009925BE" w:rsidRDefault="009925BE">
      <w:pPr>
        <w:rPr>
          <w:sz w:val="24"/>
          <w:szCs w:val="24"/>
          <w:lang w:val="ru-RU"/>
        </w:rPr>
      </w:pPr>
      <w:r w:rsidRPr="009925BE">
        <w:rPr>
          <w:sz w:val="24"/>
          <w:szCs w:val="24"/>
          <w:lang w:val="ru-RU"/>
        </w:rPr>
        <w:t>.</w:t>
      </w:r>
    </w:p>
    <w:p w:rsidR="009925BE" w:rsidRDefault="009925BE" w:rsidP="009925BE">
      <w:pPr>
        <w:ind w:firstLine="0"/>
        <w:rPr>
          <w:sz w:val="24"/>
          <w:szCs w:val="24"/>
          <w:lang w:val="ru-RU"/>
        </w:rPr>
        <w:sectPr w:rsidR="009925BE" w:rsidSect="00034616">
          <w:footerReference w:type="default" r:id="rId8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6042C8" w:rsidRPr="000415BE" w:rsidRDefault="009925BE" w:rsidP="000415BE">
      <w:pPr>
        <w:pStyle w:val="Heading2"/>
      </w:pPr>
      <w:r w:rsidRPr="000415BE">
        <w:lastRenderedPageBreak/>
        <w:t>ЛАНДШАФТ ПРЕПАРАТОВ И МАТРИЦА ЭФФЕКТИВНОСТИ</w:t>
      </w:r>
    </w:p>
    <w:tbl>
      <w:tblPr>
        <w:tblStyle w:val="TableGrid"/>
        <w:tblW w:w="1496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17"/>
        <w:gridCol w:w="1963"/>
        <w:gridCol w:w="2151"/>
        <w:gridCol w:w="774"/>
        <w:gridCol w:w="2430"/>
        <w:gridCol w:w="3600"/>
        <w:gridCol w:w="1610"/>
        <w:gridCol w:w="820"/>
      </w:tblGrid>
      <w:tr w:rsidR="00B36E39" w:rsidRPr="00B36E39" w:rsidTr="00DF0B0B">
        <w:trPr>
          <w:tblHeader/>
        </w:trPr>
        <w:tc>
          <w:tcPr>
            <w:tcW w:w="1617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Препарат</w:t>
            </w:r>
          </w:p>
        </w:tc>
        <w:tc>
          <w:tcPr>
            <w:tcW w:w="1963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Формат / мишень</w:t>
            </w:r>
          </w:p>
        </w:tc>
        <w:tc>
          <w:tcPr>
            <w:tcW w:w="2151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Ключевая особенность</w:t>
            </w:r>
          </w:p>
        </w:tc>
        <w:tc>
          <w:tcPr>
            <w:tcW w:w="774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 xml:space="preserve">Фаза </w:t>
            </w:r>
          </w:p>
        </w:tc>
        <w:tc>
          <w:tcPr>
            <w:tcW w:w="2430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Популяция</w:t>
            </w:r>
          </w:p>
        </w:tc>
        <w:tc>
          <w:tcPr>
            <w:tcW w:w="3600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Результат</w:t>
            </w:r>
          </w:p>
        </w:tc>
        <w:tc>
          <w:tcPr>
            <w:tcW w:w="1610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Статус разработки</w:t>
            </w:r>
          </w:p>
        </w:tc>
        <w:tc>
          <w:tcPr>
            <w:tcW w:w="820" w:type="dxa"/>
            <w:shd w:val="clear" w:color="auto" w:fill="D9D9D9" w:themeFill="background1" w:themeFillShade="D9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</w:p>
        </w:tc>
      </w:tr>
      <w:tr w:rsidR="00B36E39" w:rsidRPr="00B36E39" w:rsidTr="00B36E39">
        <w:tc>
          <w:tcPr>
            <w:tcW w:w="1617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Magrolimab (Hu5F9-G4)</w:t>
            </w:r>
          </w:p>
        </w:tc>
        <w:tc>
          <w:tcPr>
            <w:tcW w:w="1963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Гуманизированное 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47, </w:t>
            </w:r>
            <w:r w:rsidRPr="00B36E39">
              <w:rPr>
                <w:rFonts w:cs="Times New Roman"/>
                <w:sz w:val="20"/>
                <w:szCs w:val="20"/>
              </w:rPr>
              <w:t>IgG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2151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Сильное связывание с эритроцитами; требуется прайминг-доза для снижения анемии</w:t>
            </w:r>
          </w:p>
        </w:tc>
        <w:tc>
          <w:tcPr>
            <w:tcW w:w="774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III</w:t>
            </w:r>
          </w:p>
        </w:tc>
        <w:tc>
          <w:tcPr>
            <w:tcW w:w="2430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Миелодиспластический синдром высокого риска; ОМЛ с </w:t>
            </w:r>
            <w:r w:rsidRPr="00B36E39">
              <w:rPr>
                <w:rFonts w:cs="Times New Roman"/>
                <w:sz w:val="20"/>
                <w:szCs w:val="20"/>
              </w:rPr>
              <w:t>TP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53-мутацией; ОМЛ у пациентов, непригодных для интенсивной терапии</w:t>
            </w:r>
          </w:p>
        </w:tc>
        <w:tc>
          <w:tcPr>
            <w:tcW w:w="3600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В исследованиях </w:t>
            </w:r>
            <w:r w:rsidRPr="00B36E39">
              <w:rPr>
                <w:rFonts w:cs="Times New Roman"/>
                <w:sz w:val="20"/>
                <w:szCs w:val="20"/>
              </w:rPr>
              <w:t>III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фазы преимущество не подтверждено. </w:t>
            </w:r>
            <w:r w:rsidRPr="00B36E39">
              <w:rPr>
                <w:rFonts w:cs="Times New Roman"/>
                <w:sz w:val="20"/>
                <w:szCs w:val="20"/>
              </w:rPr>
              <w:t>MDS: CR 21,3% vs 23,6%; OS 15,9 vs 18,6 мес., HR 1,203. AML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Pr="00B36E39">
              <w:rPr>
                <w:rFonts w:cs="Times New Roman"/>
                <w:sz w:val="20"/>
                <w:szCs w:val="20"/>
              </w:rPr>
              <w:t>TP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53: отсутствует преимущество по </w:t>
            </w:r>
            <w:r w:rsidRPr="00B36E39">
              <w:rPr>
                <w:rFonts w:cs="Times New Roman"/>
                <w:sz w:val="20"/>
                <w:szCs w:val="20"/>
              </w:rPr>
              <w:t>OS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. </w:t>
            </w:r>
            <w:r w:rsidRPr="00B36E39">
              <w:rPr>
                <w:rFonts w:cs="Times New Roman"/>
                <w:sz w:val="20"/>
                <w:szCs w:val="20"/>
              </w:rPr>
              <w:t>AML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Pr="00B36E39">
              <w:rPr>
                <w:rFonts w:cs="Times New Roman"/>
                <w:sz w:val="20"/>
                <w:szCs w:val="20"/>
              </w:rPr>
              <w:t>unfit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: </w:t>
            </w:r>
            <w:r w:rsidRPr="00B36E39">
              <w:rPr>
                <w:rFonts w:cs="Times New Roman"/>
                <w:sz w:val="20"/>
                <w:szCs w:val="20"/>
              </w:rPr>
              <w:t>OS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10,7 </w:t>
            </w:r>
            <w:r w:rsidRPr="00B36E39">
              <w:rPr>
                <w:rFonts w:cs="Times New Roman"/>
                <w:sz w:val="20"/>
                <w:szCs w:val="20"/>
              </w:rPr>
              <w:t>vs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14,1 мес., больше летальных нежелательных явлений</w:t>
            </w:r>
          </w:p>
        </w:tc>
        <w:tc>
          <w:tcPr>
            <w:tcW w:w="1610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Разработка в основных показаниях прекращена</w:t>
            </w:r>
          </w:p>
        </w:tc>
        <w:tc>
          <w:tcPr>
            <w:tcW w:w="820" w:type="dxa"/>
            <w:shd w:val="clear" w:color="auto" w:fill="F2DBDB" w:themeFill="accent2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[1–3]</w:t>
            </w:r>
          </w:p>
        </w:tc>
      </w:tr>
      <w:tr w:rsidR="00B36E39" w:rsidRPr="00B36E39" w:rsidTr="00B36E39">
        <w:trPr>
          <w:trHeight w:val="1871"/>
        </w:trPr>
        <w:tc>
          <w:tcPr>
            <w:tcW w:w="1617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Ligufalimab (AK117)</w:t>
            </w:r>
          </w:p>
        </w:tc>
        <w:tc>
          <w:tcPr>
            <w:tcW w:w="1963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Гуманизированное 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47, </w:t>
            </w:r>
            <w:r w:rsidRPr="00B36E39">
              <w:rPr>
                <w:rFonts w:cs="Times New Roman"/>
                <w:sz w:val="20"/>
                <w:szCs w:val="20"/>
              </w:rPr>
              <w:t>IgG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2151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Сниженное связывание с эритроцитами; низкий риск гемагглютинации; прайминг-доза не требуется</w:t>
            </w:r>
          </w:p>
        </w:tc>
        <w:tc>
          <w:tcPr>
            <w:tcW w:w="774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II</w:t>
            </w:r>
          </w:p>
        </w:tc>
        <w:tc>
          <w:tcPr>
            <w:tcW w:w="243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Впервые выявленный ОМЛ у пациентов, которым не показана интенсивная терапия; </w:t>
            </w:r>
            <w:r w:rsidRPr="00B36E39">
              <w:rPr>
                <w:rFonts w:cs="Times New Roman"/>
                <w:sz w:val="20"/>
                <w:szCs w:val="20"/>
              </w:rPr>
              <w:t>ligufalimab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+ </w:t>
            </w:r>
            <w:r w:rsidRPr="00B36E39">
              <w:rPr>
                <w:rFonts w:cs="Times New Roman"/>
                <w:sz w:val="20"/>
                <w:szCs w:val="20"/>
              </w:rPr>
              <w:t>azacitidine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+ </w:t>
            </w:r>
            <w:r w:rsidRPr="00B36E39">
              <w:rPr>
                <w:rFonts w:cs="Times New Roman"/>
                <w:sz w:val="20"/>
                <w:szCs w:val="20"/>
              </w:rPr>
              <w:t>venetoclax</w:t>
            </w:r>
          </w:p>
        </w:tc>
        <w:tc>
          <w:tcPr>
            <w:tcW w:w="360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Рандомизированное исследование </w:t>
            </w:r>
            <w:r w:rsidRPr="00B36E39">
              <w:rPr>
                <w:rFonts w:cs="Times New Roman"/>
                <w:sz w:val="20"/>
                <w:szCs w:val="20"/>
              </w:rPr>
              <w:t>II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фазы: </w:t>
            </w:r>
            <w:r w:rsidRPr="00B36E39">
              <w:rPr>
                <w:rFonts w:cs="Times New Roman"/>
                <w:sz w:val="20"/>
                <w:szCs w:val="20"/>
              </w:rPr>
              <w:t>EFS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9,1 </w:t>
            </w:r>
            <w:r w:rsidRPr="00B36E39">
              <w:rPr>
                <w:rFonts w:cs="Times New Roman"/>
                <w:sz w:val="20"/>
                <w:szCs w:val="20"/>
              </w:rPr>
              <w:t>vs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6,9 мес.; </w:t>
            </w:r>
            <w:r w:rsidRPr="00B36E39">
              <w:rPr>
                <w:rFonts w:cs="Times New Roman"/>
                <w:sz w:val="20"/>
                <w:szCs w:val="20"/>
              </w:rPr>
              <w:t>HR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≈0,46. </w:t>
            </w:r>
            <w:r w:rsidRPr="00B36E39">
              <w:rPr>
                <w:rFonts w:cs="Times New Roman"/>
                <w:sz w:val="20"/>
                <w:szCs w:val="20"/>
              </w:rPr>
              <w:t>OS незрелая. Получен предварительный сигнал эффективности</w:t>
            </w:r>
          </w:p>
        </w:tc>
        <w:tc>
          <w:tcPr>
            <w:tcW w:w="161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продолжается</w:t>
            </w:r>
          </w:p>
        </w:tc>
        <w:tc>
          <w:tcPr>
            <w:tcW w:w="82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[4]</w:t>
            </w:r>
          </w:p>
        </w:tc>
      </w:tr>
      <w:tr w:rsidR="00B36E39" w:rsidRPr="00B36E39" w:rsidTr="00B36E39">
        <w:trPr>
          <w:trHeight w:val="2033"/>
        </w:trPr>
        <w:tc>
          <w:tcPr>
            <w:tcW w:w="1617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Lemzoparlimab (TJC4)</w:t>
            </w:r>
          </w:p>
        </w:tc>
        <w:tc>
          <w:tcPr>
            <w:tcW w:w="1963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Полностью человеческое 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47</w:t>
            </w:r>
          </w:p>
        </w:tc>
        <w:tc>
          <w:tcPr>
            <w:tcW w:w="2151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Эпитопное связывание с уменьшенным взаимодействием с эритроцитами; отсутствие классической прайминг-дозы</w:t>
            </w:r>
          </w:p>
        </w:tc>
        <w:tc>
          <w:tcPr>
            <w:tcW w:w="774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I/II</w:t>
            </w:r>
          </w:p>
        </w:tc>
        <w:tc>
          <w:tcPr>
            <w:tcW w:w="243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MDS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, </w:t>
            </w:r>
            <w:r w:rsidRPr="00B36E39">
              <w:rPr>
                <w:rFonts w:cs="Times New Roman"/>
                <w:sz w:val="20"/>
                <w:szCs w:val="20"/>
              </w:rPr>
              <w:t>AML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и солидные опухоли</w:t>
            </w:r>
          </w:p>
        </w:tc>
        <w:tc>
          <w:tcPr>
            <w:tcW w:w="360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Получены ранние сигналы активности, но отсутствуют подтверждающие контролируемые данные</w:t>
            </w:r>
          </w:p>
        </w:tc>
        <w:tc>
          <w:tcPr>
            <w:tcW w:w="161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[13]</w:t>
            </w:r>
          </w:p>
        </w:tc>
      </w:tr>
      <w:tr w:rsidR="00B36E39" w:rsidRPr="00B36E39" w:rsidTr="00B36E39">
        <w:trPr>
          <w:trHeight w:val="1952"/>
        </w:trPr>
        <w:tc>
          <w:tcPr>
            <w:tcW w:w="1617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Evorpacept (ALX148)</w:t>
            </w:r>
          </w:p>
        </w:tc>
        <w:tc>
          <w:tcPr>
            <w:tcW w:w="1963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Белок-ловушка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 на основе </w:t>
            </w:r>
            <w:r w:rsidRPr="00B36E39">
              <w:rPr>
                <w:rFonts w:cs="Times New Roman"/>
                <w:sz w:val="20"/>
                <w:szCs w:val="20"/>
              </w:rPr>
              <w:t>SIRPα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с неактивным </w:t>
            </w:r>
            <w:r w:rsidRPr="00B36E39">
              <w:rPr>
                <w:rFonts w:cs="Times New Roman"/>
                <w:sz w:val="20"/>
                <w:szCs w:val="20"/>
              </w:rPr>
              <w:t>Fc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-фрагментом</w:t>
            </w:r>
          </w:p>
        </w:tc>
        <w:tc>
          <w:tcPr>
            <w:tcW w:w="2151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Блокирует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47–</w:t>
            </w:r>
            <w:r w:rsidRPr="00B36E39">
              <w:rPr>
                <w:rFonts w:cs="Times New Roman"/>
                <w:sz w:val="20"/>
                <w:szCs w:val="20"/>
              </w:rPr>
              <w:t>SIRPα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без выраженной </w:t>
            </w:r>
            <w:r w:rsidRPr="00B36E39">
              <w:rPr>
                <w:rFonts w:cs="Times New Roman"/>
                <w:sz w:val="20"/>
                <w:szCs w:val="20"/>
              </w:rPr>
              <w:t>Fc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-опосредованной токсичности</w:t>
            </w:r>
          </w:p>
        </w:tc>
        <w:tc>
          <w:tcPr>
            <w:tcW w:w="774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I/II; II</w:t>
            </w:r>
          </w:p>
        </w:tc>
        <w:tc>
          <w:tcPr>
            <w:tcW w:w="243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HNSCC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, </w:t>
            </w:r>
            <w:r w:rsidRPr="00B36E39">
              <w:rPr>
                <w:rFonts w:cs="Times New Roman"/>
                <w:sz w:val="20"/>
                <w:szCs w:val="20"/>
              </w:rPr>
              <w:t>HER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2+ рак желудка/</w:t>
            </w:r>
            <w:r w:rsidRPr="00B36E39">
              <w:rPr>
                <w:rFonts w:cs="Times New Roman"/>
                <w:sz w:val="20"/>
                <w:szCs w:val="20"/>
              </w:rPr>
              <w:t>GEJ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, рак молочной железы, лимфомы</w:t>
            </w:r>
          </w:p>
        </w:tc>
        <w:tc>
          <w:tcPr>
            <w:tcW w:w="360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HNSCC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: отрицательные рандомизированные исследования. Рак желудка: </w:t>
            </w:r>
            <w:r w:rsidRPr="00B36E39">
              <w:rPr>
                <w:rFonts w:cs="Times New Roman"/>
                <w:sz w:val="20"/>
                <w:szCs w:val="20"/>
              </w:rPr>
              <w:t>ORR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41,3% </w:t>
            </w:r>
            <w:r w:rsidRPr="00B36E39">
              <w:rPr>
                <w:rFonts w:cs="Times New Roman"/>
                <w:sz w:val="20"/>
                <w:szCs w:val="20"/>
              </w:rPr>
              <w:t>vs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26,6%, </w:t>
            </w:r>
            <w:r w:rsidRPr="00B36E39">
              <w:rPr>
                <w:rFonts w:cs="Times New Roman"/>
                <w:sz w:val="20"/>
                <w:szCs w:val="20"/>
              </w:rPr>
              <w:t>PFS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7,5 </w:t>
            </w:r>
            <w:r w:rsidRPr="00B36E39">
              <w:rPr>
                <w:rFonts w:cs="Times New Roman"/>
                <w:sz w:val="20"/>
                <w:szCs w:val="20"/>
              </w:rPr>
              <w:t>vs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7,4 мес. </w:t>
            </w:r>
            <w:r w:rsidRPr="00B36E39">
              <w:rPr>
                <w:rFonts w:cs="Times New Roman"/>
                <w:sz w:val="20"/>
                <w:szCs w:val="20"/>
              </w:rPr>
              <w:t>HER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2+ рак молочной железы: только ранние сигналы в малых подгруппах</w:t>
            </w:r>
          </w:p>
        </w:tc>
        <w:tc>
          <w:tcPr>
            <w:tcW w:w="161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Разработка продолжается </w:t>
            </w:r>
          </w:p>
        </w:tc>
        <w:tc>
          <w:tcPr>
            <w:tcW w:w="820" w:type="dxa"/>
            <w:shd w:val="clear" w:color="auto" w:fill="EAF1DD" w:themeFill="accent3" w:themeFillTint="33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[5–7,30]</w:t>
            </w:r>
          </w:p>
        </w:tc>
      </w:tr>
      <w:tr w:rsidR="00B36E39" w:rsidRPr="00B36E39" w:rsidTr="00B36E39">
        <w:trPr>
          <w:trHeight w:val="683"/>
        </w:trPr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lastRenderedPageBreak/>
              <w:t>CC-90002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Моноклональное антитело к CD47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Антитело раннего поколения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/</w:t>
            </w:r>
            <w:r w:rsidRPr="00B36E39">
              <w:rPr>
                <w:rFonts w:cs="Times New Roman"/>
                <w:sz w:val="20"/>
                <w:szCs w:val="20"/>
              </w:rPr>
              <w:t>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Pr="00B36E39">
              <w:rPr>
                <w:rFonts w:cs="Times New Roman"/>
                <w:sz w:val="20"/>
                <w:szCs w:val="20"/>
              </w:rPr>
              <w:t>AML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и </w:t>
            </w:r>
            <w:r w:rsidRPr="00B36E39">
              <w:rPr>
                <w:rFonts w:cs="Times New Roman"/>
                <w:sz w:val="20"/>
                <w:szCs w:val="20"/>
              </w:rPr>
              <w:t>MDS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высокого риска, </w:t>
            </w:r>
            <w:r w:rsidRPr="00B36E39">
              <w:rPr>
                <w:rFonts w:cs="Times New Roman"/>
                <w:sz w:val="20"/>
                <w:szCs w:val="20"/>
              </w:rPr>
              <w:t>n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=28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0 объективных ответов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[14]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SRF231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Полностью человеческое 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47, </w:t>
            </w:r>
            <w:r w:rsidRPr="00B36E39">
              <w:rPr>
                <w:rFonts w:cs="Times New Roman"/>
                <w:sz w:val="20"/>
                <w:szCs w:val="20"/>
              </w:rPr>
              <w:t>IgG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Оптимизированная </w:t>
            </w:r>
            <w:r w:rsidRPr="00B36E39">
              <w:rPr>
                <w:rFonts w:cs="Times New Roman"/>
                <w:sz w:val="20"/>
                <w:szCs w:val="20"/>
              </w:rPr>
              <w:t>Fc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-функция; сниженное взаимодействие с нормальными клетками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Распространённые солидные опухоли, </w:t>
            </w:r>
            <w:r w:rsidRPr="00B36E39">
              <w:rPr>
                <w:rFonts w:cs="Times New Roman"/>
                <w:sz w:val="20"/>
                <w:szCs w:val="20"/>
              </w:rPr>
              <w:t>n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=37 оценённых пациентов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0 </w:t>
            </w:r>
            <w:r w:rsidRPr="00B36E39">
              <w:rPr>
                <w:rFonts w:cs="Times New Roman"/>
                <w:sz w:val="20"/>
                <w:szCs w:val="20"/>
              </w:rPr>
              <w:t>CR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/</w:t>
            </w:r>
            <w:r w:rsidRPr="00B36E39">
              <w:rPr>
                <w:rFonts w:cs="Times New Roman"/>
                <w:sz w:val="20"/>
                <w:szCs w:val="20"/>
              </w:rPr>
              <w:t>PR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; отмечалась только стабилизация заболевания у части пациентов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[15]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AO-176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Гуманизированное 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47, </w:t>
            </w:r>
            <w:r w:rsidRPr="00B36E39">
              <w:rPr>
                <w:rFonts w:cs="Times New Roman"/>
                <w:sz w:val="20"/>
                <w:szCs w:val="20"/>
              </w:rPr>
              <w:t>IgG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2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Минимальное связывание с эритроцитами; отсутствие выраженной гемагглютинации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I/II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Солидные опухоли, множественная миелома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Единичные ответы; подтверждающих данных эффективности нет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[16]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IMC-002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Полностью человеческое 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47, </w:t>
            </w:r>
            <w:r w:rsidRPr="00B36E39">
              <w:rPr>
                <w:rFonts w:cs="Times New Roman"/>
                <w:sz w:val="20"/>
                <w:szCs w:val="20"/>
              </w:rPr>
              <w:t>IgG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Сниженное неспецифическое связывание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Распространённые опухоли, </w:t>
            </w:r>
            <w:r w:rsidRPr="00B36E39">
              <w:rPr>
                <w:rFonts w:cs="Times New Roman"/>
                <w:sz w:val="20"/>
                <w:szCs w:val="20"/>
              </w:rPr>
              <w:t>n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=12 в ранней когорте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ORR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0%; стабилизация заболевания у 6 пациентов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Ранняя разработка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[17]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ZL-1201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Моноклональное антитело к CD47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Оптимизация профиля безопасности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Распространённые опухоли; лимфомы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Зрелые данные эффективности отсутствуют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N/A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[18]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STI-6643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Полностью человеческое 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47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Предусматривалась оптимизация прайминг-дозы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Солидные опухоли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Зрелые данные эффективности отсутствуют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N/A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[19]</w:t>
            </w:r>
          </w:p>
        </w:tc>
      </w:tr>
      <w:tr w:rsidR="00B36E39" w:rsidRPr="00B36E39" w:rsidTr="00B36E39">
        <w:trPr>
          <w:trHeight w:val="773"/>
        </w:trPr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TTI-621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Фьюжн-белок SIRPα–Fc, Fc IgG1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Активный </w:t>
            </w:r>
            <w:r w:rsidRPr="00B36E39">
              <w:rPr>
                <w:rFonts w:cs="Times New Roman"/>
                <w:sz w:val="20"/>
                <w:szCs w:val="20"/>
              </w:rPr>
              <w:t>Fc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-фрагмент; усиление фагоцитоза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Лимфомы и другие гематологические опухоли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Зарегистрирована клиническая активность; тромбоцитопения ≥3 степени примерно у 20% пациентов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[10]</w:t>
            </w:r>
          </w:p>
        </w:tc>
      </w:tr>
      <w:tr w:rsidR="00B36E39" w:rsidRPr="00B36E39" w:rsidTr="00B36E39">
        <w:trPr>
          <w:trHeight w:val="881"/>
        </w:trPr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Maplirpacept (TTI-622)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Фьюжн-белок SIRPα–Fc, Fc IgG4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Сниженное связывание с эритроцитами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I/II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Лимфомы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Получены ранние ответы; подтверждающих сравнительных данных нет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[11]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LM-101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Моноклональное антитело к SIRPα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Воздействие на </w:t>
            </w:r>
            <w:r w:rsidRPr="00B36E39">
              <w:rPr>
                <w:rFonts w:cs="Times New Roman"/>
                <w:sz w:val="20"/>
                <w:szCs w:val="20"/>
              </w:rPr>
              <w:t>SIRPα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позволяет избежать прямого связывания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47 на эритроцитах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Лимфомы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ORR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17,6% при монотерапии; 50% в комбинации с </w:t>
            </w:r>
            <w:r w:rsidRPr="00B36E39">
              <w:rPr>
                <w:rFonts w:cs="Times New Roman"/>
                <w:sz w:val="20"/>
                <w:szCs w:val="20"/>
              </w:rPr>
              <w:t>rituximab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. Малые группы, вклад препарата не доказан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Ранняя разработка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[21]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lastRenderedPageBreak/>
              <w:t>GS-0189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Моноклональное антитело к SIRPα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Активность зависит от варианта </w:t>
            </w:r>
            <w:r w:rsidRPr="00B36E39">
              <w:rPr>
                <w:rFonts w:cs="Times New Roman"/>
                <w:sz w:val="20"/>
                <w:szCs w:val="20"/>
              </w:rPr>
              <w:t>SIRPα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 и аффинности связывания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Неходжкинские лимфомы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Ранняя активность преимущественно в комбинациях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[22]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BYON4228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Моноклональное антитело к </w:t>
            </w:r>
            <w:r w:rsidRPr="00B36E39">
              <w:rPr>
                <w:rFonts w:cs="Times New Roman"/>
                <w:sz w:val="20"/>
                <w:szCs w:val="20"/>
              </w:rPr>
              <w:t>SIRPα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, </w:t>
            </w:r>
            <w:r w:rsidRPr="00B36E39">
              <w:rPr>
                <w:rFonts w:cs="Times New Roman"/>
                <w:sz w:val="20"/>
                <w:szCs w:val="20"/>
              </w:rPr>
              <w:t>IgG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1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Не связывается напрямую с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47 на эритроцитах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Лимфомы и солидные опухоли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Зрелые данные эффективности отсутствуют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прекращена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[23]</w:t>
            </w:r>
          </w:p>
        </w:tc>
      </w:tr>
      <w:tr w:rsidR="00B36E39" w:rsidRPr="00B36E39" w:rsidTr="00B36E39">
        <w:tc>
          <w:tcPr>
            <w:tcW w:w="1617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b/>
                <w:bCs/>
                <w:sz w:val="20"/>
                <w:szCs w:val="20"/>
              </w:rPr>
              <w:t>Amulirafusp alfa (IMM0306)</w:t>
            </w:r>
          </w:p>
        </w:tc>
        <w:tc>
          <w:tcPr>
            <w:tcW w:w="1963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Антитело к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20, слитое с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47-связывающим доменом </w:t>
            </w:r>
            <w:r w:rsidRPr="00B36E39">
              <w:rPr>
                <w:rFonts w:cs="Times New Roman"/>
                <w:sz w:val="20"/>
                <w:szCs w:val="20"/>
              </w:rPr>
              <w:t>SIRPα</w:t>
            </w:r>
          </w:p>
        </w:tc>
        <w:tc>
          <w:tcPr>
            <w:tcW w:w="2151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Одновременное воздействие на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 xml:space="preserve">20 и блокада </w:t>
            </w:r>
            <w:r w:rsidRPr="00B36E39">
              <w:rPr>
                <w:rFonts w:cs="Times New Roman"/>
                <w:sz w:val="20"/>
                <w:szCs w:val="20"/>
              </w:rPr>
              <w:t>CD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47</w:t>
            </w:r>
          </w:p>
        </w:tc>
        <w:tc>
          <w:tcPr>
            <w:tcW w:w="774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I/II</w:t>
            </w:r>
          </w:p>
        </w:tc>
        <w:tc>
          <w:tcPr>
            <w:tcW w:w="243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</w:rPr>
              <w:t>B</w:t>
            </w:r>
            <w:r w:rsidRPr="00B36E39">
              <w:rPr>
                <w:rFonts w:cs="Times New Roman"/>
                <w:sz w:val="20"/>
                <w:szCs w:val="20"/>
                <w:lang w:val="ru-RU"/>
              </w:rPr>
              <w:t>-клеточные неходжкинские лимфомы, включая фолликулярную лимфому</w:t>
            </w:r>
          </w:p>
        </w:tc>
        <w:tc>
          <w:tcPr>
            <w:tcW w:w="360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B36E39">
              <w:rPr>
                <w:rFonts w:cs="Times New Roman"/>
                <w:sz w:val="20"/>
                <w:szCs w:val="20"/>
                <w:lang w:val="ru-RU"/>
              </w:rPr>
              <w:t>Зарегистрированы объективные ответы в ранних исследованиях; данные неконтролируемые</w:t>
            </w:r>
          </w:p>
        </w:tc>
        <w:tc>
          <w:tcPr>
            <w:tcW w:w="161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Разработка продолжается</w:t>
            </w:r>
          </w:p>
        </w:tc>
        <w:tc>
          <w:tcPr>
            <w:tcW w:w="820" w:type="dxa"/>
            <w:hideMark/>
          </w:tcPr>
          <w:p w:rsidR="00B36E39" w:rsidRPr="00B36E39" w:rsidRDefault="00B36E39" w:rsidP="00B36E39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B36E39">
              <w:rPr>
                <w:rFonts w:cs="Times New Roman"/>
                <w:sz w:val="20"/>
                <w:szCs w:val="20"/>
              </w:rPr>
              <w:t>[25]</w:t>
            </w:r>
          </w:p>
        </w:tc>
      </w:tr>
    </w:tbl>
    <w:p w:rsidR="006042C8" w:rsidRDefault="006042C8">
      <w:pPr>
        <w:rPr>
          <w:sz w:val="24"/>
          <w:szCs w:val="24"/>
          <w:lang w:val="ru-RU"/>
        </w:rPr>
      </w:pPr>
    </w:p>
    <w:p w:rsidR="00DF0B0B" w:rsidRPr="00DF0B0B" w:rsidRDefault="00DF0B0B" w:rsidP="00282110">
      <w:pPr>
        <w:rPr>
          <w:lang w:val="ru-RU"/>
        </w:rPr>
      </w:pPr>
      <w:r w:rsidRPr="00DF0B0B">
        <w:rPr>
          <w:lang w:val="ru-RU"/>
        </w:rPr>
        <w:t xml:space="preserve">При оценке препаратов, воздействующих на ось </w:t>
      </w:r>
      <w:r w:rsidRPr="00282110">
        <w:rPr>
          <w:lang w:val="ru-RU"/>
        </w:rPr>
        <w:t>CD</w:t>
      </w:r>
      <w:r w:rsidRPr="00DF0B0B">
        <w:rPr>
          <w:lang w:val="ru-RU"/>
        </w:rPr>
        <w:t>47–</w:t>
      </w:r>
      <w:r w:rsidRPr="00282110">
        <w:rPr>
          <w:lang w:val="ru-RU"/>
        </w:rPr>
        <w:t>SIRPα</w:t>
      </w:r>
      <w:r w:rsidRPr="00DF0B0B">
        <w:rPr>
          <w:lang w:val="ru-RU"/>
        </w:rPr>
        <w:t xml:space="preserve">, необходимо разделять несколько принципиально разных подходов: прямые антитела к </w:t>
      </w:r>
      <w:r w:rsidRPr="00282110">
        <w:rPr>
          <w:lang w:val="ru-RU"/>
        </w:rPr>
        <w:t>CD</w:t>
      </w:r>
      <w:r w:rsidRPr="00DF0B0B">
        <w:rPr>
          <w:lang w:val="ru-RU"/>
        </w:rPr>
        <w:t xml:space="preserve">47, </w:t>
      </w:r>
      <w:r w:rsidRPr="00282110">
        <w:rPr>
          <w:lang w:val="ru-RU"/>
        </w:rPr>
        <w:t>SIRPα</w:t>
      </w:r>
      <w:r w:rsidRPr="00DF0B0B">
        <w:rPr>
          <w:lang w:val="ru-RU"/>
        </w:rPr>
        <w:t xml:space="preserve">-декой/фьюжн-белки, связывающие </w:t>
      </w:r>
      <w:r w:rsidRPr="00282110">
        <w:rPr>
          <w:lang w:val="ru-RU"/>
        </w:rPr>
        <w:t>CD</w:t>
      </w:r>
      <w:r w:rsidRPr="00DF0B0B">
        <w:rPr>
          <w:lang w:val="ru-RU"/>
        </w:rPr>
        <w:t xml:space="preserve">47, а также препараты, направленные на </w:t>
      </w:r>
      <w:r w:rsidRPr="00282110">
        <w:rPr>
          <w:lang w:val="ru-RU"/>
        </w:rPr>
        <w:t>SIRPα</w:t>
      </w:r>
      <w:r w:rsidRPr="00DF0B0B">
        <w:rPr>
          <w:lang w:val="ru-RU"/>
        </w:rPr>
        <w:t xml:space="preserve"> или использующие биспецифические и условно активируемые конструкции. Клинические результаты одного формата не могут автоматически переноситься на другие варианты терапии, поскольку они различаются по структуре </w:t>
      </w:r>
      <w:r w:rsidRPr="00282110">
        <w:rPr>
          <w:lang w:val="ru-RU"/>
        </w:rPr>
        <w:t>Fc</w:t>
      </w:r>
      <w:r w:rsidRPr="00DF0B0B">
        <w:rPr>
          <w:lang w:val="ru-RU"/>
        </w:rPr>
        <w:t>-фрагмента, силе связывания с мишенью, взаимодействию с нормальными клетками крови и необходимости дополнительного сигнала активации фагоцитоза.</w:t>
      </w:r>
    </w:p>
    <w:p w:rsidR="00DF0B0B" w:rsidRPr="00282110" w:rsidRDefault="00DF0B0B" w:rsidP="00282110">
      <w:pPr>
        <w:rPr>
          <w:lang w:val="ru-RU"/>
        </w:rPr>
      </w:pPr>
      <w:r w:rsidRPr="00DF0B0B">
        <w:rPr>
          <w:lang w:val="ru-RU"/>
        </w:rPr>
        <w:t xml:space="preserve">Например, </w:t>
      </w:r>
      <w:r w:rsidRPr="00282110">
        <w:rPr>
          <w:lang w:val="ru-RU"/>
        </w:rPr>
        <w:t>TTI</w:t>
      </w:r>
      <w:r w:rsidRPr="00DF0B0B">
        <w:rPr>
          <w:lang w:val="ru-RU"/>
        </w:rPr>
        <w:t xml:space="preserve">-621 представляет собой фьюжн-белок </w:t>
      </w:r>
      <w:r w:rsidRPr="00282110">
        <w:rPr>
          <w:lang w:val="ru-RU"/>
        </w:rPr>
        <w:t>SIRPα</w:t>
      </w:r>
      <w:r w:rsidRPr="00DF0B0B">
        <w:rPr>
          <w:lang w:val="ru-RU"/>
        </w:rPr>
        <w:t>–</w:t>
      </w:r>
      <w:r w:rsidRPr="00282110">
        <w:rPr>
          <w:lang w:val="ru-RU"/>
        </w:rPr>
        <w:t>IgG</w:t>
      </w:r>
      <w:r w:rsidRPr="00DF0B0B">
        <w:rPr>
          <w:lang w:val="ru-RU"/>
        </w:rPr>
        <w:t xml:space="preserve">1 </w:t>
      </w:r>
      <w:r w:rsidRPr="00282110">
        <w:rPr>
          <w:lang w:val="ru-RU"/>
        </w:rPr>
        <w:t>Fc</w:t>
      </w:r>
      <w:r w:rsidRPr="00DF0B0B">
        <w:rPr>
          <w:lang w:val="ru-RU"/>
        </w:rPr>
        <w:t xml:space="preserve"> с активным </w:t>
      </w:r>
      <w:r w:rsidRPr="00282110">
        <w:rPr>
          <w:lang w:val="ru-RU"/>
        </w:rPr>
        <w:t>FcγR</w:t>
      </w:r>
      <w:r w:rsidRPr="00DF0B0B">
        <w:rPr>
          <w:lang w:val="ru-RU"/>
        </w:rPr>
        <w:t xml:space="preserve">-сигналом, тогда как </w:t>
      </w:r>
      <w:r w:rsidRPr="00282110">
        <w:rPr>
          <w:lang w:val="ru-RU"/>
        </w:rPr>
        <w:t>evorpacept</w:t>
      </w:r>
      <w:r w:rsidRPr="00DF0B0B">
        <w:rPr>
          <w:lang w:val="ru-RU"/>
        </w:rPr>
        <w:t xml:space="preserve"> является высокоаффинным блокатором </w:t>
      </w:r>
      <w:r w:rsidRPr="00282110">
        <w:rPr>
          <w:lang w:val="ru-RU"/>
        </w:rPr>
        <w:t>CD</w:t>
      </w:r>
      <w:r w:rsidRPr="00DF0B0B">
        <w:rPr>
          <w:lang w:val="ru-RU"/>
        </w:rPr>
        <w:t xml:space="preserve">47 на основе </w:t>
      </w:r>
      <w:r w:rsidRPr="00282110">
        <w:rPr>
          <w:lang w:val="ru-RU"/>
        </w:rPr>
        <w:t>SIRPα</w:t>
      </w:r>
      <w:r w:rsidRPr="00DF0B0B">
        <w:rPr>
          <w:lang w:val="ru-RU"/>
        </w:rPr>
        <w:t xml:space="preserve"> с инактивированным </w:t>
      </w:r>
      <w:r w:rsidRPr="00282110">
        <w:rPr>
          <w:lang w:val="ru-RU"/>
        </w:rPr>
        <w:t>Fc</w:t>
      </w:r>
      <w:r w:rsidRPr="00DF0B0B">
        <w:rPr>
          <w:lang w:val="ru-RU"/>
        </w:rPr>
        <w:t xml:space="preserve">-фрагментом. Эти различия могут существенно влиять как на противоопухолевую активность, так и на профиль токсичности препаратов. Поэтому отсутствие эффективности или наличие токсичности у одного класса препаратов не является достаточным основанием для вывода о неэффективности всей стратегии воздействия на ось </w:t>
      </w:r>
      <w:r w:rsidRPr="00282110">
        <w:rPr>
          <w:lang w:val="ru-RU"/>
        </w:rPr>
        <w:t>CD</w:t>
      </w:r>
      <w:r w:rsidRPr="00DF0B0B">
        <w:rPr>
          <w:lang w:val="ru-RU"/>
        </w:rPr>
        <w:t>47–</w:t>
      </w:r>
      <w:r w:rsidRPr="00282110">
        <w:rPr>
          <w:lang w:val="ru-RU"/>
        </w:rPr>
        <w:t>SIRPα</w:t>
      </w:r>
      <w:r w:rsidRPr="00DF0B0B">
        <w:rPr>
          <w:lang w:val="ru-RU"/>
        </w:rPr>
        <w:t xml:space="preserve">. </w:t>
      </w:r>
      <w:r w:rsidRPr="00282110">
        <w:rPr>
          <w:lang w:val="ru-RU"/>
        </w:rPr>
        <w:t>[10–12]</w:t>
      </w:r>
    </w:p>
    <w:tbl>
      <w:tblPr>
        <w:tblStyle w:val="TableGrid"/>
        <w:tblW w:w="1508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15"/>
        <w:gridCol w:w="1890"/>
        <w:gridCol w:w="2610"/>
        <w:gridCol w:w="6055"/>
        <w:gridCol w:w="1710"/>
      </w:tblGrid>
      <w:tr w:rsidR="00CC1D84" w:rsidRPr="00B36E39" w:rsidTr="00CC1D84">
        <w:trPr>
          <w:trHeight w:val="692"/>
        </w:trPr>
        <w:tc>
          <w:tcPr>
            <w:tcW w:w="2815" w:type="dxa"/>
            <w:hideMark/>
          </w:tcPr>
          <w:p w:rsidR="00CC1D84" w:rsidRPr="00B36E39" w:rsidRDefault="00CC1D84" w:rsidP="00A517F0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r w:rsidRPr="00B36E39">
              <w:rPr>
                <w:b/>
                <w:bCs/>
                <w:sz w:val="22"/>
                <w:szCs w:val="20"/>
              </w:rPr>
              <w:lastRenderedPageBreak/>
              <w:t>Показание</w:t>
            </w:r>
          </w:p>
        </w:tc>
        <w:tc>
          <w:tcPr>
            <w:tcW w:w="1890" w:type="dxa"/>
            <w:hideMark/>
          </w:tcPr>
          <w:p w:rsidR="00CC1D84" w:rsidRPr="00B36E39" w:rsidRDefault="00CC1D84" w:rsidP="00A517F0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  <w:lang w:val="ru-RU"/>
              </w:rPr>
            </w:pPr>
            <w:r w:rsidRPr="00B36E39">
              <w:rPr>
                <w:b/>
                <w:bCs/>
                <w:sz w:val="22"/>
                <w:szCs w:val="20"/>
                <w:lang w:val="ru-RU"/>
              </w:rPr>
              <w:t>Терапия</w:t>
            </w:r>
          </w:p>
        </w:tc>
        <w:tc>
          <w:tcPr>
            <w:tcW w:w="2610" w:type="dxa"/>
            <w:hideMark/>
          </w:tcPr>
          <w:p w:rsidR="00CC1D84" w:rsidRPr="00B36E39" w:rsidRDefault="00CC1D84" w:rsidP="00A517F0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r w:rsidRPr="00B36E39">
              <w:rPr>
                <w:b/>
                <w:bCs/>
                <w:sz w:val="22"/>
                <w:szCs w:val="20"/>
              </w:rPr>
              <w:t xml:space="preserve">Дизайн </w:t>
            </w:r>
          </w:p>
        </w:tc>
        <w:tc>
          <w:tcPr>
            <w:tcW w:w="6055" w:type="dxa"/>
            <w:hideMark/>
          </w:tcPr>
          <w:p w:rsidR="00CC1D84" w:rsidRPr="00B36E39" w:rsidRDefault="00CC1D84" w:rsidP="00A517F0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  <w:lang w:val="ru-RU"/>
              </w:rPr>
            </w:pPr>
            <w:r w:rsidRPr="00B36E39">
              <w:rPr>
                <w:b/>
                <w:bCs/>
                <w:sz w:val="22"/>
                <w:szCs w:val="20"/>
                <w:lang w:val="ru-RU"/>
              </w:rPr>
              <w:t>Результат по сравнению с контролем или базовой схемой</w:t>
            </w:r>
          </w:p>
        </w:tc>
        <w:tc>
          <w:tcPr>
            <w:tcW w:w="1710" w:type="dxa"/>
            <w:hideMark/>
          </w:tcPr>
          <w:p w:rsidR="00CC1D84" w:rsidRPr="00B36E39" w:rsidRDefault="00CC1D84" w:rsidP="00B36E39">
            <w:pPr>
              <w:spacing w:line="240" w:lineRule="auto"/>
              <w:ind w:firstLine="0"/>
              <w:jc w:val="center"/>
              <w:rPr>
                <w:b/>
                <w:bCs/>
                <w:sz w:val="22"/>
                <w:szCs w:val="20"/>
              </w:rPr>
            </w:pPr>
            <w:r w:rsidRPr="00B36E39">
              <w:rPr>
                <w:b/>
                <w:bCs/>
                <w:sz w:val="22"/>
                <w:szCs w:val="20"/>
              </w:rPr>
              <w:t xml:space="preserve">Уверенность 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ОМЛ, первая линия у пациентов, которым не показана интенсивная терапия</w:t>
            </w:r>
          </w:p>
        </w:tc>
        <w:tc>
          <w:tcPr>
            <w:tcW w:w="1890" w:type="dxa"/>
            <w:shd w:val="clear" w:color="auto" w:fill="EAF1DD" w:themeFill="accent3" w:themeFillTint="33"/>
            <w:hideMark/>
          </w:tcPr>
          <w:p w:rsidR="00CC1D84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ligufalimab</w:t>
            </w:r>
            <w:r w:rsidRPr="00A517F0">
              <w:rPr>
                <w:sz w:val="20"/>
                <w:szCs w:val="20"/>
              </w:rPr>
              <w:t xml:space="preserve"> + </w:t>
            </w:r>
          </w:p>
          <w:p w:rsidR="00CC1D84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 xml:space="preserve">azacitidine + </w:t>
            </w:r>
          </w:p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venetoclax</w:t>
            </w:r>
          </w:p>
        </w:tc>
        <w:tc>
          <w:tcPr>
            <w:tcW w:w="2610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Небольшое рандомизированное исследование 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фазы</w:t>
            </w:r>
          </w:p>
        </w:tc>
        <w:tc>
          <w:tcPr>
            <w:tcW w:w="6055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Медиана бессобытийной выживаемости: 9,1 против 6,9 мес.; </w:t>
            </w:r>
            <w:r w:rsidRPr="00A517F0">
              <w:rPr>
                <w:sz w:val="20"/>
                <w:szCs w:val="20"/>
              </w:rPr>
              <w:t>HR</w:t>
            </w:r>
            <w:r w:rsidRPr="00A517F0">
              <w:rPr>
                <w:sz w:val="20"/>
                <w:szCs w:val="20"/>
                <w:lang w:val="ru-RU"/>
              </w:rPr>
              <w:t xml:space="preserve"> ≈ 0,46. </w:t>
            </w:r>
            <w:r w:rsidRPr="00A517F0">
              <w:rPr>
                <w:sz w:val="20"/>
                <w:szCs w:val="20"/>
              </w:rPr>
              <w:t>Данные по общей выживаемости пока недостаточно зрелые [4]</w:t>
            </w:r>
          </w:p>
        </w:tc>
        <w:tc>
          <w:tcPr>
            <w:tcW w:w="1710" w:type="dxa"/>
            <w:shd w:val="clear" w:color="auto" w:fill="EAF1DD" w:themeFill="accent3" w:themeFillTint="33"/>
            <w:hideMark/>
          </w:tcPr>
          <w:p w:rsidR="00CC1D84" w:rsidRPr="00A517F0" w:rsidRDefault="00B36E39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</w:rPr>
              <w:t>HER</w:t>
            </w:r>
            <w:r w:rsidRPr="00A517F0">
              <w:rPr>
                <w:sz w:val="20"/>
                <w:szCs w:val="20"/>
                <w:lang w:val="ru-RU"/>
              </w:rPr>
              <w:t>2-положительный рак желудка или гастроэзофагеального перехода</w:t>
            </w:r>
          </w:p>
        </w:tc>
        <w:tc>
          <w:tcPr>
            <w:tcW w:w="1890" w:type="dxa"/>
            <w:shd w:val="clear" w:color="auto" w:fill="C2D69B" w:themeFill="accent3" w:themeFillTint="99"/>
            <w:hideMark/>
          </w:tcPr>
          <w:p w:rsidR="00CC1D84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evorpacept</w:t>
            </w:r>
            <w:r w:rsidRPr="00A517F0">
              <w:rPr>
                <w:sz w:val="20"/>
                <w:szCs w:val="20"/>
              </w:rPr>
              <w:t xml:space="preserve"> + trastuzumab + ramucirumab + </w:t>
            </w:r>
          </w:p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paclitaxel</w:t>
            </w:r>
          </w:p>
        </w:tc>
        <w:tc>
          <w:tcPr>
            <w:tcW w:w="2610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Рандомизированное исследование II фазы</w:t>
            </w:r>
          </w:p>
        </w:tc>
        <w:tc>
          <w:tcPr>
            <w:tcW w:w="6055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Частота объективного ответа: 41,3% против 26,6%; медиана выживаемости без прогрессирования: 7,5 против 7,4 мес.; </w:t>
            </w:r>
            <w:r w:rsidRPr="00A517F0">
              <w:rPr>
                <w:sz w:val="20"/>
                <w:szCs w:val="20"/>
              </w:rPr>
              <w:t>HR</w:t>
            </w:r>
            <w:r w:rsidRPr="00A517F0">
              <w:rPr>
                <w:sz w:val="20"/>
                <w:szCs w:val="20"/>
                <w:lang w:val="ru-RU"/>
              </w:rPr>
              <w:t xml:space="preserve"> = 0,77 [5]</w:t>
            </w:r>
          </w:p>
        </w:tc>
        <w:tc>
          <w:tcPr>
            <w:tcW w:w="1710" w:type="dxa"/>
            <w:shd w:val="clear" w:color="auto" w:fill="C2D69B" w:themeFill="accent3" w:themeFillTint="99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Индолентные </w:t>
            </w:r>
            <w:r w:rsidRPr="00A517F0">
              <w:rPr>
                <w:sz w:val="20"/>
                <w:szCs w:val="20"/>
              </w:rPr>
              <w:t>B</w:t>
            </w:r>
            <w:r w:rsidRPr="00A517F0">
              <w:rPr>
                <w:sz w:val="20"/>
                <w:szCs w:val="20"/>
                <w:lang w:val="ru-RU"/>
              </w:rPr>
              <w:t>-клеточные неходжкинские лимфомы</w:t>
            </w:r>
          </w:p>
        </w:tc>
        <w:tc>
          <w:tcPr>
            <w:tcW w:w="1890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rituximab</w:t>
            </w:r>
          </w:p>
        </w:tc>
        <w:tc>
          <w:tcPr>
            <w:tcW w:w="2610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Одногрупповое исследование </w:t>
            </w:r>
            <w:r w:rsidRPr="00A517F0">
              <w:rPr>
                <w:sz w:val="20"/>
                <w:szCs w:val="20"/>
              </w:rPr>
              <w:t>I</w:t>
            </w:r>
            <w:r w:rsidRPr="00A517F0">
              <w:rPr>
                <w:sz w:val="20"/>
                <w:szCs w:val="20"/>
                <w:lang w:val="ru-RU"/>
              </w:rPr>
              <w:t>/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фазы</w:t>
            </w:r>
          </w:p>
        </w:tc>
        <w:tc>
          <w:tcPr>
            <w:tcW w:w="6055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Частота объективного ответа около 52%, частота полного ответа около 30%. </w:t>
            </w:r>
            <w:r w:rsidRPr="00A517F0">
              <w:rPr>
                <w:sz w:val="20"/>
                <w:szCs w:val="20"/>
              </w:rPr>
              <w:t>Группы сравнения без magrolimab не было</w:t>
            </w:r>
          </w:p>
        </w:tc>
        <w:tc>
          <w:tcPr>
            <w:tcW w:w="1710" w:type="dxa"/>
            <w:shd w:val="clear" w:color="auto" w:fill="EAF1DD" w:themeFill="accent3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Низкая-средняя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П</w:t>
            </w:r>
            <w:r w:rsidRPr="00A517F0">
              <w:rPr>
                <w:sz w:val="20"/>
                <w:szCs w:val="20"/>
              </w:rPr>
              <w:t>одтипы неходжкинских лимфом</w:t>
            </w:r>
          </w:p>
        </w:tc>
        <w:tc>
          <w:tcPr>
            <w:tcW w:w="1890" w:type="dxa"/>
            <w:shd w:val="clear" w:color="auto" w:fill="EAF1DD" w:themeFill="accent3" w:themeFillTint="33"/>
            <w:hideMark/>
          </w:tcPr>
          <w:p w:rsidR="00CC1D84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TTI-621</w:t>
            </w:r>
            <w:r w:rsidRPr="00A517F0">
              <w:rPr>
                <w:sz w:val="20"/>
                <w:szCs w:val="20"/>
              </w:rPr>
              <w:t xml:space="preserve">; </w:t>
            </w:r>
            <w:r w:rsidRPr="00A517F0">
              <w:rPr>
                <w:rStyle w:val="Strong"/>
                <w:sz w:val="20"/>
                <w:szCs w:val="20"/>
              </w:rPr>
              <w:t>maplirpacept</w:t>
            </w:r>
            <w:r w:rsidRPr="00A517F0">
              <w:rPr>
                <w:sz w:val="20"/>
                <w:szCs w:val="20"/>
              </w:rPr>
              <w:t xml:space="preserve">; </w:t>
            </w:r>
          </w:p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LM-101</w:t>
            </w:r>
            <w:r w:rsidRPr="00A517F0">
              <w:rPr>
                <w:sz w:val="20"/>
                <w:szCs w:val="20"/>
              </w:rPr>
              <w:t xml:space="preserve"> + rituximab; </w:t>
            </w:r>
            <w:r w:rsidRPr="00A517F0">
              <w:rPr>
                <w:rStyle w:val="Strong"/>
                <w:sz w:val="20"/>
                <w:szCs w:val="20"/>
              </w:rPr>
              <w:t>amulirafusp</w:t>
            </w:r>
          </w:p>
        </w:tc>
        <w:tc>
          <w:tcPr>
            <w:tcW w:w="2610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Поисков</w:t>
            </w:r>
            <w:r>
              <w:rPr>
                <w:sz w:val="20"/>
                <w:szCs w:val="20"/>
                <w:lang w:val="ru-RU"/>
              </w:rPr>
              <w:t xml:space="preserve">ые </w:t>
            </w:r>
            <w:r w:rsidRPr="00A517F0">
              <w:rPr>
                <w:sz w:val="20"/>
                <w:szCs w:val="20"/>
                <w:lang w:val="ru-RU"/>
              </w:rPr>
              <w:t xml:space="preserve">Исследования </w:t>
            </w:r>
            <w:r w:rsidRPr="00A517F0">
              <w:rPr>
                <w:sz w:val="20"/>
                <w:szCs w:val="20"/>
              </w:rPr>
              <w:t>I</w:t>
            </w:r>
            <w:r w:rsidRPr="00A517F0">
              <w:rPr>
                <w:sz w:val="20"/>
                <w:szCs w:val="20"/>
                <w:lang w:val="ru-RU"/>
              </w:rPr>
              <w:t xml:space="preserve"> и </w:t>
            </w:r>
            <w:r w:rsidRPr="00A517F0">
              <w:rPr>
                <w:sz w:val="20"/>
                <w:szCs w:val="20"/>
              </w:rPr>
              <w:t>I</w:t>
            </w:r>
            <w:r w:rsidRPr="00A517F0">
              <w:rPr>
                <w:sz w:val="20"/>
                <w:szCs w:val="20"/>
                <w:lang w:val="ru-RU"/>
              </w:rPr>
              <w:t>/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</w:t>
            </w:r>
          </w:p>
        </w:tc>
        <w:tc>
          <w:tcPr>
            <w:tcW w:w="6055" w:type="dxa"/>
            <w:shd w:val="clear" w:color="auto" w:fill="EAF1DD" w:themeFill="accent3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Объективные ответы наблюдались, но дополнительная польза воздействия именно на </w:t>
            </w:r>
            <w:r w:rsidRPr="00A517F0">
              <w:rPr>
                <w:sz w:val="20"/>
                <w:szCs w:val="20"/>
              </w:rPr>
              <w:t>CD</w:t>
            </w:r>
            <w:r w:rsidRPr="00A517F0">
              <w:rPr>
                <w:sz w:val="20"/>
                <w:szCs w:val="20"/>
                <w:lang w:val="ru-RU"/>
              </w:rPr>
              <w:t>47 не доказана [10, 21, 25]</w:t>
            </w:r>
          </w:p>
        </w:tc>
        <w:tc>
          <w:tcPr>
            <w:tcW w:w="1710" w:type="dxa"/>
            <w:shd w:val="clear" w:color="auto" w:fill="EAF1DD" w:themeFill="accent3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</w:rPr>
              <w:t>HER</w:t>
            </w:r>
            <w:r w:rsidRPr="00A517F0">
              <w:rPr>
                <w:sz w:val="20"/>
                <w:szCs w:val="20"/>
                <w:lang w:val="ru-RU"/>
              </w:rPr>
              <w:t>2-положительный метастатический рак молочной железы</w:t>
            </w:r>
          </w:p>
        </w:tc>
        <w:tc>
          <w:tcPr>
            <w:tcW w:w="1890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evorpacept</w:t>
            </w:r>
            <w:r w:rsidRPr="00A517F0">
              <w:rPr>
                <w:sz w:val="20"/>
                <w:szCs w:val="20"/>
              </w:rPr>
              <w:t xml:space="preserve"> + zanidatamab</w:t>
            </w:r>
          </w:p>
        </w:tc>
        <w:tc>
          <w:tcPr>
            <w:tcW w:w="2610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Поисковое исследование </w:t>
            </w:r>
            <w:r w:rsidRPr="00A517F0">
              <w:rPr>
                <w:sz w:val="20"/>
                <w:szCs w:val="20"/>
              </w:rPr>
              <w:t>I</w:t>
            </w:r>
            <w:r w:rsidRPr="00A517F0">
              <w:rPr>
                <w:sz w:val="20"/>
                <w:szCs w:val="20"/>
                <w:lang w:val="ru-RU"/>
              </w:rPr>
              <w:t>/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фазы</w:t>
            </w:r>
          </w:p>
        </w:tc>
        <w:tc>
          <w:tcPr>
            <w:tcW w:w="6055" w:type="dxa"/>
            <w:shd w:val="clear" w:color="auto" w:fill="C2D69B" w:themeFill="accent3" w:themeFillTint="99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Среди пациентов с </w:t>
            </w:r>
            <w:r w:rsidRPr="00A517F0">
              <w:rPr>
                <w:sz w:val="20"/>
                <w:szCs w:val="20"/>
              </w:rPr>
              <w:t>HER</w:t>
            </w:r>
            <w:r w:rsidRPr="00A517F0">
              <w:rPr>
                <w:sz w:val="20"/>
                <w:szCs w:val="20"/>
                <w:lang w:val="ru-RU"/>
              </w:rPr>
              <w:t xml:space="preserve">2-положительным статусом, подтвержденным центральной лабораторией, </w:t>
            </w:r>
            <w:r w:rsidRPr="00A517F0">
              <w:rPr>
                <w:rStyle w:val="HTMLCode"/>
              </w:rPr>
              <w:t>n</w:t>
            </w:r>
            <w:r w:rsidRPr="00A517F0">
              <w:rPr>
                <w:rStyle w:val="HTMLCode"/>
                <w:lang w:val="ru-RU"/>
              </w:rPr>
              <w:t xml:space="preserve"> = 10</w:t>
            </w:r>
            <w:r w:rsidRPr="00A517F0">
              <w:rPr>
                <w:sz w:val="20"/>
                <w:szCs w:val="20"/>
                <w:lang w:val="ru-RU"/>
              </w:rPr>
              <w:t xml:space="preserve">: подтвержденная частота объективного ответа 60%. При высокой экспрессии </w:t>
            </w:r>
            <w:r w:rsidRPr="00A517F0">
              <w:rPr>
                <w:sz w:val="20"/>
                <w:szCs w:val="20"/>
              </w:rPr>
              <w:t>CD</w:t>
            </w:r>
            <w:r w:rsidRPr="00A517F0">
              <w:rPr>
                <w:sz w:val="20"/>
                <w:szCs w:val="20"/>
                <w:lang w:val="ru-RU"/>
              </w:rPr>
              <w:t>47 ответ зарегистрирован у 5 из 5 пациентов. Подгруппы очень малы [30]</w:t>
            </w:r>
          </w:p>
        </w:tc>
        <w:tc>
          <w:tcPr>
            <w:tcW w:w="1710" w:type="dxa"/>
            <w:shd w:val="clear" w:color="auto" w:fill="C2D69B" w:themeFill="accent3" w:themeFillTint="99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Метастатический колоректальный рак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bevacizumab + FOLFIRI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Рандомизированное исследование 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фазы, досрочно прекращено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Медиана выживаемости без прогрессирования: 6,2 против 6,7 мес.; </w:t>
            </w:r>
            <w:r w:rsidRPr="00A517F0">
              <w:rPr>
                <w:sz w:val="20"/>
                <w:szCs w:val="20"/>
              </w:rPr>
              <w:t>HR</w:t>
            </w:r>
            <w:r w:rsidRPr="00A517F0">
              <w:rPr>
                <w:sz w:val="20"/>
                <w:szCs w:val="20"/>
                <w:lang w:val="ru-RU"/>
              </w:rPr>
              <w:t xml:space="preserve"> = 0,956. </w:t>
            </w:r>
            <w:r w:rsidRPr="00A517F0">
              <w:rPr>
                <w:sz w:val="20"/>
                <w:szCs w:val="20"/>
              </w:rPr>
              <w:t>Статистическая мощность исследования была недостаточной для надежного вывода [8]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Средняя-низкая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Рефрактерный колоректальный рак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cetuximab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Одногрупповое исследование </w:t>
            </w:r>
            <w:r w:rsidRPr="00A517F0">
              <w:rPr>
                <w:sz w:val="20"/>
                <w:szCs w:val="20"/>
              </w:rPr>
              <w:t>Ib</w:t>
            </w:r>
            <w:r w:rsidRPr="00A517F0">
              <w:rPr>
                <w:sz w:val="20"/>
                <w:szCs w:val="20"/>
                <w:lang w:val="ru-RU"/>
              </w:rPr>
              <w:t>/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фазы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Частота объективного ответа: 6,3% при </w:t>
            </w:r>
            <w:r w:rsidRPr="00A517F0">
              <w:rPr>
                <w:sz w:val="20"/>
                <w:szCs w:val="20"/>
              </w:rPr>
              <w:t>KRAS</w:t>
            </w:r>
            <w:r w:rsidRPr="00A517F0">
              <w:rPr>
                <w:sz w:val="20"/>
                <w:szCs w:val="20"/>
                <w:lang w:val="ru-RU"/>
              </w:rPr>
              <w:t xml:space="preserve"> дикого типа и 0% при наличии мутации </w:t>
            </w:r>
            <w:r w:rsidRPr="00A517F0">
              <w:rPr>
                <w:sz w:val="20"/>
                <w:szCs w:val="20"/>
              </w:rPr>
              <w:t>KRAS</w:t>
            </w:r>
            <w:r w:rsidRPr="00A517F0">
              <w:rPr>
                <w:sz w:val="20"/>
                <w:szCs w:val="20"/>
                <w:lang w:val="ru-RU"/>
              </w:rPr>
              <w:t xml:space="preserve">. </w:t>
            </w:r>
            <w:r w:rsidRPr="00A517F0">
              <w:rPr>
                <w:sz w:val="20"/>
                <w:szCs w:val="20"/>
              </w:rPr>
              <w:t>Дополнительная польза magrolimab не доказана [31]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Низкая-средняя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lastRenderedPageBreak/>
              <w:t>Рефрактерный микросателлитно-стабильный колоректальный рак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evorpacept</w:t>
            </w:r>
            <w:r w:rsidRPr="00A517F0">
              <w:rPr>
                <w:sz w:val="20"/>
                <w:szCs w:val="20"/>
              </w:rPr>
              <w:t xml:space="preserve"> + cetuximab + pembrolizumab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 xml:space="preserve">Исследование II фазы, </w:t>
            </w:r>
            <w:r w:rsidRPr="00A517F0">
              <w:rPr>
                <w:rStyle w:val="HTMLCode"/>
              </w:rPr>
              <w:t>n = 16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Частота объективного ответа 6,3%; медиана выживаемости без прогрессирования 2,3 мес. Зарегистрированы два связанных с лечением нежелательных явления 5-й степени, то есть со смертельным исходом. </w:t>
            </w:r>
            <w:r w:rsidRPr="00A517F0">
              <w:rPr>
                <w:sz w:val="20"/>
                <w:szCs w:val="20"/>
              </w:rPr>
              <w:t>Набор пациентов прекращен [32]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Низкая-средняя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Рецидивирующая или рефрактерная диффузная </w:t>
            </w:r>
            <w:r w:rsidRPr="00A517F0">
              <w:rPr>
                <w:sz w:val="20"/>
                <w:szCs w:val="20"/>
              </w:rPr>
              <w:t>B</w:t>
            </w:r>
            <w:r w:rsidRPr="00A517F0">
              <w:rPr>
                <w:sz w:val="20"/>
                <w:szCs w:val="20"/>
                <w:lang w:val="ru-RU"/>
              </w:rPr>
              <w:t>-крупноклеточная лимфома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rituximab ± GemOx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Исследование I/II фазы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Объективные ответы наблюдались, однако базовая терапия с воздействием на </w:t>
            </w:r>
            <w:r w:rsidRPr="00A517F0">
              <w:rPr>
                <w:sz w:val="20"/>
                <w:szCs w:val="20"/>
              </w:rPr>
              <w:t>CD</w:t>
            </w:r>
            <w:r w:rsidRPr="00A517F0">
              <w:rPr>
                <w:sz w:val="20"/>
                <w:szCs w:val="20"/>
                <w:lang w:val="ru-RU"/>
              </w:rPr>
              <w:t xml:space="preserve">20 и химиотерапия сами обладают противоопухолевой активностью. В группе </w:t>
            </w:r>
            <w:r w:rsidRPr="00A517F0">
              <w:rPr>
                <w:sz w:val="20"/>
                <w:szCs w:val="20"/>
              </w:rPr>
              <w:t>rituximab</w:t>
            </w:r>
            <w:r w:rsidRPr="00A517F0">
              <w:rPr>
                <w:sz w:val="20"/>
                <w:szCs w:val="20"/>
                <w:lang w:val="ru-RU"/>
              </w:rPr>
              <w:t xml:space="preserve"> выживаемость без прогрессирования была короткой, поэтому дополнительный вклад </w:t>
            </w:r>
            <w:r w:rsidRPr="00A517F0">
              <w:rPr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  <w:lang w:val="ru-RU"/>
              </w:rPr>
              <w:t xml:space="preserve"> не установлен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Низкая-средняя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Миелодиспластический синдром высокого риска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azacitidine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Исследование III фазы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Частота полной ремиссии: 21,3% против 23,6%; медиана общей выживаемости: 15,9 против 18,6 мес.; </w:t>
            </w:r>
            <w:r w:rsidRPr="00A517F0">
              <w:rPr>
                <w:sz w:val="20"/>
                <w:szCs w:val="20"/>
              </w:rPr>
              <w:t>HR</w:t>
            </w:r>
            <w:r w:rsidRPr="00A517F0">
              <w:rPr>
                <w:sz w:val="20"/>
                <w:szCs w:val="20"/>
                <w:lang w:val="ru-RU"/>
              </w:rPr>
              <w:t xml:space="preserve"> = 1,203 [1]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Высокая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ОМЛ с мутацией TP53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azacitidine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Исследование III фазы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Преимущества по общей выживаемости не показано; </w:t>
            </w:r>
            <w:r w:rsidRPr="00A517F0">
              <w:rPr>
                <w:sz w:val="20"/>
                <w:szCs w:val="20"/>
              </w:rPr>
              <w:t>HR</w:t>
            </w:r>
            <w:r w:rsidRPr="00A517F0">
              <w:rPr>
                <w:sz w:val="20"/>
                <w:szCs w:val="20"/>
                <w:lang w:val="ru-RU"/>
              </w:rPr>
              <w:t xml:space="preserve"> был выше 1 в обеих группах, сформированных по интенсивности лечения [2]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Высокая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ОМЛ у пациентов, которым не показана интенсивная терапия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magrolimab</w:t>
            </w:r>
            <w:r w:rsidRPr="00A517F0">
              <w:rPr>
                <w:sz w:val="20"/>
                <w:szCs w:val="20"/>
              </w:rPr>
              <w:t xml:space="preserve"> + azacitidine + venetoclax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Исследование III фазы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Медиана общей выживаемости: 10,7 против 14,1 мес.; в экспериментальной группе зарегистрировано больше нежелательных явлений со смертельным исходом [3]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Высокая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Рецидивирующий или метастатический плоскоклеточный рак головы и шеи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rStyle w:val="Strong"/>
                <w:sz w:val="20"/>
                <w:szCs w:val="20"/>
              </w:rPr>
              <w:t>evorpacept</w:t>
            </w:r>
            <w:r w:rsidRPr="00A517F0">
              <w:rPr>
                <w:sz w:val="20"/>
                <w:szCs w:val="20"/>
              </w:rPr>
              <w:t xml:space="preserve"> + pembrolizumab ± химиотерапия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Два рандомизированных исследования </w:t>
            </w:r>
            <w:r w:rsidRPr="00A517F0">
              <w:rPr>
                <w:sz w:val="20"/>
                <w:szCs w:val="20"/>
              </w:rPr>
              <w:t>II</w:t>
            </w:r>
            <w:r w:rsidRPr="00A517F0">
              <w:rPr>
                <w:sz w:val="20"/>
                <w:szCs w:val="20"/>
                <w:lang w:val="ru-RU"/>
              </w:rPr>
              <w:t xml:space="preserve"> фазы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Ни в одном из исследований не была достигнута первичная конечная точка. Убедительного преимущества по выживаемости без прогрессирования или общей выживаемости не показано [7]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Средняя-высокая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Рецидивирующий или рефрактерный ОМЛ либо миелодиспластический синдром высокого риска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 xml:space="preserve">Монотерапия </w:t>
            </w:r>
            <w:r w:rsidRPr="00A517F0">
              <w:rPr>
                <w:rStyle w:val="Strong"/>
                <w:sz w:val="20"/>
                <w:szCs w:val="20"/>
              </w:rPr>
              <w:t>CC-90002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 xml:space="preserve">Исследование I фазы, </w:t>
            </w:r>
            <w:r w:rsidRPr="00A517F0">
              <w:rPr>
                <w:rStyle w:val="HTMLCode"/>
              </w:rPr>
              <w:t>n = 28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Объективных ответов не зарегистрировано; дальнейшая разработка препарата прекращена [14]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lastRenderedPageBreak/>
              <w:t>Неотобранные пациенты с распространенными солидными опухолями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 xml:space="preserve">Монотерапия </w:t>
            </w:r>
            <w:r w:rsidRPr="00A517F0">
              <w:rPr>
                <w:rStyle w:val="Strong"/>
                <w:sz w:val="20"/>
                <w:szCs w:val="20"/>
              </w:rPr>
              <w:t>SRF231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Исследование </w:t>
            </w:r>
            <w:r w:rsidRPr="00A517F0">
              <w:rPr>
                <w:sz w:val="20"/>
                <w:szCs w:val="20"/>
              </w:rPr>
              <w:t>I</w:t>
            </w:r>
            <w:r w:rsidRPr="00A517F0">
              <w:rPr>
                <w:sz w:val="20"/>
                <w:szCs w:val="20"/>
                <w:lang w:val="ru-RU"/>
              </w:rPr>
              <w:t xml:space="preserve"> фазы; результаты оценены у 37 пациентов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Полных и частичных ответов не зарегистрировано [15]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Средняя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Множественная миелома</w:t>
            </w:r>
          </w:p>
        </w:tc>
        <w:tc>
          <w:tcPr>
            <w:tcW w:w="189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rStyle w:val="Strong"/>
                <w:sz w:val="20"/>
                <w:szCs w:val="20"/>
                <w:lang w:val="ru-RU"/>
              </w:rPr>
              <w:t xml:space="preserve">Различные препараты, воздействующие на </w:t>
            </w:r>
            <w:r w:rsidRPr="00A517F0">
              <w:rPr>
                <w:rStyle w:val="Strong"/>
                <w:sz w:val="20"/>
                <w:szCs w:val="20"/>
              </w:rPr>
              <w:t>CD</w:t>
            </w:r>
            <w:r w:rsidRPr="00A517F0">
              <w:rPr>
                <w:rStyle w:val="Strong"/>
                <w:sz w:val="20"/>
                <w:szCs w:val="20"/>
                <w:lang w:val="ru-RU"/>
              </w:rPr>
              <w:t>47/</w:t>
            </w:r>
            <w:r w:rsidRPr="00A517F0">
              <w:rPr>
                <w:rStyle w:val="Strong"/>
                <w:sz w:val="20"/>
                <w:szCs w:val="20"/>
              </w:rPr>
              <w:t>SIRPα</w:t>
            </w:r>
          </w:p>
        </w:tc>
        <w:tc>
          <w:tcPr>
            <w:tcW w:w="2610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Ранние, недостаточно зрелые данные</w:t>
            </w:r>
          </w:p>
        </w:tc>
        <w:tc>
          <w:tcPr>
            <w:tcW w:w="6055" w:type="dxa"/>
            <w:shd w:val="clear" w:color="auto" w:fill="F2DBDB" w:themeFill="accent2" w:themeFillTint="33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Данных об эффективности недостаточно для надежного вывода</w:t>
            </w:r>
          </w:p>
        </w:tc>
        <w:tc>
          <w:tcPr>
            <w:tcW w:w="1710" w:type="dxa"/>
            <w:shd w:val="clear" w:color="auto" w:fill="F2DBDB" w:themeFill="accent2" w:themeFillTint="33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</w:t>
            </w:r>
          </w:p>
        </w:tc>
      </w:tr>
      <w:tr w:rsidR="00CC1D84" w:rsidRPr="00A517F0" w:rsidTr="00CC1D84">
        <w:trPr>
          <w:trHeight w:val="1152"/>
        </w:trPr>
        <w:tc>
          <w:tcPr>
            <w:tcW w:w="2815" w:type="dxa"/>
            <w:shd w:val="clear" w:color="auto" w:fill="FFFFFF" w:themeFill="background1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Гепатоцеллюлярный рак</w:t>
            </w:r>
          </w:p>
        </w:tc>
        <w:tc>
          <w:tcPr>
            <w:tcW w:w="1890" w:type="dxa"/>
            <w:shd w:val="clear" w:color="auto" w:fill="FFFFFF" w:themeFill="background1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 xml:space="preserve">Несколько ранних комбинаций с </w:t>
            </w:r>
            <w:r w:rsidRPr="00A517F0">
              <w:rPr>
                <w:rStyle w:val="Strong"/>
                <w:sz w:val="20"/>
                <w:szCs w:val="20"/>
                <w:lang w:val="ru-RU"/>
              </w:rPr>
              <w:t xml:space="preserve">препаратами, воздействующими на </w:t>
            </w:r>
            <w:r w:rsidRPr="00A517F0">
              <w:rPr>
                <w:rStyle w:val="Strong"/>
                <w:sz w:val="20"/>
                <w:szCs w:val="20"/>
              </w:rPr>
              <w:t>CD</w:t>
            </w:r>
            <w:r w:rsidRPr="00A517F0">
              <w:rPr>
                <w:rStyle w:val="Strong"/>
                <w:sz w:val="20"/>
                <w:szCs w:val="20"/>
                <w:lang w:val="ru-RU"/>
              </w:rPr>
              <w:t>47/</w:t>
            </w:r>
            <w:r w:rsidRPr="00A517F0">
              <w:rPr>
                <w:rStyle w:val="Strong"/>
                <w:sz w:val="20"/>
                <w:szCs w:val="20"/>
              </w:rPr>
              <w:t>SIRPα</w:t>
            </w:r>
          </w:p>
        </w:tc>
        <w:tc>
          <w:tcPr>
            <w:tcW w:w="2610" w:type="dxa"/>
            <w:shd w:val="clear" w:color="auto" w:fill="FFFFFF" w:themeFill="background1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Исследования I фазы</w:t>
            </w:r>
          </w:p>
        </w:tc>
        <w:tc>
          <w:tcPr>
            <w:tcW w:w="6055" w:type="dxa"/>
            <w:shd w:val="clear" w:color="auto" w:fill="FFFFFF" w:themeFill="background1"/>
            <w:hideMark/>
          </w:tcPr>
          <w:p w:rsidR="00CC1D84" w:rsidRPr="00A517F0" w:rsidRDefault="00CC1D84" w:rsidP="00CC1D84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A517F0">
              <w:rPr>
                <w:sz w:val="20"/>
                <w:szCs w:val="20"/>
                <w:lang w:val="ru-RU"/>
              </w:rPr>
              <w:t>Зарегистрированы отдельные объективные ответы, однако выборки малы, а базовые схемы сами обладают противоопухолевой активностью</w:t>
            </w:r>
          </w:p>
        </w:tc>
        <w:tc>
          <w:tcPr>
            <w:tcW w:w="1710" w:type="dxa"/>
            <w:shd w:val="clear" w:color="auto" w:fill="FFFFFF" w:themeFill="background1"/>
            <w:hideMark/>
          </w:tcPr>
          <w:p w:rsidR="00CC1D84" w:rsidRPr="00A517F0" w:rsidRDefault="00CC1D84" w:rsidP="00A517F0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A517F0">
              <w:rPr>
                <w:sz w:val="20"/>
                <w:szCs w:val="20"/>
              </w:rPr>
              <w:t>Низкая</w:t>
            </w:r>
          </w:p>
        </w:tc>
      </w:tr>
    </w:tbl>
    <w:p w:rsidR="009C7BBD" w:rsidRDefault="009C7BBD">
      <w:pPr>
        <w:rPr>
          <w:sz w:val="24"/>
          <w:szCs w:val="24"/>
          <w:lang w:val="ru-RU"/>
        </w:rPr>
        <w:sectPr w:rsidR="009C7BBD" w:rsidSect="009925BE">
          <w:pgSz w:w="16838" w:h="11906" w:orient="landscape"/>
          <w:pgMar w:top="1701" w:right="1134" w:bottom="850" w:left="1134" w:header="720" w:footer="720" w:gutter="0"/>
          <w:cols w:space="720"/>
          <w:docGrid w:linePitch="381"/>
        </w:sectPr>
      </w:pPr>
    </w:p>
    <w:p w:rsidR="006042C8" w:rsidRPr="009925BE" w:rsidRDefault="009925BE" w:rsidP="000415BE">
      <w:pPr>
        <w:pStyle w:val="Heading2"/>
      </w:pPr>
      <w:r w:rsidRPr="009925BE">
        <w:lastRenderedPageBreak/>
        <w:t>ГЕМАТОЛОГИЧЕСКИЕ ЗАБОЛЕВАНИЯ И ЭВОЛЮЦИЯ MDS/AML</w:t>
      </w:r>
    </w:p>
    <w:p w:rsidR="000415BE" w:rsidRPr="000415BE" w:rsidRDefault="000415BE" w:rsidP="000415BE">
      <w:pPr>
        <w:ind w:firstLine="900"/>
        <w:rPr>
          <w:sz w:val="20"/>
          <w:lang w:val="ru-RU"/>
        </w:rPr>
      </w:pPr>
      <w:r w:rsidRPr="000415BE">
        <w:rPr>
          <w:sz w:val="22"/>
          <w:lang w:val="ru-RU"/>
        </w:rPr>
        <w:t xml:space="preserve">Отдельные препараты, направленные на ось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47–</w:t>
      </w:r>
      <w:r w:rsidRPr="000415BE">
        <w:rPr>
          <w:sz w:val="22"/>
        </w:rPr>
        <w:t>SIRPα</w:t>
      </w:r>
      <w:r w:rsidRPr="000415BE">
        <w:rPr>
          <w:sz w:val="22"/>
          <w:lang w:val="ru-RU"/>
        </w:rPr>
        <w:t xml:space="preserve">, продемонстрировали обнадеживающую клиническую активность. Наиболее значимым положительным примером остается </w:t>
      </w:r>
      <w:r w:rsidRPr="000415BE">
        <w:rPr>
          <w:sz w:val="22"/>
        </w:rPr>
        <w:t>ligufalimab</w:t>
      </w:r>
      <w:r w:rsidRPr="000415BE">
        <w:rPr>
          <w:sz w:val="22"/>
          <w:lang w:val="ru-RU"/>
        </w:rPr>
        <w:t xml:space="preserve">, который оценивается в рандомизированном двойном слепом компоненте исследования </w:t>
      </w:r>
      <w:r w:rsidRPr="000415BE">
        <w:rPr>
          <w:sz w:val="22"/>
        </w:rPr>
        <w:t>AK</w:t>
      </w:r>
      <w:r w:rsidRPr="000415BE">
        <w:rPr>
          <w:sz w:val="22"/>
          <w:lang w:val="ru-RU"/>
        </w:rPr>
        <w:t xml:space="preserve">117-206 в комбинации с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 и </w:t>
      </w:r>
      <w:r w:rsidRPr="000415BE">
        <w:rPr>
          <w:sz w:val="22"/>
        </w:rPr>
        <w:t>venetoclax</w:t>
      </w:r>
      <w:r w:rsidRPr="000415BE">
        <w:rPr>
          <w:sz w:val="22"/>
          <w:lang w:val="ru-RU"/>
        </w:rPr>
        <w:t>. В промежуточном анализе примерно 60 пациентов общая частота ответа (</w:t>
      </w:r>
      <w:r w:rsidRPr="000415BE">
        <w:rPr>
          <w:sz w:val="22"/>
        </w:rPr>
        <w:t>ORR</w:t>
      </w:r>
      <w:r w:rsidRPr="000415BE">
        <w:rPr>
          <w:sz w:val="22"/>
          <w:lang w:val="ru-RU"/>
        </w:rPr>
        <w:t xml:space="preserve">) составила 80,0% с </w:t>
      </w:r>
      <w:r w:rsidRPr="000415BE">
        <w:rPr>
          <w:sz w:val="22"/>
        </w:rPr>
        <w:t>ligufalimab</w:t>
      </w:r>
      <w:r w:rsidRPr="000415BE">
        <w:rPr>
          <w:sz w:val="22"/>
          <w:lang w:val="ru-RU"/>
        </w:rPr>
        <w:t xml:space="preserve"> и 66,7% с </w:t>
      </w:r>
      <w:r w:rsidRPr="000415BE">
        <w:rPr>
          <w:sz w:val="22"/>
        </w:rPr>
        <w:t>placebo</w:t>
      </w:r>
      <w:r w:rsidRPr="000415BE">
        <w:rPr>
          <w:sz w:val="22"/>
          <w:lang w:val="ru-RU"/>
        </w:rPr>
        <w:t>, а комбинированная частота полной ремиссии достигла 56,7% и 53,3% соответственно. Медиана продолжительности ремиссии составляла около 10,4 против 6,5 месяца, бессобытийная выживаемость (</w:t>
      </w:r>
      <w:r w:rsidRPr="000415BE">
        <w:rPr>
          <w:sz w:val="22"/>
        </w:rPr>
        <w:t>EFS</w:t>
      </w:r>
      <w:r w:rsidRPr="000415BE">
        <w:rPr>
          <w:sz w:val="22"/>
          <w:lang w:val="ru-RU"/>
        </w:rPr>
        <w:t xml:space="preserve">) 9,1 против 6,9 месяца, </w:t>
      </w:r>
      <w:r w:rsidRPr="000415BE">
        <w:rPr>
          <w:sz w:val="22"/>
        </w:rPr>
        <w:t>HR</w:t>
      </w:r>
      <w:r w:rsidRPr="000415BE">
        <w:rPr>
          <w:sz w:val="22"/>
          <w:lang w:val="ru-RU"/>
        </w:rPr>
        <w:t xml:space="preserve"> около 0,46. Данные по общей выживаемости (</w:t>
      </w:r>
      <w:r w:rsidRPr="000415BE">
        <w:rPr>
          <w:sz w:val="22"/>
        </w:rPr>
        <w:t>OS</w:t>
      </w:r>
      <w:r w:rsidRPr="000415BE">
        <w:rPr>
          <w:sz w:val="22"/>
          <w:lang w:val="ru-RU"/>
        </w:rPr>
        <w:t>) оставались незрелыми. [4]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Таким образом, </w:t>
      </w:r>
      <w:r w:rsidRPr="000415BE">
        <w:rPr>
          <w:sz w:val="22"/>
        </w:rPr>
        <w:t>ligufalimab</w:t>
      </w:r>
      <w:r w:rsidRPr="000415BE">
        <w:rPr>
          <w:sz w:val="22"/>
          <w:lang w:val="ru-RU"/>
        </w:rPr>
        <w:t xml:space="preserve"> выглядит предварительно перспективным и не позволяет считать всю стратегию блокады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 неэффективной. Однако небольшой размер рандомизированной выборки, отсутствие зрелой рецензируемой публикации и неполные данные по выживаемости ограничивают уверенность в клинической пользе препарата.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Положительный сигнал также получен для комбинации </w:t>
      </w:r>
      <w:r w:rsidRPr="000415BE">
        <w:rPr>
          <w:sz w:val="22"/>
        </w:rPr>
        <w:t>lemzoparlimab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 у ранее не леченных пациентов с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высокого риска. В ранних исследованиях </w:t>
      </w:r>
      <w:r w:rsidRPr="000415BE">
        <w:rPr>
          <w:sz w:val="22"/>
        </w:rPr>
        <w:t>ORR</w:t>
      </w:r>
      <w:r w:rsidRPr="000415BE">
        <w:rPr>
          <w:sz w:val="22"/>
          <w:lang w:val="ru-RU"/>
        </w:rPr>
        <w:t xml:space="preserve"> достигала около 86%, частота полной ремиссии составляла 31–40%. Однако исследование фазы </w:t>
      </w:r>
      <w:r w:rsidRPr="000415BE">
        <w:rPr>
          <w:sz w:val="22"/>
        </w:rPr>
        <w:t>III</w:t>
      </w:r>
      <w:r w:rsidRPr="000415BE">
        <w:rPr>
          <w:sz w:val="22"/>
          <w:lang w:val="ru-RU"/>
        </w:rPr>
        <w:t xml:space="preserve"> </w:t>
      </w:r>
      <w:r w:rsidRPr="000415BE">
        <w:rPr>
          <w:sz w:val="22"/>
        </w:rPr>
        <w:t>NCT</w:t>
      </w:r>
      <w:r w:rsidRPr="000415BE">
        <w:rPr>
          <w:sz w:val="22"/>
          <w:lang w:val="ru-RU"/>
        </w:rPr>
        <w:t>05709093 было прекращено после включения примерно 10 пациентов из-за изменения стратегии разработки компании. Поэтому комбинацию можно считать потенциально эффективной, но ее клиническая польза остается неподтвержденной. Прекращение исследования не доказывает неэффективность препарата. [13]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При лимфомах также выявлены признаки противоопухолевой активности. В ранних исследованиях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rituximab</w:t>
      </w:r>
      <w:r w:rsidRPr="000415BE">
        <w:rPr>
          <w:sz w:val="22"/>
          <w:lang w:val="ru-RU"/>
        </w:rPr>
        <w:t xml:space="preserve"> у пациентов с </w:t>
      </w:r>
      <w:r w:rsidRPr="000415BE">
        <w:rPr>
          <w:sz w:val="22"/>
        </w:rPr>
        <w:t>B</w:t>
      </w:r>
      <w:r w:rsidRPr="000415BE">
        <w:rPr>
          <w:sz w:val="22"/>
          <w:lang w:val="ru-RU"/>
        </w:rPr>
        <w:t xml:space="preserve">-клеточными неходжкинскими лимфомами наблюдались полные и частичные ответы, включая случаи рефрактерности к </w:t>
      </w:r>
      <w:r w:rsidRPr="000415BE">
        <w:rPr>
          <w:sz w:val="22"/>
        </w:rPr>
        <w:t>rituximab</w:t>
      </w:r>
      <w:r w:rsidRPr="000415BE">
        <w:rPr>
          <w:sz w:val="22"/>
          <w:lang w:val="ru-RU"/>
        </w:rPr>
        <w:t xml:space="preserve">. Однако отсутствие контрольной группы, получавшей только </w:t>
      </w:r>
      <w:r w:rsidRPr="000415BE">
        <w:rPr>
          <w:sz w:val="22"/>
        </w:rPr>
        <w:t>rituximab</w:t>
      </w:r>
      <w:r w:rsidRPr="000415BE">
        <w:rPr>
          <w:sz w:val="22"/>
          <w:lang w:val="ru-RU"/>
        </w:rPr>
        <w:t xml:space="preserve">, не позволяет установить самостоятельный вклад блокады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47. [9]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</w:rPr>
        <w:t>TTI</w:t>
      </w:r>
      <w:r w:rsidRPr="000415BE">
        <w:rPr>
          <w:sz w:val="22"/>
          <w:lang w:val="ru-RU"/>
        </w:rPr>
        <w:t xml:space="preserve">-621 продемонстрировал </w:t>
      </w:r>
      <w:r w:rsidRPr="000415BE">
        <w:rPr>
          <w:sz w:val="22"/>
        </w:rPr>
        <w:t>ORR</w:t>
      </w:r>
      <w:r w:rsidRPr="000415BE">
        <w:rPr>
          <w:sz w:val="22"/>
          <w:lang w:val="ru-RU"/>
        </w:rPr>
        <w:t xml:space="preserve"> 13% в исследовании фазы </w:t>
      </w:r>
      <w:r w:rsidRPr="000415BE">
        <w:rPr>
          <w:sz w:val="22"/>
        </w:rPr>
        <w:t>I</w:t>
      </w:r>
      <w:r w:rsidRPr="000415BE">
        <w:rPr>
          <w:sz w:val="22"/>
          <w:lang w:val="ru-RU"/>
        </w:rPr>
        <w:t xml:space="preserve">, причем ответы на монотерапию наблюдались при диффузной </w:t>
      </w:r>
      <w:r w:rsidRPr="000415BE">
        <w:rPr>
          <w:sz w:val="22"/>
        </w:rPr>
        <w:t>B</w:t>
      </w:r>
      <w:r w:rsidRPr="000415BE">
        <w:rPr>
          <w:sz w:val="22"/>
          <w:lang w:val="ru-RU"/>
        </w:rPr>
        <w:t xml:space="preserve">-крупноклеточной и </w:t>
      </w:r>
      <w:r w:rsidRPr="000415BE">
        <w:rPr>
          <w:sz w:val="22"/>
        </w:rPr>
        <w:t>T</w:t>
      </w:r>
      <w:r w:rsidRPr="000415BE">
        <w:rPr>
          <w:sz w:val="22"/>
          <w:lang w:val="ru-RU"/>
        </w:rPr>
        <w:t xml:space="preserve">-клеточных лимфомах. Эти результаты подтверждают биологическую противоопухолевую активность воздействия на ось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47–</w:t>
      </w:r>
      <w:r w:rsidRPr="000415BE">
        <w:rPr>
          <w:sz w:val="22"/>
        </w:rPr>
        <w:t>SIRPα</w:t>
      </w:r>
      <w:r w:rsidRPr="000415BE">
        <w:rPr>
          <w:sz w:val="22"/>
          <w:lang w:val="ru-RU"/>
        </w:rPr>
        <w:t>, но не доказывают улучшения выживаемости. [10]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Для </w:t>
      </w:r>
      <w:r w:rsidRPr="000415BE">
        <w:rPr>
          <w:sz w:val="22"/>
        </w:rPr>
        <w:t>LM</w:t>
      </w:r>
      <w:r w:rsidRPr="000415BE">
        <w:rPr>
          <w:sz w:val="22"/>
          <w:lang w:val="ru-RU"/>
        </w:rPr>
        <w:t xml:space="preserve">-101 </w:t>
      </w:r>
      <w:r w:rsidRPr="000415BE">
        <w:rPr>
          <w:sz w:val="22"/>
        </w:rPr>
        <w:t>ORR</w:t>
      </w:r>
      <w:r w:rsidRPr="000415BE">
        <w:rPr>
          <w:sz w:val="22"/>
          <w:lang w:val="ru-RU"/>
        </w:rPr>
        <w:t xml:space="preserve"> составила 17,6% при монотерапии и 50% в комбинации с </w:t>
      </w:r>
      <w:r w:rsidRPr="000415BE">
        <w:rPr>
          <w:sz w:val="22"/>
        </w:rPr>
        <w:t>rituximab</w:t>
      </w:r>
      <w:r w:rsidRPr="000415BE">
        <w:rPr>
          <w:sz w:val="22"/>
          <w:lang w:val="ru-RU"/>
        </w:rPr>
        <w:t xml:space="preserve">. </w:t>
      </w:r>
      <w:r w:rsidRPr="000415BE">
        <w:rPr>
          <w:sz w:val="22"/>
        </w:rPr>
        <w:t>Amulirafusp</w:t>
      </w:r>
      <w:r w:rsidRPr="000415BE">
        <w:rPr>
          <w:sz w:val="22"/>
          <w:lang w:val="ru-RU"/>
        </w:rPr>
        <w:t xml:space="preserve"> </w:t>
      </w:r>
      <w:r w:rsidRPr="000415BE">
        <w:rPr>
          <w:sz w:val="22"/>
        </w:rPr>
        <w:t>alfa</w:t>
      </w:r>
      <w:r w:rsidRPr="000415BE">
        <w:rPr>
          <w:sz w:val="22"/>
          <w:lang w:val="ru-RU"/>
        </w:rPr>
        <w:t xml:space="preserve">, сочетающий нацеливание на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 xml:space="preserve">20 и блокаду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 xml:space="preserve">47, показал </w:t>
      </w:r>
      <w:r w:rsidRPr="000415BE">
        <w:rPr>
          <w:sz w:val="22"/>
        </w:rPr>
        <w:t>ORR</w:t>
      </w:r>
      <w:r w:rsidRPr="000415BE">
        <w:rPr>
          <w:sz w:val="22"/>
          <w:lang w:val="ru-RU"/>
        </w:rPr>
        <w:t xml:space="preserve"> 41,2% при фолликулярной лимфоме и 33,3% при лимфоме маргинальной зоны. Оба препарата выглядят предварительно активными, но надежность выводов ограничена ранними фазами исследований и небольшими выборками. Кроме того, для </w:t>
      </w:r>
      <w:r w:rsidRPr="000415BE">
        <w:rPr>
          <w:sz w:val="22"/>
        </w:rPr>
        <w:t>amulirafusp</w:t>
      </w:r>
      <w:r w:rsidRPr="000415BE">
        <w:rPr>
          <w:sz w:val="22"/>
          <w:lang w:val="ru-RU"/>
        </w:rPr>
        <w:t xml:space="preserve"> </w:t>
      </w:r>
      <w:r w:rsidRPr="000415BE">
        <w:rPr>
          <w:sz w:val="22"/>
        </w:rPr>
        <w:t>alfa</w:t>
      </w:r>
      <w:r w:rsidRPr="000415BE">
        <w:rPr>
          <w:sz w:val="22"/>
          <w:lang w:val="ru-RU"/>
        </w:rPr>
        <w:t xml:space="preserve"> невозможно разделить вклад воздействия на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 xml:space="preserve">20 и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47. [21,25]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lastRenderedPageBreak/>
        <w:t xml:space="preserve">Несмотря на эти положительные сигналы, наиболее зрелые рандомизированные данные при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и </w:t>
      </w:r>
      <w:r w:rsidRPr="000415BE">
        <w:rPr>
          <w:sz w:val="22"/>
        </w:rPr>
        <w:t>AML</w:t>
      </w:r>
      <w:r w:rsidRPr="000415BE">
        <w:rPr>
          <w:sz w:val="22"/>
          <w:lang w:val="ru-RU"/>
        </w:rPr>
        <w:t xml:space="preserve"> оказались отрицательными. Особенно показательной стала программа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>.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В исследовании фазы </w:t>
      </w:r>
      <w:r w:rsidRPr="000415BE">
        <w:rPr>
          <w:sz w:val="22"/>
        </w:rPr>
        <w:t>Ib</w:t>
      </w:r>
      <w:r w:rsidRPr="000415BE">
        <w:rPr>
          <w:sz w:val="22"/>
          <w:lang w:val="ru-RU"/>
        </w:rPr>
        <w:t xml:space="preserve"> комбинации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 у 95 ранее не леченных пациентов с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высокого риска </w:t>
      </w:r>
      <w:r w:rsidRPr="000415BE">
        <w:rPr>
          <w:sz w:val="22"/>
        </w:rPr>
        <w:t>ORR</w:t>
      </w:r>
      <w:r w:rsidRPr="000415BE">
        <w:rPr>
          <w:sz w:val="22"/>
          <w:lang w:val="ru-RU"/>
        </w:rPr>
        <w:t xml:space="preserve"> составила 75%, частота полной ремиссии 33%, а в подгруппе с мутацией </w:t>
      </w:r>
      <w:r w:rsidRPr="000415BE">
        <w:rPr>
          <w:sz w:val="22"/>
        </w:rPr>
        <w:t>TP</w:t>
      </w:r>
      <w:r w:rsidRPr="000415BE">
        <w:rPr>
          <w:sz w:val="22"/>
          <w:lang w:val="ru-RU"/>
        </w:rPr>
        <w:t xml:space="preserve">53 достигала 40%. Медиана </w:t>
      </w:r>
      <w:r w:rsidRPr="000415BE">
        <w:rPr>
          <w:sz w:val="22"/>
        </w:rPr>
        <w:t>OS</w:t>
      </w:r>
      <w:r w:rsidRPr="000415BE">
        <w:rPr>
          <w:sz w:val="22"/>
          <w:lang w:val="ru-RU"/>
        </w:rPr>
        <w:t xml:space="preserve"> была равна 16,3 месяца. Однако исследование было одногрупповым, а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 сам обладает клинической активностью, поэтому вклад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оставался неопределенным. [33]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В рандомизированном исследовании </w:t>
      </w:r>
      <w:r w:rsidRPr="000415BE">
        <w:rPr>
          <w:sz w:val="22"/>
        </w:rPr>
        <w:t>ENHANCE</w:t>
      </w:r>
      <w:r w:rsidRPr="000415BE">
        <w:rPr>
          <w:sz w:val="22"/>
          <w:lang w:val="ru-RU"/>
        </w:rPr>
        <w:t xml:space="preserve"> с участием 539 пациентов комбинация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 не превзошла </w:t>
      </w:r>
      <w:r w:rsidRPr="000415BE">
        <w:rPr>
          <w:sz w:val="22"/>
        </w:rPr>
        <w:t>placebo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. Частота полной ремиссии составила 21,3% против 23,6%, отношение шансов 0,876 (95% ДИ 0,585–1,312; </w:t>
      </w:r>
      <w:r w:rsidRPr="000415BE">
        <w:rPr>
          <w:sz w:val="22"/>
        </w:rPr>
        <w:t>p</w:t>
      </w:r>
      <w:r w:rsidRPr="000415BE">
        <w:rPr>
          <w:sz w:val="22"/>
          <w:lang w:val="ru-RU"/>
        </w:rPr>
        <w:t xml:space="preserve">=0,5218). Медиана </w:t>
      </w:r>
      <w:r w:rsidRPr="000415BE">
        <w:rPr>
          <w:sz w:val="22"/>
        </w:rPr>
        <w:t>OS</w:t>
      </w:r>
      <w:r w:rsidRPr="000415BE">
        <w:rPr>
          <w:sz w:val="22"/>
          <w:lang w:val="ru-RU"/>
        </w:rPr>
        <w:t xml:space="preserve"> была равна 15,9 и 18,6 месяца соответственно, </w:t>
      </w:r>
      <w:r w:rsidRPr="000415BE">
        <w:rPr>
          <w:sz w:val="22"/>
        </w:rPr>
        <w:t>HR</w:t>
      </w:r>
      <w:r w:rsidRPr="000415BE">
        <w:rPr>
          <w:sz w:val="22"/>
          <w:lang w:val="ru-RU"/>
        </w:rPr>
        <w:t xml:space="preserve"> 1,203 (95% ДИ 0,947–1,528; </w:t>
      </w:r>
      <w:r w:rsidRPr="000415BE">
        <w:rPr>
          <w:sz w:val="22"/>
        </w:rPr>
        <w:t>p</w:t>
      </w:r>
      <w:r w:rsidRPr="000415BE">
        <w:rPr>
          <w:sz w:val="22"/>
          <w:lang w:val="ru-RU"/>
        </w:rPr>
        <w:t>=0,1299).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Профиль безопасности также оказался менее благоприятным. Нежелательные явления степени ≥3 наблюдались у 92,8% пациентов в группе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и у 79,2% в контрольной группе. Прекращение лечения из-за токсичности потребовалось у 24,0% и 12,1% пациентов, а летальные нежелательные явления зарегистрированы у 15,2% и 9,8% соответственно. [1]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Следовательно, ранний сигнал эффективности при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не подтвердился при рандомизированном сравнении. Добавление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не улучшило частоту полной ремиссии или </w:t>
      </w:r>
      <w:r w:rsidRPr="000415BE">
        <w:rPr>
          <w:sz w:val="22"/>
        </w:rPr>
        <w:t>OS</w:t>
      </w:r>
      <w:r w:rsidRPr="000415BE">
        <w:rPr>
          <w:sz w:val="22"/>
          <w:lang w:val="ru-RU"/>
        </w:rPr>
        <w:t xml:space="preserve"> и сопровождалось большей токсичностью. При ранее не леченном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высокого риска комбинация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>, вероятно, неэффективна, причем уверенность в этом выводе высокая.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Аналогичная картина наблюдалась при </w:t>
      </w:r>
      <w:r w:rsidRPr="000415BE">
        <w:rPr>
          <w:sz w:val="22"/>
        </w:rPr>
        <w:t>AML</w:t>
      </w:r>
      <w:r w:rsidRPr="000415BE">
        <w:rPr>
          <w:sz w:val="22"/>
          <w:lang w:val="ru-RU"/>
        </w:rPr>
        <w:t xml:space="preserve"> с мутацией </w:t>
      </w:r>
      <w:r w:rsidRPr="000415BE">
        <w:rPr>
          <w:sz w:val="22"/>
        </w:rPr>
        <w:t>TP</w:t>
      </w:r>
      <w:r w:rsidRPr="000415BE">
        <w:rPr>
          <w:sz w:val="22"/>
          <w:lang w:val="ru-RU"/>
        </w:rPr>
        <w:t xml:space="preserve">53. В исследовании </w:t>
      </w:r>
      <w:r w:rsidRPr="000415BE">
        <w:rPr>
          <w:sz w:val="22"/>
        </w:rPr>
        <w:t>ENHANCE</w:t>
      </w:r>
      <w:r w:rsidRPr="000415BE">
        <w:rPr>
          <w:sz w:val="22"/>
          <w:lang w:val="ru-RU"/>
        </w:rPr>
        <w:t xml:space="preserve">-2 медиана </w:t>
      </w:r>
      <w:r w:rsidRPr="000415BE">
        <w:rPr>
          <w:sz w:val="22"/>
        </w:rPr>
        <w:t>OS</w:t>
      </w:r>
      <w:r w:rsidRPr="000415BE">
        <w:rPr>
          <w:sz w:val="22"/>
          <w:lang w:val="ru-RU"/>
        </w:rPr>
        <w:t xml:space="preserve"> в страте неинтенсивной терапии составила 4,4 месяца с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и 6,6 месяца в контрольной группе, </w:t>
      </w:r>
      <w:r w:rsidRPr="000415BE">
        <w:rPr>
          <w:sz w:val="22"/>
        </w:rPr>
        <w:t>HR</w:t>
      </w:r>
      <w:r w:rsidRPr="000415BE">
        <w:rPr>
          <w:sz w:val="22"/>
          <w:lang w:val="ru-RU"/>
        </w:rPr>
        <w:t xml:space="preserve"> 1,132 (95% ДИ 0,783–1,637; </w:t>
      </w:r>
      <w:r w:rsidRPr="000415BE">
        <w:rPr>
          <w:sz w:val="22"/>
        </w:rPr>
        <w:t>p</w:t>
      </w:r>
      <w:r w:rsidRPr="000415BE">
        <w:rPr>
          <w:sz w:val="22"/>
          <w:lang w:val="ru-RU"/>
        </w:rPr>
        <w:t xml:space="preserve">=0,507). В страте интенсивной терапии показатели составили 7,3 и 11,1 месяца, </w:t>
      </w:r>
      <w:r w:rsidRPr="000415BE">
        <w:rPr>
          <w:sz w:val="22"/>
        </w:rPr>
        <w:t>HR</w:t>
      </w:r>
      <w:r w:rsidRPr="000415BE">
        <w:rPr>
          <w:sz w:val="22"/>
          <w:lang w:val="ru-RU"/>
        </w:rPr>
        <w:t xml:space="preserve"> 1,434 (95% ДИ 0,635–3,239; </w:t>
      </w:r>
      <w:r w:rsidRPr="000415BE">
        <w:rPr>
          <w:sz w:val="22"/>
        </w:rPr>
        <w:t>p</w:t>
      </w:r>
      <w:r w:rsidRPr="000415BE">
        <w:rPr>
          <w:sz w:val="22"/>
          <w:lang w:val="ru-RU"/>
        </w:rPr>
        <w:t>≈0,38). Исследование было прекращено из-за низкой вероятности достижения заявленной эффективности. [2]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В </w:t>
      </w:r>
      <w:r w:rsidRPr="000415BE">
        <w:rPr>
          <w:sz w:val="22"/>
        </w:rPr>
        <w:t>ENHANCE</w:t>
      </w:r>
      <w:r w:rsidRPr="000415BE">
        <w:rPr>
          <w:sz w:val="22"/>
          <w:lang w:val="ru-RU"/>
        </w:rPr>
        <w:t xml:space="preserve">-3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добавляли к комбинации </w:t>
      </w:r>
      <w:r w:rsidRPr="000415BE">
        <w:rPr>
          <w:sz w:val="22"/>
        </w:rPr>
        <w:t>venetoclax</w:t>
      </w:r>
      <w:r w:rsidRPr="000415BE">
        <w:rPr>
          <w:sz w:val="22"/>
          <w:lang w:val="ru-RU"/>
        </w:rPr>
        <w:t xml:space="preserve"> + </w:t>
      </w:r>
      <w:r w:rsidRPr="000415BE">
        <w:rPr>
          <w:sz w:val="22"/>
        </w:rPr>
        <w:t>azacitidine</w:t>
      </w:r>
      <w:r w:rsidRPr="000415BE">
        <w:rPr>
          <w:sz w:val="22"/>
          <w:lang w:val="ru-RU"/>
        </w:rPr>
        <w:t xml:space="preserve">. Среди 378 пациентов медиана </w:t>
      </w:r>
      <w:r w:rsidRPr="000415BE">
        <w:rPr>
          <w:sz w:val="22"/>
        </w:rPr>
        <w:t>OS</w:t>
      </w:r>
      <w:r w:rsidRPr="000415BE">
        <w:rPr>
          <w:sz w:val="22"/>
          <w:lang w:val="ru-RU"/>
        </w:rPr>
        <w:t xml:space="preserve"> составила 10,7 месяца с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и 14,1 месяца с </w:t>
      </w:r>
      <w:r w:rsidRPr="000415BE">
        <w:rPr>
          <w:sz w:val="22"/>
        </w:rPr>
        <w:t>placebo</w:t>
      </w:r>
      <w:r w:rsidRPr="000415BE">
        <w:rPr>
          <w:sz w:val="22"/>
          <w:lang w:val="ru-RU"/>
        </w:rPr>
        <w:t xml:space="preserve">, </w:t>
      </w:r>
      <w:r w:rsidRPr="000415BE">
        <w:rPr>
          <w:sz w:val="22"/>
        </w:rPr>
        <w:t>HR</w:t>
      </w:r>
      <w:r w:rsidRPr="000415BE">
        <w:rPr>
          <w:sz w:val="22"/>
          <w:lang w:val="ru-RU"/>
        </w:rPr>
        <w:t xml:space="preserve"> 1,178 (95% ДИ 0,848–1,637). Частота полной ремиссии в первые шесть циклов также не увеличилась: 41,3% против 46,0%. Исследование было остановлено из-за отсутствия перспективы продемонстрировать клиническую пользу.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Кроме того, летальные нежелательные явления наблюдались у 19,0% пациентов в группе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и у 11,4% в контроле. Частота инфекций 5-й степени составляла 11,1% против 6,5%, респираторных осложнений 5-й степени 2,6% против 0%. [3]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При этом общая частота инфекций, нейтропении и фебрильной нейтропении существенно не различалась. Следовательно, исследование выявило значимый сигнал безопасности, но не доказало, что блокада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 xml:space="preserve">47 непосредственно вызывает инфекции. </w:t>
      </w:r>
      <w:r w:rsidRPr="000415BE">
        <w:rPr>
          <w:sz w:val="22"/>
          <w:lang w:val="ru-RU"/>
        </w:rPr>
        <w:lastRenderedPageBreak/>
        <w:t>Повышенная смертность могла быть связана с глубиной и продолжительностью цитопении, иммунной модуляцией, длительностью терапии или взаимодействием препаратов. [3]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В целом программа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развивалась последовательно: высокие показатели ответа в ранних неконтролируемых исследованиях не сопровождались улучшением ремиссии или выживаемости в фазе </w:t>
      </w:r>
      <w:r w:rsidRPr="000415BE">
        <w:rPr>
          <w:sz w:val="22"/>
        </w:rPr>
        <w:t>III</w:t>
      </w:r>
      <w:r w:rsidRPr="000415BE">
        <w:rPr>
          <w:sz w:val="22"/>
          <w:lang w:val="ru-RU"/>
        </w:rPr>
        <w:t xml:space="preserve">, а в </w:t>
      </w:r>
      <w:r w:rsidRPr="000415BE">
        <w:rPr>
          <w:sz w:val="22"/>
        </w:rPr>
        <w:t>ENHANCE</w:t>
      </w:r>
      <w:r w:rsidRPr="000415BE">
        <w:rPr>
          <w:sz w:val="22"/>
          <w:lang w:val="ru-RU"/>
        </w:rPr>
        <w:t xml:space="preserve">-3 дополнительно возник сигнал повышенной смертности. Поэтому клиническая польза </w:t>
      </w:r>
      <w:r w:rsidRPr="000415BE">
        <w:rPr>
          <w:sz w:val="22"/>
        </w:rPr>
        <w:t>magrolimab</w:t>
      </w:r>
      <w:r w:rsidRPr="000415BE">
        <w:rPr>
          <w:sz w:val="22"/>
          <w:lang w:val="ru-RU"/>
        </w:rPr>
        <w:t xml:space="preserve"> при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и </w:t>
      </w:r>
      <w:r w:rsidRPr="000415BE">
        <w:rPr>
          <w:sz w:val="22"/>
        </w:rPr>
        <w:t>AML</w:t>
      </w:r>
      <w:r w:rsidRPr="000415BE">
        <w:rPr>
          <w:sz w:val="22"/>
          <w:lang w:val="ru-RU"/>
        </w:rPr>
        <w:t xml:space="preserve"> не подтверждена, а препарат, вероятно, неэффективен в изученных комбинациях. Эти результаты также демонстрируют ограниченность сравнений с историческим контролем при оценке блокады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47.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Более однозначным примером неудачи монотерапии стал </w:t>
      </w:r>
      <w:r w:rsidRPr="000415BE">
        <w:rPr>
          <w:sz w:val="22"/>
        </w:rPr>
        <w:t>CC</w:t>
      </w:r>
      <w:r w:rsidRPr="000415BE">
        <w:rPr>
          <w:sz w:val="22"/>
          <w:lang w:val="ru-RU"/>
        </w:rPr>
        <w:t xml:space="preserve">-90002. Среди 28 пациентов с рецидивирующим или рефрактерным </w:t>
      </w:r>
      <w:r w:rsidRPr="000415BE">
        <w:rPr>
          <w:sz w:val="22"/>
        </w:rPr>
        <w:t>AML</w:t>
      </w:r>
      <w:r w:rsidRPr="000415BE">
        <w:rPr>
          <w:sz w:val="22"/>
          <w:lang w:val="ru-RU"/>
        </w:rPr>
        <w:t xml:space="preserve"> либо </w:t>
      </w:r>
      <w:r w:rsidRPr="000415BE">
        <w:rPr>
          <w:sz w:val="22"/>
        </w:rPr>
        <w:t>MDS</w:t>
      </w:r>
      <w:r w:rsidRPr="000415BE">
        <w:rPr>
          <w:sz w:val="22"/>
          <w:lang w:val="ru-RU"/>
        </w:rPr>
        <w:t xml:space="preserve"> высокого риска объективных ответов не зарегистрировано. Разработка была прекращена из-за недостаточной активности и образования антител к препарату. </w:t>
      </w:r>
      <w:r w:rsidRPr="000415BE">
        <w:rPr>
          <w:sz w:val="22"/>
        </w:rPr>
        <w:t>CC</w:t>
      </w:r>
      <w:r w:rsidRPr="000415BE">
        <w:rPr>
          <w:sz w:val="22"/>
          <w:lang w:val="ru-RU"/>
        </w:rPr>
        <w:t xml:space="preserve">-90002, вероятно, неэффективен как монотерапия в этой многократно леченной популяции, однако результаты фазы </w:t>
      </w:r>
      <w:r w:rsidRPr="000415BE">
        <w:rPr>
          <w:sz w:val="22"/>
        </w:rPr>
        <w:t>I</w:t>
      </w:r>
      <w:r w:rsidRPr="000415BE">
        <w:rPr>
          <w:sz w:val="22"/>
          <w:lang w:val="ru-RU"/>
        </w:rPr>
        <w:t xml:space="preserve"> нельзя распространять на все варианты блокады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47. [14]</w:t>
      </w:r>
    </w:p>
    <w:p w:rsidR="000415BE" w:rsidRPr="000415BE" w:rsidRDefault="000415BE" w:rsidP="000415BE">
      <w:pPr>
        <w:ind w:firstLine="900"/>
        <w:rPr>
          <w:sz w:val="22"/>
          <w:lang w:val="ru-RU"/>
        </w:rPr>
      </w:pPr>
      <w:r w:rsidRPr="000415BE">
        <w:rPr>
          <w:sz w:val="22"/>
          <w:lang w:val="ru-RU"/>
        </w:rPr>
        <w:t xml:space="preserve">Для множественной миеломы зрелые рандомизированные данные, подтверждающие дополнительную пользу блокады </w:t>
      </w:r>
      <w:r w:rsidRPr="000415BE">
        <w:rPr>
          <w:sz w:val="22"/>
        </w:rPr>
        <w:t>CD</w:t>
      </w:r>
      <w:r w:rsidRPr="000415BE">
        <w:rPr>
          <w:sz w:val="22"/>
          <w:lang w:val="ru-RU"/>
        </w:rPr>
        <w:t>47, отсутствуют. Эффективность этого подхода пока не установлена.</w:t>
      </w:r>
    </w:p>
    <w:p w:rsidR="002D36C0" w:rsidRPr="000415BE" w:rsidRDefault="002D36C0" w:rsidP="000415BE">
      <w:pPr>
        <w:ind w:firstLine="900"/>
        <w:rPr>
          <w:sz w:val="20"/>
          <w:szCs w:val="24"/>
          <w:lang w:val="ru-RU"/>
        </w:rPr>
      </w:pPr>
    </w:p>
    <w:p w:rsidR="002D36C0" w:rsidRPr="000415BE" w:rsidRDefault="002D36C0" w:rsidP="000415BE">
      <w:pPr>
        <w:ind w:firstLine="900"/>
        <w:rPr>
          <w:rFonts w:asciiTheme="majorHAnsi" w:eastAsiaTheme="majorEastAsia" w:hAnsiTheme="majorHAnsi" w:cstheme="majorBidi"/>
          <w:b/>
          <w:bCs/>
          <w:color w:val="000000"/>
          <w:sz w:val="20"/>
          <w:szCs w:val="24"/>
          <w:lang w:val="ru-RU"/>
        </w:rPr>
      </w:pPr>
      <w:r w:rsidRPr="000415BE">
        <w:rPr>
          <w:sz w:val="20"/>
          <w:szCs w:val="24"/>
          <w:lang w:val="ru-RU"/>
        </w:rPr>
        <w:br w:type="page"/>
      </w:r>
    </w:p>
    <w:p w:rsidR="006042C8" w:rsidRPr="009925BE" w:rsidRDefault="009925BE" w:rsidP="000415BE">
      <w:pPr>
        <w:pStyle w:val="Heading2"/>
      </w:pPr>
      <w:r w:rsidRPr="009925BE">
        <w:lastRenderedPageBreak/>
        <w:t>СОЛИДНЫЕ ОПУХОЛИ, ОТРИЦАТЕЛЬНЫЕ И ПРЕКРАЩЁННЫЕ ПРОГРАММЫ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Наиболее убедительный положительный сигнал среди солидных опухолей получен при HER2-положительном раке желудка и гастроэзофагеального перехода (G/GEJ). В рандомизированном исследовании ASPEN-06 127 ранее леченных пациентов получали evorpacept в комбинации с trastuzumab, ramucirumab и paclitaxel либо аналогичную схему без evorpacept. В общей популяции ORR составила 41,3% против 26,6%, а медиана продолжительности ответа (DoR) — 15,7 против 9,1 месяца. При этом медиана выживаемости без прогрессирования (PFS) практически не различалась: 7,5 против 7,4 месяца, HR 0,77. В отдельных заранее определенных HER2-положительных подгруппах наблюдался более выраженный сигнал, с HR для PFS около 0,62–0,64. Данные по общей выживаемости (OS) на момент анализа оставались незрелыми. [5]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 xml:space="preserve">ASPEN-06 является важным подтверждением биологической активности комбинации, однако пока не является доказательством окончательной клинической пользы. Основные ограничения включают отсутствие зрелого статистически подтвержденного улучшения PFS в общей популяции, незрелые данные по OS и прекращение дальнейшей программы фазы III по стратегическим причинам, а не вследствие доказанной неэффективности. Поэтому evorpacept в данной комбинации можно считать </w:t>
      </w:r>
      <w:r w:rsidRPr="00DF0B0B">
        <w:rPr>
          <w:b/>
          <w:bCs/>
          <w:sz w:val="22"/>
          <w:lang w:val="ru-RU"/>
        </w:rPr>
        <w:t>предварительно перспективным</w:t>
      </w:r>
      <w:r w:rsidRPr="00DF0B0B">
        <w:rPr>
          <w:sz w:val="22"/>
          <w:lang w:val="ru-RU"/>
        </w:rPr>
        <w:t>, но требующим подтверждения в более крупных исследованиях. [5,6]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В отличие от G/GEJ рака, при плоскоклеточном раке головы и шеи (HNSCC) получены более отрицательные результаты. Исследования ASPEN-03 и ASPEN-04 оценивали добавление evorpacept к pembrolizumab с химиотерапией или без нее. Оба рандомизированных исследования фазы II не достигли первичных целей эффективности, после чего разработчик сообщил об отсутствии оснований для перехода к регистрационной программе. Общее число рандомизированных пациентов в двух исследованиях составляло 346, при этом в ASPEN-04 было включено 165 пациентов. [7]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 xml:space="preserve">Публично доступные данные не показали достижения первичных критериев ORR по сравнению с контрольными оценками, а зрелые показатели PFS и OS не были представлены в форме, позволяющей провести полноценный анализ. Поэтому для комбинаций evorpacept с pembrolizumab при первой линии рецидивирующего или метастатического HNSCC эффективность </w:t>
      </w:r>
      <w:r w:rsidRPr="00DF0B0B">
        <w:rPr>
          <w:b/>
          <w:bCs/>
          <w:sz w:val="22"/>
          <w:lang w:val="ru-RU"/>
        </w:rPr>
        <w:t>не подтверждена, а стратегия, вероятно, неэффективна в изученной комбинации</w:t>
      </w:r>
      <w:r w:rsidRPr="00DF0B0B">
        <w:rPr>
          <w:sz w:val="22"/>
          <w:lang w:val="ru-RU"/>
        </w:rPr>
        <w:t>. Этот вывод относится именно к данной схеме лечения и не может быть распространен на всю ось CD47–SIRPα. [7]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 xml:space="preserve">При колоректальном раке (CRC) результаты также в основном не подтвердили выраженной активности, однако сила выводов различается между исследованиями. В исследовании magrolimab + cetuximab у пациентов после терапии anti-EGFR ORR составила 6,3% в KRAS wild-type и 0% в KRAS-mutated группах. Частота анемии степени ≥3, связанной с лечением, составила 11,5%. Отсутствие контрольной группы с одним cetuximab ограничивает </w:t>
      </w:r>
      <w:r w:rsidRPr="00DF0B0B">
        <w:rPr>
          <w:sz w:val="22"/>
          <w:lang w:val="ru-RU"/>
        </w:rPr>
        <w:lastRenderedPageBreak/>
        <w:t>интерпретацию: результаты указывают на низкую активность данной комбинации, но не являются строгим доказательством неэффективности magrolimab в CRC. [31]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Более информативные данные получены в исследовании ELEVATE CRC. После этапа оценки безопасности пациенты были рандомизированы 2:1 на magrolimab + bevacizumab-FOLFIRI или стандартную схему bevacizumab-FOLFIRI. Медиана PFS составила 6,2 против 6,7 месяца, HR 0,956 (95% ДИ 0,339–2,691). ORR составила 13,6% против 0%, однако исследование было досрочно прекращено после включения 67 пациентов вместо примерно 117 запланированных. Нежелательные явления степени ≥3 наблюдались у 72,7% пациентов в группе magrolimab и у 52,4% в контрольной группе. [8]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Отрицательный результат ELEVATE CRC следует интерпретировать осторожно: широкий доверительный интервал для PFS допускает как потенциальную пользу, так и отсутствие эффекта. Поэтому корректный вывод заключается в отсутствии подтвержденного улучшения PFS, а не в доказанной неэффективности magrolimab при всех формах CRC.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Другой эксперимент с evorpacept, cetuximab и pembrolizumab у пациентов с рефрактерным микросателлитно-стабильным (MSS) CRC был остановлен после включения 16 пациентов из-за двух летальных нежелательных явлений: гемофагоцитарного лимфогистиоцитоза (HLH) и синдрома высвобождения цитокинов (CRS). ORR составила 6,3%, медиана PFS — 2,3 месяца. Эти данные указывают на неблагоприятное соотношение польза–риск именно данной трехкомпонентной схемы, но не доказывают общую токсичность evorpacept, поскольку режим включал несколько иммунноактивных компонентов. [32]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 xml:space="preserve">При раке молочной железы данные остаются преимущественно исследовательскими. В exploratory-исследовании evorpacept + zanidatamab участвовали 24 пациента. Среди 10 пациентов с подтвержденным HER2-положительным статусом ORR составила 60%. В небольшой подгруппе с высоким уровнем CD47 ответ наблюдался у всех 5 пациентов, медиана DoR составила 20,2 месяца, а PFS — 22,1 месяца. Эти результаты представляют интерес как возможный биомаркерный сигнал, но ограничены крайне малой выборкой и активностью самого zanidatamab как HER2-направленного препарата. Гипотеза продолжает проверяться в исследовании ASPEN-09-Breast. Текущая оценка — </w:t>
      </w:r>
      <w:r w:rsidRPr="00DF0B0B">
        <w:rPr>
          <w:b/>
          <w:bCs/>
          <w:sz w:val="22"/>
          <w:lang w:val="ru-RU"/>
        </w:rPr>
        <w:t>предварительно перспективно, но с низкой уверенностью</w:t>
      </w:r>
      <w:r w:rsidRPr="00DF0B0B">
        <w:rPr>
          <w:sz w:val="22"/>
          <w:lang w:val="ru-RU"/>
        </w:rPr>
        <w:t>. [30,35]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Для рака яичников данные по конструкции SL-172154, сочетающей воздействие на SIRPα и CD40L, остаются ограниченными. В доступном наборе данных при платинорезистентном заболевании объективные ответы (CR/PR) отсутствовали примерно у 27 оцениваемых пациентов. Этот результат указывает на отсутствие убедительной активности данной конструкции в исследованной популяции, однако не является прямой оценкой блокады CD47, поскольку препарат одновременно воздействует на CD40-сигналинг.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 xml:space="preserve">Для рака легкого зрелых контролируемых данных, позволяющих надежно оценить эффективность прямой блокады CD47, пока недостаточно. Аналогичная ситуация сохраняется для большинства исследований при гепатоцеллюлярном раке, уротелиальном раке и других редких солидных опухолях, где доступны преимущественно небольшие исследования фазы I. Единичные </w:t>
      </w:r>
      <w:r w:rsidRPr="00DF0B0B">
        <w:rPr>
          <w:sz w:val="22"/>
          <w:lang w:val="ru-RU"/>
        </w:rPr>
        <w:lastRenderedPageBreak/>
        <w:t>частичные ответы в таких комбинациях следует рассматривать как предварительные сигналы активности, но не как подтверждение клинической эффективности.</w:t>
      </w:r>
    </w:p>
    <w:p w:rsidR="00DF0B0B" w:rsidRPr="00DF0B0B" w:rsidRDefault="00DF0B0B" w:rsidP="00DF0B0B">
      <w:pPr>
        <w:ind w:firstLine="900"/>
        <w:rPr>
          <w:sz w:val="22"/>
          <w:lang w:val="ru-RU"/>
        </w:rPr>
      </w:pPr>
      <w:r w:rsidRPr="00DF0B0B">
        <w:rPr>
          <w:sz w:val="22"/>
          <w:lang w:val="ru-RU"/>
        </w:rPr>
        <w:t>В целом в солидных опухолях блокада CD47–SIRPα остается экспериментальным направлением с неоднородными результатами. Наиболее перспективным примером является evorpacept в комбинации с HER2-направленной терапией при G/GEJ раке, где получен рандомизированный сигнал активности, требующий подтверждения. При HNSCC и отдельных схемах лечения CRC эффективность не подтверждена, а некоторые комбинации показали неблагоприятное соотношение польза–риск. Для большинства других солидных опухолей данных пока недостаточно для надежной оценки клинической пользы.</w:t>
      </w:r>
    </w:p>
    <w:p w:rsidR="006042C8" w:rsidRPr="009925BE" w:rsidRDefault="009925BE">
      <w:pPr>
        <w:rPr>
          <w:sz w:val="24"/>
          <w:szCs w:val="24"/>
          <w:lang w:val="ru-RU"/>
        </w:rPr>
      </w:pPr>
      <w:r w:rsidRPr="009925BE">
        <w:rPr>
          <w:sz w:val="24"/>
          <w:szCs w:val="24"/>
          <w:lang w:val="ru-RU"/>
        </w:rPr>
        <w:t>.</w:t>
      </w:r>
    </w:p>
    <w:p w:rsidR="009C25E4" w:rsidRDefault="009C25E4">
      <w:pPr>
        <w:pStyle w:val="Heading3"/>
        <w:jc w:val="left"/>
        <w:rPr>
          <w:sz w:val="24"/>
          <w:szCs w:val="24"/>
          <w:lang w:val="ru-RU"/>
        </w:rPr>
        <w:sectPr w:rsidR="009C25E4" w:rsidSect="009C7BBD">
          <w:pgSz w:w="11906" w:h="16838"/>
          <w:pgMar w:top="1134" w:right="1701" w:bottom="1134" w:left="850" w:header="720" w:footer="720" w:gutter="0"/>
          <w:cols w:space="720"/>
          <w:docGrid w:linePitch="381"/>
        </w:sectPr>
      </w:pPr>
    </w:p>
    <w:p w:rsidR="006042C8" w:rsidRPr="009925BE" w:rsidRDefault="009C25E4" w:rsidP="009C25E4">
      <w:pPr>
        <w:pStyle w:val="Heading2"/>
      </w:pPr>
      <w:r>
        <w:lastRenderedPageBreak/>
        <w:t>ОТРИЦАТЕЛЬНЫЕ И ПРЕКРАЩЁННЫЕ ИССЛЕДОВАНИЯ</w:t>
      </w:r>
    </w:p>
    <w:tbl>
      <w:tblPr>
        <w:tblStyle w:val="TableGrid"/>
        <w:tblW w:w="4967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26"/>
        <w:gridCol w:w="4046"/>
        <w:gridCol w:w="1126"/>
        <w:gridCol w:w="2485"/>
        <w:gridCol w:w="5219"/>
      </w:tblGrid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DF0B0B">
              <w:rPr>
                <w:b/>
                <w:sz w:val="24"/>
                <w:szCs w:val="24"/>
                <w:highlight w:val="yellow"/>
              </w:rPr>
              <w:t>Препарат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DF0B0B">
              <w:rPr>
                <w:b/>
                <w:sz w:val="24"/>
                <w:szCs w:val="24"/>
                <w:highlight w:val="yellow"/>
              </w:rPr>
              <w:t>Показание / study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DF0B0B">
              <w:rPr>
                <w:b/>
                <w:sz w:val="24"/>
                <w:szCs w:val="24"/>
                <w:highlight w:val="yellow"/>
              </w:rPr>
              <w:t>n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DF0B0B">
              <w:rPr>
                <w:b/>
                <w:sz w:val="24"/>
                <w:szCs w:val="24"/>
                <w:highlight w:val="yellow"/>
              </w:rPr>
              <w:t>Primary endpoint / результат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DF0B0B">
              <w:rPr>
                <w:b/>
                <w:sz w:val="24"/>
                <w:szCs w:val="24"/>
                <w:highlight w:val="yellow"/>
                <w:lang w:val="ru-RU"/>
              </w:rPr>
              <w:t>Почему прекращено или не продолжено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magrolimab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HR-MDS, ENHANCE NCT04313881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539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CR 21,3% vs 23,6%; OS HR 1,203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prespecified futility / endpoints not met [1]; D, высокая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magrolimab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TP53-mut AML, ENHANCE-2 NCT04778397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257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OS хуже numerically; HR 1,132 non-IC, 1,434 IC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futility for survival benefit [2]; D, высокая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magrolimab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AML unfit, ENHANCE-3 NCT05079230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378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OS HR 1,178; fatal AE 19,0% vs 11,4%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futility + increased death risk [3]; D + unfavorable B–R, высокая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evorpacept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HNSCC ASPEN-03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 xml:space="preserve">189 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primary efficacy criterion not met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lack of efficacy; registrational HNSCC program not advanced [7]; D, средняя–высокая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evorpacept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HNSCC ASPEN-04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172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ORR/PFS no advantage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lack of efficacy [7]; D, средняя–высокая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magrolimab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mCRC ELEVATE NCT05330429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 xml:space="preserve">67 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PFS 6,2 vs 6,7, HR 0,956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early closure during global magrolimab discontinuation [8]; C, недостаточно для D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CC-90002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R/R AML/MDS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28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0 objective responses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lack of monotherapy activity + ADA [14]; D, средняя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SRF231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advanced solid tumors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 xml:space="preserve">37 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0 CR/PR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weak activity/program discontinued [15]; D, средняя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evorpacept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MSS CRC + cetuximab+pembro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16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ORR 6,3%; 2 grade 5 treatment-related immune events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toxicity/safety [32]; regimen B–R unfavorable; не class-wide conclusion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lemzoparlimab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HR-MDS Phase III NCT05709093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 xml:space="preserve">10 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efficacy not meaningfully assessable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company development strategy adjustment [13]; E, не D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gentulizumab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solid tumors/NHL NCT05221385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58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mature efficacy not publicly established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sponsor research-strategy change [20]; E, strategic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AO-176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advanced solid tumors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rFonts w:ascii="Calibri" w:hAnsi="Calibri" w:cs="Calibri"/>
                <w:sz w:val="24"/>
                <w:szCs w:val="24"/>
                <w:highlight w:val="yellow"/>
              </w:rPr>
              <w:t>ꟷ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isolated PR/SD, insufficient n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corporate/program cessation</w:t>
            </w:r>
          </w:p>
        </w:tc>
      </w:tr>
      <w:tr w:rsidR="009C25E4" w:rsidRPr="00DF0B0B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GS-0189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lymphoma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rFonts w:ascii="Calibri" w:hAnsi="Calibri" w:cs="Calibri"/>
                <w:sz w:val="24"/>
                <w:szCs w:val="24"/>
                <w:highlight w:val="yellow"/>
              </w:rPr>
              <w:t>ꟷ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 xml:space="preserve">mono responses </w:t>
            </w:r>
            <w:r w:rsidRPr="00DF0B0B">
              <w:rPr>
                <w:sz w:val="24"/>
                <w:szCs w:val="24"/>
                <w:highlight w:val="yellow"/>
              </w:rPr>
              <w:lastRenderedPageBreak/>
              <w:t>absent, limited combo activity</w:t>
            </w:r>
          </w:p>
        </w:tc>
        <w:tc>
          <w:tcPr>
            <w:tcW w:w="177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lastRenderedPageBreak/>
              <w:t>strategic reprioritization</w:t>
            </w:r>
          </w:p>
        </w:tc>
      </w:tr>
      <w:tr w:rsidR="009C25E4" w:rsidRPr="009925BE" w:rsidTr="009C25E4">
        <w:tc>
          <w:tcPr>
            <w:tcW w:w="621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ASPEN-06 Phase III portion</w:t>
            </w:r>
          </w:p>
        </w:tc>
        <w:tc>
          <w:tcPr>
            <w:tcW w:w="1376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HER2+ gastric/GEJ</w:t>
            </w:r>
          </w:p>
        </w:tc>
        <w:tc>
          <w:tcPr>
            <w:tcW w:w="383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127</w:t>
            </w:r>
          </w:p>
        </w:tc>
        <w:tc>
          <w:tcPr>
            <w:tcW w:w="845" w:type="pct"/>
            <w:vAlign w:val="center"/>
          </w:tcPr>
          <w:p w:rsidR="009C25E4" w:rsidRPr="00DF0B0B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DF0B0B">
              <w:rPr>
                <w:sz w:val="24"/>
                <w:szCs w:val="24"/>
                <w:highlight w:val="yellow"/>
              </w:rPr>
              <w:t>randomized Phase II ORR signal был положительным</w:t>
            </w:r>
          </w:p>
        </w:tc>
        <w:tc>
          <w:tcPr>
            <w:tcW w:w="1775" w:type="pct"/>
            <w:vAlign w:val="center"/>
          </w:tcPr>
          <w:p w:rsidR="009C25E4" w:rsidRPr="009925BE" w:rsidRDefault="009C25E4" w:rsidP="009C25E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F0B0B">
              <w:rPr>
                <w:sz w:val="24"/>
                <w:szCs w:val="24"/>
                <w:highlight w:val="yellow"/>
              </w:rPr>
              <w:t>strategic considerations, не futility [6]; Phase II остаётся B</w:t>
            </w:r>
          </w:p>
        </w:tc>
      </w:tr>
    </w:tbl>
    <w:p w:rsidR="009C25E4" w:rsidRDefault="009925BE" w:rsidP="009C25E4">
      <w:pPr>
        <w:ind w:firstLine="0"/>
        <w:rPr>
          <w:sz w:val="24"/>
          <w:szCs w:val="24"/>
          <w:lang w:val="ru-RU"/>
        </w:rPr>
        <w:sectPr w:rsidR="009C25E4" w:rsidSect="009C25E4">
          <w:pgSz w:w="16838" w:h="11906" w:orient="landscape"/>
          <w:pgMar w:top="850" w:right="1134" w:bottom="1701" w:left="1134" w:header="720" w:footer="720" w:gutter="0"/>
          <w:cols w:space="720"/>
          <w:docGrid w:linePitch="381"/>
        </w:sectPr>
      </w:pPr>
      <w:r w:rsidRPr="009925BE">
        <w:rPr>
          <w:sz w:val="24"/>
          <w:szCs w:val="24"/>
          <w:lang w:val="ru-RU"/>
        </w:rPr>
        <w:br w:type="page"/>
      </w:r>
    </w:p>
    <w:p w:rsidR="006042C8" w:rsidRPr="009925BE" w:rsidRDefault="009925BE" w:rsidP="000415BE">
      <w:pPr>
        <w:pStyle w:val="Heading2"/>
      </w:pPr>
      <w:r w:rsidRPr="009925BE">
        <w:lastRenderedPageBreak/>
        <w:t xml:space="preserve">ДОЗО- И КЛАССО-ЛИМИТИРУЮЩАЯ ТОКСИЧНОСТЬ, </w:t>
      </w:r>
      <w:r w:rsidR="00AB55B2">
        <w:br/>
      </w:r>
      <w:r w:rsidRPr="009925BE">
        <w:t>ON-TARGET-МЕХАНИЗМЫ И ANTIGEN SINK</w:t>
      </w:r>
    </w:p>
    <w:p w:rsidR="009C25E4" w:rsidRPr="00AB55B2" w:rsidRDefault="009C25E4" w:rsidP="00AB55B2">
      <w:pPr>
        <w:rPr>
          <w:sz w:val="24"/>
          <w:szCs w:val="24"/>
        </w:rPr>
      </w:pPr>
      <w:r w:rsidRPr="00AB55B2">
        <w:rPr>
          <w:sz w:val="24"/>
          <w:szCs w:val="24"/>
        </w:rPr>
        <w:t>Стратегия праймирования magrolimab позволяет частично снизить выраженность анемии при последующих введениях. Низкая начальная доза около 1 мг/кг преимущественно удаляет старые эритроциты, несущие больше провоцирующих фагоцитоз возрастных сигналов. Компенсаторный ретикулоцитоз формирует популяцию более молодых эритроцитов, которые лучше переносят поддерживающие дозы препарата. [9,39]</w:t>
      </w:r>
    </w:p>
    <w:p w:rsidR="009C25E4" w:rsidRPr="00AB55B2" w:rsidRDefault="009C25E4" w:rsidP="00AB55B2">
      <w:pPr>
        <w:rPr>
          <w:sz w:val="24"/>
          <w:szCs w:val="24"/>
        </w:rPr>
      </w:pPr>
      <w:r w:rsidRPr="00AB55B2">
        <w:rPr>
          <w:sz w:val="24"/>
          <w:szCs w:val="24"/>
        </w:rPr>
        <w:t>В исследовании фазы Ib у пациентов с MDS высокого риска анемия, связанная с magrolimab, наблюдалась у 37,9% участников и преимущественно соответствовала степени 3. После первого введения медианное снижение гемоглобина относительно исходного уровня составляло 0,7 г/дл. Между первой и третьей дозами падение не менее чем на 2 г/дл отмечалось у 27,2% пациентов, а не менее чем на 3 г/дл — у 10,9%. После первых циклов анемия развивалась значительно реже. [33]</w:t>
      </w:r>
    </w:p>
    <w:p w:rsidR="009C25E4" w:rsidRPr="00AB55B2" w:rsidRDefault="009C25E4" w:rsidP="00AB55B2">
      <w:pPr>
        <w:rPr>
          <w:sz w:val="24"/>
          <w:szCs w:val="24"/>
        </w:rPr>
      </w:pPr>
      <w:r w:rsidRPr="00AB55B2">
        <w:rPr>
          <w:sz w:val="24"/>
          <w:szCs w:val="24"/>
        </w:rPr>
        <w:t>Несмотря на эффект праймирования, анемия остается наиболее убедительно подтвержденной прямой фармакодинамической токсичностью системной блокады CD47. Этот белок экспрессируется на нормальных эритроцитах, а его блокирование устраняет ингибирующий сигнал SIRPα для макрофагов. Поэтому начало лечения сопровождается усиленным удалением эритроцитов и может осложнять трансфузионную поддержку.</w:t>
      </w:r>
    </w:p>
    <w:p w:rsidR="009C25E4" w:rsidRPr="00AB55B2" w:rsidRDefault="009C25E4" w:rsidP="00AB55B2">
      <w:pPr>
        <w:rPr>
          <w:sz w:val="24"/>
          <w:szCs w:val="24"/>
        </w:rPr>
      </w:pPr>
      <w:r w:rsidRPr="00AB55B2">
        <w:rPr>
          <w:sz w:val="24"/>
          <w:szCs w:val="24"/>
        </w:rPr>
        <w:t>Дополнительным ограничением является широкая экспрессия CD47 на циркулирующих клетках крови и других нормальных тканях. Это создает «антигенный резервуар»: значительная часть системно введенного препарата связывается вне опухоли, влияя на фармакокинетику, занятость рецепторов и необходимую дозу. В доклинических исследованиях magrolimab у приматов наблюдались дозозависимые анемия, ретикулоцитоз и сфероцитоз, но не картина массивного внутрисосудистого гемолиза со свободным гемоглобином в плазме. [9]</w:t>
      </w:r>
    </w:p>
    <w:p w:rsidR="009C25E4" w:rsidRPr="00AB55B2" w:rsidRDefault="009C25E4" w:rsidP="00AB55B2">
      <w:pPr>
        <w:rPr>
          <w:sz w:val="24"/>
          <w:szCs w:val="24"/>
        </w:rPr>
      </w:pPr>
      <w:r w:rsidRPr="00AB55B2">
        <w:rPr>
          <w:sz w:val="24"/>
          <w:szCs w:val="24"/>
        </w:rPr>
        <w:t>При оценке гемолиза следует различать несколько явлений. Для magrolimab характерно преимущественно внесосудистое удаление эритроцитов макрофагами, а не комплемент-опосредованный внутрисосудистый гемолиз. Лабораторные признаки гемолиза или гемагглютинации могут возникать без тяжелого клинического гемолитического синдрома. Вместе с тем прямое воздействие на CD47 не становится полностью нейтральным для эритроцитов даже при использовании препаратов следующего поколения: в исследовании фазы I IMC-002 гемолитическая анемия была зарегистрирована у 5 из 12 пациентов. [17,39,40]</w:t>
      </w:r>
    </w:p>
    <w:p w:rsidR="00AB55B2" w:rsidRDefault="00AB55B2">
      <w:pPr>
        <w:rPr>
          <w:sz w:val="24"/>
          <w:szCs w:val="24"/>
        </w:rPr>
        <w:sectPr w:rsidR="00AB55B2" w:rsidSect="009C25E4">
          <w:pgSz w:w="11906" w:h="16838"/>
          <w:pgMar w:top="1134" w:right="850" w:bottom="1134" w:left="1701" w:header="720" w:footer="720" w:gutter="0"/>
          <w:cols w:space="720"/>
          <w:docGrid w:linePitch="381"/>
        </w:sectPr>
      </w:pPr>
    </w:p>
    <w:p w:rsidR="00AB55B2" w:rsidRDefault="00AB55B2" w:rsidP="00AB55B2">
      <w:pPr>
        <w:rPr>
          <w:sz w:val="24"/>
          <w:szCs w:val="24"/>
        </w:rPr>
      </w:pPr>
      <w:r w:rsidRPr="00AB55B2">
        <w:rPr>
          <w:sz w:val="24"/>
          <w:szCs w:val="24"/>
          <w:lang w:val="ru-RU"/>
        </w:rPr>
        <w:lastRenderedPageBreak/>
        <w:t xml:space="preserve">Тромбоцитопения также может быть прямым следствием воздействия на мишень, однако ее выраженность зависит от строения </w:t>
      </w:r>
      <w:r w:rsidRPr="00AB55B2">
        <w:rPr>
          <w:sz w:val="24"/>
          <w:szCs w:val="24"/>
        </w:rPr>
        <w:t>Fc</w:t>
      </w:r>
      <w:r w:rsidRPr="00AB55B2">
        <w:rPr>
          <w:sz w:val="24"/>
          <w:szCs w:val="24"/>
          <w:lang w:val="ru-RU"/>
        </w:rPr>
        <w:t xml:space="preserve">-фрагмента. В исследовании фазы </w:t>
      </w:r>
      <w:r w:rsidRPr="00AB55B2">
        <w:rPr>
          <w:sz w:val="24"/>
          <w:szCs w:val="24"/>
        </w:rPr>
        <w:t>I</w:t>
      </w:r>
      <w:r w:rsidRPr="00AB55B2">
        <w:rPr>
          <w:sz w:val="24"/>
          <w:szCs w:val="24"/>
          <w:lang w:val="ru-RU"/>
        </w:rPr>
        <w:t xml:space="preserve"> </w:t>
      </w:r>
      <w:r w:rsidRPr="00AB55B2">
        <w:rPr>
          <w:sz w:val="24"/>
          <w:szCs w:val="24"/>
        </w:rPr>
        <w:t>TTI</w:t>
      </w:r>
      <w:r w:rsidRPr="00AB55B2">
        <w:rPr>
          <w:sz w:val="24"/>
          <w:szCs w:val="24"/>
          <w:lang w:val="ru-RU"/>
        </w:rPr>
        <w:t xml:space="preserve">-621 преходящая тромбоцитопения степени ≥3 наблюдалась примерно у 20% пациентов, разрешалась между введениями и обычно не сопровождалась клинически значимым кровотечением. Первоначально именно преходящая тромбоцитопения степени 4 определила максимально переносимую дозу 0,2 мг/кг. Предполагаемый механизм включает блокаду </w:t>
      </w:r>
      <w:r w:rsidRPr="00AB55B2">
        <w:rPr>
          <w:sz w:val="24"/>
          <w:szCs w:val="24"/>
        </w:rPr>
        <w:t>CD</w:t>
      </w:r>
      <w:r w:rsidRPr="00AB55B2">
        <w:rPr>
          <w:sz w:val="24"/>
          <w:szCs w:val="24"/>
          <w:lang w:val="ru-RU"/>
        </w:rPr>
        <w:t xml:space="preserve">47 на тромбоцитах в сочетании с активирующим сигналом </w:t>
      </w:r>
      <w:r w:rsidRPr="00AB55B2">
        <w:rPr>
          <w:sz w:val="24"/>
          <w:szCs w:val="24"/>
        </w:rPr>
        <w:t>IgG</w:t>
      </w:r>
      <w:r w:rsidRPr="00AB55B2">
        <w:rPr>
          <w:sz w:val="24"/>
          <w:szCs w:val="24"/>
          <w:lang w:val="ru-RU"/>
        </w:rPr>
        <w:t>1-</w:t>
      </w:r>
      <w:r w:rsidRPr="00AB55B2">
        <w:rPr>
          <w:sz w:val="24"/>
          <w:szCs w:val="24"/>
        </w:rPr>
        <w:t>FcγR</w:t>
      </w:r>
      <w:r w:rsidRPr="00AB55B2">
        <w:rPr>
          <w:sz w:val="24"/>
          <w:szCs w:val="24"/>
          <w:lang w:val="ru-RU"/>
        </w:rPr>
        <w:t xml:space="preserve">. </w:t>
      </w:r>
      <w:r w:rsidRPr="00AB55B2">
        <w:rPr>
          <w:sz w:val="24"/>
          <w:szCs w:val="24"/>
        </w:rPr>
        <w:t>[10]</w:t>
      </w:r>
    </w:p>
    <w:p w:rsidR="00AB55B2" w:rsidRPr="00AB55B2" w:rsidRDefault="00AB55B2" w:rsidP="00AB55B2">
      <w:pPr>
        <w:rPr>
          <w:sz w:val="24"/>
          <w:szCs w:val="24"/>
        </w:rPr>
      </w:pPr>
    </w:p>
    <w:tbl>
      <w:tblPr>
        <w:tblStyle w:val="TableGrid"/>
        <w:tblW w:w="4936" w:type="pct"/>
        <w:tblLook w:val="04A0" w:firstRow="1" w:lastRow="0" w:firstColumn="1" w:lastColumn="0" w:noHBand="0" w:noVBand="1"/>
      </w:tblPr>
      <w:tblGrid>
        <w:gridCol w:w="2983"/>
        <w:gridCol w:w="3596"/>
        <w:gridCol w:w="7468"/>
        <w:gridCol w:w="550"/>
      </w:tblGrid>
      <w:tr w:rsidR="00AB55B2" w:rsidRPr="00AB55B2" w:rsidTr="00AB55B2">
        <w:trPr>
          <w:trHeight w:val="535"/>
        </w:trPr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center"/>
              <w:rPr>
                <w:b/>
                <w:bCs/>
                <w:sz w:val="20"/>
              </w:rPr>
            </w:pPr>
            <w:r w:rsidRPr="00AB55B2">
              <w:rPr>
                <w:b/>
                <w:bCs/>
                <w:sz w:val="20"/>
              </w:rPr>
              <w:t>Нежелательное явление (AE)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center"/>
              <w:rPr>
                <w:b/>
                <w:bCs/>
                <w:sz w:val="20"/>
              </w:rPr>
            </w:pPr>
            <w:r w:rsidRPr="00AB55B2">
              <w:rPr>
                <w:b/>
                <w:bCs/>
                <w:sz w:val="20"/>
              </w:rPr>
              <w:t>Прямой on-target эффект?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center"/>
              <w:rPr>
                <w:b/>
                <w:bCs/>
                <w:sz w:val="20"/>
              </w:rPr>
            </w:pPr>
            <w:r w:rsidRPr="00AB55B2">
              <w:rPr>
                <w:b/>
                <w:bCs/>
                <w:sz w:val="20"/>
              </w:rPr>
              <w:t>Наиболее вероятный механизм</w:t>
            </w:r>
          </w:p>
        </w:tc>
        <w:tc>
          <w:tcPr>
            <w:tcW w:w="185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center"/>
              <w:rPr>
                <w:b/>
                <w:bCs/>
                <w:sz w:val="20"/>
              </w:rPr>
            </w:pPr>
          </w:p>
        </w:tc>
      </w:tr>
      <w:tr w:rsidR="00AB55B2" w:rsidRPr="00AB55B2" w:rsidTr="00AB55B2"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rStyle w:val="Strong"/>
                <w:sz w:val="20"/>
              </w:rPr>
              <w:t>Анемия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Да, для препаратов, связывающих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>47 на эритроцитах (</w:t>
            </w:r>
            <w:r w:rsidRPr="00AB55B2">
              <w:rPr>
                <w:sz w:val="20"/>
              </w:rPr>
              <w:t>RBC</w:t>
            </w:r>
            <w:r w:rsidRPr="00AB55B2">
              <w:rPr>
                <w:sz w:val="20"/>
                <w:lang w:val="ru-RU"/>
              </w:rPr>
              <w:t>-</w:t>
            </w:r>
            <w:r w:rsidRPr="00AB55B2">
              <w:rPr>
                <w:sz w:val="20"/>
              </w:rPr>
              <w:t>binding</w:t>
            </w:r>
            <w:r w:rsidRPr="00AB55B2">
              <w:rPr>
                <w:sz w:val="20"/>
                <w:lang w:val="ru-RU"/>
              </w:rPr>
              <w:t xml:space="preserve">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 xml:space="preserve">47 </w:t>
            </w:r>
            <w:r w:rsidRPr="00AB55B2">
              <w:rPr>
                <w:sz w:val="20"/>
              </w:rPr>
              <w:t>agents</w:t>
            </w:r>
            <w:r w:rsidRPr="00AB55B2">
              <w:rPr>
                <w:sz w:val="20"/>
                <w:lang w:val="ru-RU"/>
              </w:rPr>
              <w:t>)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sz w:val="20"/>
                <w:lang w:val="ru-RU"/>
              </w:rPr>
              <w:t xml:space="preserve">Блокада ингибирующего сигнала </w:t>
            </w:r>
            <w:r w:rsidRPr="00AB55B2">
              <w:rPr>
                <w:rStyle w:val="Strong"/>
                <w:sz w:val="20"/>
              </w:rPr>
              <w:t>CD</w:t>
            </w:r>
            <w:r w:rsidRPr="00AB55B2">
              <w:rPr>
                <w:rStyle w:val="Strong"/>
                <w:sz w:val="20"/>
                <w:lang w:val="ru-RU"/>
              </w:rPr>
              <w:t>47–</w:t>
            </w:r>
            <w:r w:rsidRPr="00AB55B2">
              <w:rPr>
                <w:rStyle w:val="Strong"/>
                <w:sz w:val="20"/>
              </w:rPr>
              <w:t>SIRPα</w:t>
            </w:r>
            <w:r w:rsidRPr="00AB55B2">
              <w:rPr>
                <w:sz w:val="20"/>
                <w:lang w:val="ru-RU"/>
              </w:rPr>
              <w:t xml:space="preserve"> → снятие торможения фагоцитоза → усиленное удаление эритроцитов макрофагами селезёнки и печени. </w:t>
            </w:r>
            <w:r w:rsidRPr="00AB55B2">
              <w:rPr>
                <w:sz w:val="20"/>
              </w:rPr>
              <w:t>Стареющие эритроциты особенно чувствительны к этому механизму</w:t>
            </w:r>
          </w:p>
        </w:tc>
        <w:tc>
          <w:tcPr>
            <w:tcW w:w="185" w:type="pct"/>
            <w:vMerge w:val="restart"/>
            <w:textDirection w:val="tbRl"/>
            <w:vAlign w:val="center"/>
          </w:tcPr>
          <w:p w:rsidR="00AB55B2" w:rsidRPr="00AB55B2" w:rsidRDefault="00AB55B2" w:rsidP="00AB55B2">
            <w:pPr>
              <w:spacing w:line="240" w:lineRule="auto"/>
              <w:ind w:left="113" w:right="113" w:firstLine="0"/>
              <w:jc w:val="center"/>
              <w:rPr>
                <w:sz w:val="20"/>
              </w:rPr>
            </w:pPr>
            <w:r w:rsidRPr="00AB55B2">
              <w:rPr>
                <w:sz w:val="20"/>
              </w:rPr>
              <w:t>[9,33,39,40]</w:t>
            </w:r>
          </w:p>
        </w:tc>
      </w:tr>
      <w:tr w:rsidR="00AB55B2" w:rsidRPr="00AB55B2" w:rsidTr="00AB55B2"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rStyle w:val="Strong"/>
                <w:b w:val="0"/>
                <w:sz w:val="20"/>
                <w:lang w:val="ru-RU"/>
              </w:rPr>
              <w:t xml:space="preserve">Внесосудистый гемолиз / ускоренный клиренс эритроцитов 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Да, для препаратов, связывающих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>47 на эритроцитах (</w:t>
            </w:r>
            <w:r w:rsidRPr="00AB55B2">
              <w:rPr>
                <w:sz w:val="20"/>
              </w:rPr>
              <w:t>RBC</w:t>
            </w:r>
            <w:r w:rsidRPr="00AB55B2">
              <w:rPr>
                <w:sz w:val="20"/>
                <w:lang w:val="ru-RU"/>
              </w:rPr>
              <w:t>-</w:t>
            </w:r>
            <w:r w:rsidRPr="00AB55B2">
              <w:rPr>
                <w:sz w:val="20"/>
              </w:rPr>
              <w:t>binding</w:t>
            </w:r>
            <w:r w:rsidRPr="00AB55B2">
              <w:rPr>
                <w:sz w:val="20"/>
                <w:lang w:val="ru-RU"/>
              </w:rPr>
              <w:t xml:space="preserve">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 xml:space="preserve">47 </w:t>
            </w:r>
            <w:r w:rsidRPr="00AB55B2">
              <w:rPr>
                <w:sz w:val="20"/>
              </w:rPr>
              <w:t>agents</w:t>
            </w:r>
            <w:r w:rsidRPr="00AB55B2">
              <w:rPr>
                <w:sz w:val="20"/>
                <w:lang w:val="ru-RU"/>
              </w:rPr>
              <w:t>)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>Преимущественно макрофаг-зависимое удаление эритроцитов, а не доминирующий механизм внутрисосудистого комплемент-зависимого лизиса</w:t>
            </w:r>
          </w:p>
        </w:tc>
        <w:tc>
          <w:tcPr>
            <w:tcW w:w="185" w:type="pct"/>
            <w:vMerge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AB55B2" w:rsidRPr="00AB55B2" w:rsidTr="00DF0B0B">
        <w:trPr>
          <w:trHeight w:val="886"/>
        </w:trPr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rStyle w:val="Strong"/>
                <w:b w:val="0"/>
                <w:sz w:val="20"/>
              </w:rPr>
              <w:t>Тяжёлый внутрисосудистый гемолиз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>Нет, не является обязательным классовым эффектом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Риск зависит от конкретного антитела: </w:t>
            </w:r>
            <w:r w:rsidRPr="00AB55B2">
              <w:rPr>
                <w:sz w:val="20"/>
              </w:rPr>
              <w:t>Fc</w:t>
            </w:r>
            <w:r w:rsidRPr="00AB55B2">
              <w:rPr>
                <w:sz w:val="20"/>
                <w:lang w:val="ru-RU"/>
              </w:rPr>
              <w:t>-фрагмента, эпитопа связывания, способности вызывать агрегацию эритроцитов и особенностей взаимодействия с иммунной системой</w:t>
            </w:r>
          </w:p>
        </w:tc>
        <w:tc>
          <w:tcPr>
            <w:tcW w:w="185" w:type="pct"/>
            <w:vMerge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AB55B2" w:rsidRPr="00AB55B2" w:rsidTr="00DF0B0B">
        <w:trPr>
          <w:trHeight w:val="715"/>
        </w:trPr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rStyle w:val="Strong"/>
                <w:sz w:val="20"/>
              </w:rPr>
              <w:t>Тромбоцитопения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>Вероятно да, для некоторых форматов препаратов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Блокада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 xml:space="preserve">47 на тромбоцитах с последующим </w:t>
            </w:r>
            <w:r w:rsidRPr="00AB55B2">
              <w:rPr>
                <w:sz w:val="20"/>
              </w:rPr>
              <w:t>Fcγ</w:t>
            </w:r>
            <w:r w:rsidRPr="00AB55B2">
              <w:rPr>
                <w:sz w:val="20"/>
                <w:lang w:val="ru-RU"/>
              </w:rPr>
              <w:t>-рецептор-зависимым удалением тромбоцитов макрофагами</w:t>
            </w:r>
          </w:p>
        </w:tc>
        <w:tc>
          <w:tcPr>
            <w:tcW w:w="185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>[10]</w:t>
            </w:r>
          </w:p>
        </w:tc>
      </w:tr>
      <w:tr w:rsidR="00AB55B2" w:rsidRPr="00AB55B2" w:rsidTr="00DF0B0B">
        <w:trPr>
          <w:trHeight w:val="778"/>
        </w:trPr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rStyle w:val="Strong"/>
                <w:sz w:val="20"/>
              </w:rPr>
              <w:t>Нейтропения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>Не доказана как универсальная прямая токсичность класса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sz w:val="20"/>
                <w:lang w:val="ru-RU"/>
              </w:rPr>
              <w:t xml:space="preserve">Чаще обусловлена самим заболеванием (например, </w:t>
            </w:r>
            <w:r w:rsidRPr="00AB55B2">
              <w:rPr>
                <w:sz w:val="20"/>
              </w:rPr>
              <w:t>AML</w:t>
            </w:r>
            <w:r w:rsidRPr="00AB55B2">
              <w:rPr>
                <w:sz w:val="20"/>
                <w:lang w:val="ru-RU"/>
              </w:rPr>
              <w:t>/</w:t>
            </w:r>
            <w:r w:rsidRPr="00AB55B2">
              <w:rPr>
                <w:sz w:val="20"/>
              </w:rPr>
              <w:t>MDS</w:t>
            </w:r>
            <w:r w:rsidRPr="00AB55B2">
              <w:rPr>
                <w:sz w:val="20"/>
                <w:lang w:val="ru-RU"/>
              </w:rPr>
              <w:t xml:space="preserve">), миелосупрессивной терапией и комбинациями с химиотерапией. </w:t>
            </w:r>
            <w:r w:rsidRPr="00AB55B2">
              <w:rPr>
                <w:sz w:val="20"/>
              </w:rPr>
              <w:t>Прямой вклад CD47-блокады не установлен</w:t>
            </w:r>
          </w:p>
        </w:tc>
        <w:tc>
          <w:tcPr>
            <w:tcW w:w="185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</w:p>
        </w:tc>
      </w:tr>
      <w:tr w:rsidR="00AB55B2" w:rsidRPr="00AB55B2" w:rsidTr="00AB55B2"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rStyle w:val="Strong"/>
                <w:b w:val="0"/>
                <w:sz w:val="20"/>
              </w:rPr>
              <w:t>Инфекции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Нет доказанного универсального прямого </w:t>
            </w:r>
            <w:r w:rsidRPr="00AB55B2">
              <w:rPr>
                <w:sz w:val="20"/>
              </w:rPr>
              <w:t>on</w:t>
            </w:r>
            <w:r w:rsidRPr="00AB55B2">
              <w:rPr>
                <w:sz w:val="20"/>
                <w:lang w:val="ru-RU"/>
              </w:rPr>
              <w:t>-</w:t>
            </w:r>
            <w:r w:rsidRPr="00AB55B2">
              <w:rPr>
                <w:sz w:val="20"/>
              </w:rPr>
              <w:t>target</w:t>
            </w:r>
            <w:r w:rsidRPr="00AB55B2">
              <w:rPr>
                <w:sz w:val="20"/>
                <w:lang w:val="ru-RU"/>
              </w:rPr>
              <w:t xml:space="preserve"> механизма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Обычно связаны с основным заболеванием, нейтропенией и сопутствующей терапией. Теоретически возможна дополнительная роль изменения врождённого иммунного ответа при блокаде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>47</w:t>
            </w:r>
          </w:p>
        </w:tc>
        <w:tc>
          <w:tcPr>
            <w:tcW w:w="185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AB55B2" w:rsidRPr="00AB55B2" w:rsidTr="00AB55B2">
        <w:tc>
          <w:tcPr>
            <w:tcW w:w="102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AB55B2">
              <w:rPr>
                <w:rStyle w:val="Strong"/>
                <w:b w:val="0"/>
                <w:sz w:val="20"/>
              </w:rPr>
              <w:t>Летальные инфекции в исследовании ENHANCE-3 (magrolimab + azacitidine + venetoclax при AML)</w:t>
            </w:r>
          </w:p>
        </w:tc>
        <w:tc>
          <w:tcPr>
            <w:tcW w:w="1233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>Клинический сигнал подтверждён, специфический механизм не установлен</w:t>
            </w:r>
          </w:p>
        </w:tc>
        <w:tc>
          <w:tcPr>
            <w:tcW w:w="2558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  <w:r w:rsidRPr="00AB55B2">
              <w:rPr>
                <w:sz w:val="20"/>
                <w:lang w:val="ru-RU"/>
              </w:rPr>
              <w:t xml:space="preserve">Возможное взаимодействие между блокадой </w:t>
            </w:r>
            <w:r w:rsidRPr="00AB55B2">
              <w:rPr>
                <w:sz w:val="20"/>
              </w:rPr>
              <w:t>CD</w:t>
            </w:r>
            <w:r w:rsidRPr="00AB55B2">
              <w:rPr>
                <w:sz w:val="20"/>
                <w:lang w:val="ru-RU"/>
              </w:rPr>
              <w:t xml:space="preserve">47 и контекстом </w:t>
            </w:r>
            <w:r w:rsidRPr="00AB55B2">
              <w:rPr>
                <w:sz w:val="20"/>
              </w:rPr>
              <w:t>AML</w:t>
            </w:r>
            <w:r w:rsidRPr="00AB55B2">
              <w:rPr>
                <w:sz w:val="20"/>
                <w:lang w:val="ru-RU"/>
              </w:rPr>
              <w:t xml:space="preserve"> + </w:t>
            </w:r>
            <w:r w:rsidRPr="00AB55B2">
              <w:rPr>
                <w:sz w:val="20"/>
              </w:rPr>
              <w:t>venetoclax</w:t>
            </w:r>
            <w:r w:rsidRPr="00AB55B2">
              <w:rPr>
                <w:sz w:val="20"/>
                <w:lang w:val="ru-RU"/>
              </w:rPr>
              <w:t xml:space="preserve"> + </w:t>
            </w:r>
            <w:r w:rsidRPr="00AB55B2">
              <w:rPr>
                <w:sz w:val="20"/>
              </w:rPr>
              <w:t>azacitidine</w:t>
            </w:r>
            <w:r w:rsidRPr="00AB55B2">
              <w:rPr>
                <w:sz w:val="20"/>
                <w:lang w:val="ru-RU"/>
              </w:rPr>
              <w:t>: нарушение баланса между противоопухолевой активацией макрофагов и иммунной/гематологической уязвимостью пациентов остаётся гипотезой</w:t>
            </w:r>
          </w:p>
        </w:tc>
        <w:tc>
          <w:tcPr>
            <w:tcW w:w="185" w:type="pct"/>
            <w:vAlign w:val="center"/>
          </w:tcPr>
          <w:p w:rsidR="00AB55B2" w:rsidRPr="00AB55B2" w:rsidRDefault="00AB55B2" w:rsidP="00AB55B2">
            <w:pPr>
              <w:spacing w:line="240" w:lineRule="auto"/>
              <w:ind w:firstLine="0"/>
              <w:jc w:val="left"/>
              <w:rPr>
                <w:sz w:val="20"/>
                <w:lang w:val="ru-RU"/>
              </w:rPr>
            </w:pPr>
          </w:p>
        </w:tc>
      </w:tr>
    </w:tbl>
    <w:p w:rsidR="006042C8" w:rsidRPr="009925BE" w:rsidRDefault="006042C8">
      <w:pPr>
        <w:rPr>
          <w:sz w:val="24"/>
          <w:szCs w:val="24"/>
          <w:lang w:val="ru-RU"/>
        </w:rPr>
      </w:pPr>
    </w:p>
    <w:p w:rsidR="00282110" w:rsidRPr="00282110" w:rsidRDefault="00282110" w:rsidP="00282110">
      <w:pPr>
        <w:rPr>
          <w:sz w:val="24"/>
          <w:szCs w:val="24"/>
          <w:lang w:val="ru-RU"/>
        </w:rPr>
      </w:pPr>
      <w:r w:rsidRPr="00282110">
        <w:rPr>
          <w:sz w:val="24"/>
          <w:szCs w:val="24"/>
          <w:lang w:val="ru-RU"/>
        </w:rPr>
        <w:lastRenderedPageBreak/>
        <w:t>Новые форматы блокады CD47–SIRPα позволили частично улучшить гематологическую безопасность. Наиболее показателен evorpacept: инактивация Fc-фрагмента снижает выраженность анемии и делает профиль безопасности более благоприятным. Однако исследования ASPEN-03 и ASPEN-04 показали, что уменьшение гематологической токсичности не обеспечивает автоматически противоопухолевую эффективность. [7,41]</w:t>
      </w:r>
    </w:p>
    <w:p w:rsidR="00282110" w:rsidRPr="00282110" w:rsidRDefault="00282110" w:rsidP="00282110">
      <w:pPr>
        <w:rPr>
          <w:sz w:val="24"/>
          <w:szCs w:val="24"/>
          <w:lang w:val="ru-RU"/>
        </w:rPr>
      </w:pPr>
      <w:r w:rsidRPr="00282110">
        <w:rPr>
          <w:sz w:val="24"/>
          <w:szCs w:val="24"/>
          <w:lang w:val="ru-RU"/>
        </w:rPr>
        <w:t>Нейтропению и инфекции следует оценивать только в сравнении с аналогичной базовой терапией. Их высокая частота при AML и MDS сама по себе малоинформативна, поскольку заболевания, а также azacitidine и venetoclax, вызывают выраженную цитопению. Поэтому результаты рандомизированного исследования ENHANCE-3 информативнее одногрупповых данных: общая частота инфекций и нейтропении была сходной между группами, однако летальные инфекции чаще наблюдались при добавлении magrolimab. [3]</w:t>
      </w:r>
    </w:p>
    <w:tbl>
      <w:tblPr>
        <w:tblStyle w:val="TableGrid"/>
        <w:tblW w:w="500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2166"/>
        <w:gridCol w:w="1800"/>
        <w:gridCol w:w="3511"/>
        <w:gridCol w:w="2969"/>
        <w:gridCol w:w="2626"/>
      </w:tblGrid>
      <w:tr w:rsidR="00600111" w:rsidRPr="00600111" w:rsidTr="00600111">
        <w:trPr>
          <w:trHeight w:val="337"/>
        </w:trPr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b/>
                <w:sz w:val="20"/>
                <w:szCs w:val="20"/>
              </w:rPr>
              <w:t>Препарат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b/>
                <w:sz w:val="20"/>
                <w:szCs w:val="20"/>
              </w:rPr>
              <w:t>RBC binding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b/>
                <w:sz w:val="20"/>
                <w:szCs w:val="20"/>
              </w:rPr>
              <w:t>Fc activity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b/>
                <w:sz w:val="20"/>
                <w:szCs w:val="20"/>
              </w:rPr>
              <w:t>Наблюдаемая hematologic toxicity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b/>
                <w:sz w:val="20"/>
                <w:szCs w:val="20"/>
              </w:rPr>
              <w:t>Что действительно улучшено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b/>
                <w:sz w:val="20"/>
                <w:szCs w:val="20"/>
              </w:rPr>
              <w:t>Ограничение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Magrolimab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высокое/клинически значимое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600111">
              <w:rPr>
                <w:rFonts w:cs="Times New Roman"/>
                <w:sz w:val="20"/>
                <w:szCs w:val="20"/>
              </w:rPr>
              <w:t>IgG</w:t>
            </w:r>
            <w:r w:rsidRPr="00600111">
              <w:rPr>
                <w:rFonts w:cs="Times New Roman"/>
                <w:sz w:val="20"/>
                <w:szCs w:val="20"/>
                <w:lang w:val="ru-RU"/>
              </w:rPr>
              <w:t xml:space="preserve">4, не полностью </w:t>
            </w:r>
            <w:r w:rsidRPr="00600111">
              <w:rPr>
                <w:rFonts w:cs="Times New Roman"/>
                <w:sz w:val="20"/>
                <w:szCs w:val="20"/>
              </w:rPr>
              <w:t>effector</w:t>
            </w:r>
            <w:r w:rsidRPr="00600111">
              <w:rPr>
                <w:rFonts w:cs="Times New Roman"/>
                <w:sz w:val="20"/>
                <w:szCs w:val="20"/>
                <w:lang w:val="ru-RU"/>
              </w:rPr>
              <w:t>-</w:t>
            </w:r>
            <w:r w:rsidRPr="00600111">
              <w:rPr>
                <w:rFonts w:cs="Times New Roman"/>
                <w:sz w:val="20"/>
                <w:szCs w:val="20"/>
              </w:rPr>
              <w:t>null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ранняя анемия, transfusion issues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priming уменьшает повторяемость anemia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Phase III efficacy failure [1–3]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Ligufalimab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engineered low RBC interaction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IgG4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в small randomized AML data anemia не выше placebo backbone numerically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600111">
              <w:rPr>
                <w:rFonts w:cs="Times New Roman"/>
                <w:sz w:val="20"/>
                <w:szCs w:val="20"/>
                <w:lang w:val="ru-RU"/>
              </w:rPr>
              <w:t xml:space="preserve">потенциально меньший </w:t>
            </w:r>
            <w:r w:rsidRPr="00600111">
              <w:rPr>
                <w:rFonts w:cs="Times New Roman"/>
                <w:sz w:val="20"/>
                <w:szCs w:val="20"/>
              </w:rPr>
              <w:t>CD</w:t>
            </w:r>
            <w:r w:rsidRPr="00600111">
              <w:rPr>
                <w:rFonts w:cs="Times New Roman"/>
                <w:sz w:val="20"/>
                <w:szCs w:val="20"/>
                <w:lang w:val="ru-RU"/>
              </w:rPr>
              <w:t xml:space="preserve">47 </w:t>
            </w:r>
            <w:r w:rsidRPr="00600111">
              <w:rPr>
                <w:rFonts w:cs="Times New Roman"/>
                <w:sz w:val="20"/>
                <w:szCs w:val="20"/>
              </w:rPr>
              <w:t>RBC</w:t>
            </w:r>
            <w:r w:rsidRPr="00600111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Pr="00600111">
              <w:rPr>
                <w:rFonts w:cs="Times New Roman"/>
                <w:sz w:val="20"/>
                <w:szCs w:val="20"/>
              </w:rPr>
              <w:t>sink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efficacy пока B, не A [4]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Lemzoparlimab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reduced RBC binding design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modified antibody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менее выраженная необходимость priming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удобнее early dosing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подтверждающее исследование efficacy отсутствует [13]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Evorpacept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low direct RBC effector toxicity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Fc-inactive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substantially attenuated classical anemia/thrombocytopenia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separation of checkpoint block from Fc-mediated normal-cell killing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HNSCC randomized efficacy negative [7,41]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TTI-621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минимальное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active IgG1 Fc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меньше anemia, но grade ≥3 thrombocytopenia ~20%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избежание RBC sink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platelet Fc/on-target toxicity [10]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Maplirpacept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минимальное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IgG4 Fc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RBC toxicity reduced preclinically/clinically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lower RBC binding and transfusion-test interference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подтверждающее исследование efficacy отсутствует [11]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Anti-SIRPα mAbs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ru-RU"/>
              </w:rPr>
            </w:pPr>
            <w:r w:rsidRPr="00600111">
              <w:rPr>
                <w:rFonts w:cs="Times New Roman"/>
                <w:sz w:val="20"/>
                <w:szCs w:val="20"/>
                <w:lang w:val="ru-RU"/>
              </w:rPr>
              <w:t xml:space="preserve">не связывают </w:t>
            </w:r>
            <w:r w:rsidRPr="00600111">
              <w:rPr>
                <w:rFonts w:cs="Times New Roman"/>
                <w:sz w:val="20"/>
                <w:szCs w:val="20"/>
              </w:rPr>
              <w:t>RBC</w:t>
            </w:r>
            <w:r w:rsidRPr="00600111">
              <w:rPr>
                <w:rFonts w:cs="Times New Roman"/>
                <w:sz w:val="20"/>
                <w:szCs w:val="20"/>
                <w:lang w:val="ru-RU"/>
              </w:rPr>
              <w:t xml:space="preserve"> </w:t>
            </w:r>
            <w:r w:rsidRPr="00600111">
              <w:rPr>
                <w:rFonts w:cs="Times New Roman"/>
                <w:sz w:val="20"/>
                <w:szCs w:val="20"/>
              </w:rPr>
              <w:t>CD</w:t>
            </w:r>
            <w:r w:rsidRPr="00600111">
              <w:rPr>
                <w:rFonts w:cs="Times New Roman"/>
                <w:sz w:val="20"/>
                <w:szCs w:val="20"/>
                <w:lang w:val="ru-RU"/>
              </w:rPr>
              <w:t>47 непосредственно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molecule-specific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anemia theoretically/observationally less central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обход systemic CD47 antigen sink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600111">
              <w:rPr>
                <w:rFonts w:cs="Times New Roman"/>
                <w:sz w:val="20"/>
                <w:szCs w:val="20"/>
              </w:rPr>
              <w:t>SIRPα polymorphism, receptor occupancy и efficacy become new constraints [21–23]</w:t>
            </w:r>
          </w:p>
        </w:tc>
      </w:tr>
      <w:tr w:rsidR="00600111" w:rsidRPr="00600111" w:rsidTr="00600111">
        <w:tc>
          <w:tcPr>
            <w:tcW w:w="584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20"/>
              </w:rPr>
            </w:pPr>
            <w:r w:rsidRPr="00600111">
              <w:rPr>
                <w:rFonts w:cs="Times New Roman"/>
                <w:sz w:val="18"/>
                <w:szCs w:val="20"/>
              </w:rPr>
              <w:t>Bispecific/conditional CD47 constructs</w:t>
            </w:r>
          </w:p>
        </w:tc>
        <w:tc>
          <w:tcPr>
            <w:tcW w:w="732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20"/>
              </w:rPr>
            </w:pPr>
            <w:r w:rsidRPr="00600111">
              <w:rPr>
                <w:rFonts w:cs="Times New Roman"/>
                <w:sz w:val="18"/>
                <w:szCs w:val="20"/>
              </w:rPr>
              <w:t>преимущественно tumor-targeted по design</w:t>
            </w:r>
          </w:p>
        </w:tc>
        <w:tc>
          <w:tcPr>
            <w:tcW w:w="608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20"/>
              </w:rPr>
            </w:pPr>
            <w:r w:rsidRPr="00600111">
              <w:rPr>
                <w:rFonts w:cs="Times New Roman"/>
                <w:sz w:val="18"/>
                <w:szCs w:val="20"/>
              </w:rPr>
              <w:t>construct-specific</w:t>
            </w:r>
          </w:p>
        </w:tc>
        <w:tc>
          <w:tcPr>
            <w:tcW w:w="1186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20"/>
              </w:rPr>
            </w:pPr>
            <w:r w:rsidRPr="00600111">
              <w:rPr>
                <w:rFonts w:cs="Times New Roman"/>
                <w:sz w:val="18"/>
                <w:szCs w:val="20"/>
              </w:rPr>
              <w:t>потенциально меньше systemic sink</w:t>
            </w:r>
          </w:p>
        </w:tc>
        <w:tc>
          <w:tcPr>
            <w:tcW w:w="1003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20"/>
              </w:rPr>
            </w:pPr>
            <w:r w:rsidRPr="00600111">
              <w:rPr>
                <w:rFonts w:cs="Times New Roman"/>
                <w:sz w:val="18"/>
                <w:szCs w:val="20"/>
              </w:rPr>
              <w:t>spatial localization</w:t>
            </w:r>
          </w:p>
        </w:tc>
        <w:tc>
          <w:tcPr>
            <w:tcW w:w="887" w:type="pct"/>
          </w:tcPr>
          <w:p w:rsidR="006042C8" w:rsidRPr="00600111" w:rsidRDefault="009925BE" w:rsidP="00600111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20"/>
                <w:lang w:val="ru-RU"/>
              </w:rPr>
            </w:pPr>
            <w:r w:rsidRPr="00600111">
              <w:rPr>
                <w:rFonts w:cs="Times New Roman"/>
                <w:sz w:val="18"/>
                <w:szCs w:val="20"/>
                <w:lang w:val="ru-RU"/>
              </w:rPr>
              <w:t xml:space="preserve">вклад </w:t>
            </w:r>
            <w:r w:rsidRPr="00600111">
              <w:rPr>
                <w:rFonts w:cs="Times New Roman"/>
                <w:sz w:val="18"/>
                <w:szCs w:val="20"/>
              </w:rPr>
              <w:t>CD</w:t>
            </w:r>
            <w:r w:rsidRPr="00600111">
              <w:rPr>
                <w:rFonts w:cs="Times New Roman"/>
                <w:sz w:val="18"/>
                <w:szCs w:val="20"/>
                <w:lang w:val="ru-RU"/>
              </w:rPr>
              <w:t xml:space="preserve">47 нельзя отделить без </w:t>
            </w:r>
            <w:r w:rsidRPr="00600111">
              <w:rPr>
                <w:rFonts w:cs="Times New Roman"/>
                <w:sz w:val="18"/>
                <w:szCs w:val="20"/>
              </w:rPr>
              <w:t>matched</w:t>
            </w:r>
            <w:r w:rsidRPr="00600111">
              <w:rPr>
                <w:rFonts w:cs="Times New Roman"/>
                <w:sz w:val="18"/>
                <w:szCs w:val="20"/>
                <w:lang w:val="ru-RU"/>
              </w:rPr>
              <w:t xml:space="preserve"> </w:t>
            </w:r>
            <w:r w:rsidRPr="00600111">
              <w:rPr>
                <w:rFonts w:cs="Times New Roman"/>
                <w:sz w:val="18"/>
                <w:szCs w:val="20"/>
              </w:rPr>
              <w:t>control</w:t>
            </w:r>
            <w:r w:rsidRPr="00600111">
              <w:rPr>
                <w:rFonts w:cs="Times New Roman"/>
                <w:sz w:val="18"/>
                <w:szCs w:val="20"/>
                <w:lang w:val="ru-RU"/>
              </w:rPr>
              <w:t xml:space="preserve">; </w:t>
            </w:r>
            <w:r w:rsidRPr="00600111">
              <w:rPr>
                <w:rFonts w:cs="Times New Roman"/>
                <w:sz w:val="18"/>
                <w:szCs w:val="20"/>
              </w:rPr>
              <w:t>mature</w:t>
            </w:r>
            <w:r w:rsidRPr="00600111">
              <w:rPr>
                <w:rFonts w:cs="Times New Roman"/>
                <w:sz w:val="18"/>
                <w:szCs w:val="20"/>
                <w:lang w:val="ru-RU"/>
              </w:rPr>
              <w:t xml:space="preserve"> </w:t>
            </w:r>
            <w:r w:rsidRPr="00600111">
              <w:rPr>
                <w:rFonts w:cs="Times New Roman"/>
                <w:sz w:val="18"/>
                <w:szCs w:val="20"/>
              </w:rPr>
              <w:t>RCT</w:t>
            </w:r>
            <w:r w:rsidRPr="00600111">
              <w:rPr>
                <w:rFonts w:cs="Times New Roman"/>
                <w:sz w:val="18"/>
                <w:szCs w:val="20"/>
                <w:lang w:val="ru-RU"/>
              </w:rPr>
              <w:t xml:space="preserve"> отсутствуют [26–29]</w:t>
            </w:r>
          </w:p>
        </w:tc>
      </w:tr>
    </w:tbl>
    <w:p w:rsidR="00DF0B0B" w:rsidRPr="00600111" w:rsidRDefault="00282110">
      <w:pPr>
        <w:rPr>
          <w:sz w:val="24"/>
          <w:szCs w:val="24"/>
          <w:lang w:val="ru-RU"/>
        </w:rPr>
      </w:pPr>
      <w:r w:rsidRPr="00282110">
        <w:rPr>
          <w:lang w:val="ru-RU"/>
        </w:rPr>
        <w:t xml:space="preserve">. </w:t>
      </w:r>
    </w:p>
    <w:p w:rsidR="00282110" w:rsidRDefault="00282110">
      <w:pPr>
        <w:rPr>
          <w:sz w:val="24"/>
          <w:szCs w:val="24"/>
          <w:lang w:val="ru-RU"/>
        </w:rPr>
        <w:sectPr w:rsidR="00282110" w:rsidSect="00AB55B2">
          <w:pgSz w:w="16838" w:h="11906" w:orient="landscape"/>
          <w:pgMar w:top="850" w:right="1134" w:bottom="1701" w:left="1134" w:header="720" w:footer="720" w:gutter="0"/>
          <w:cols w:space="720"/>
          <w:docGrid w:linePitch="381"/>
        </w:sectPr>
      </w:pPr>
    </w:p>
    <w:p w:rsidR="006042C8" w:rsidRPr="009925BE" w:rsidRDefault="009925BE" w:rsidP="000415BE">
      <w:pPr>
        <w:pStyle w:val="Heading2"/>
      </w:pPr>
      <w:r w:rsidRPr="009925BE">
        <w:lastRenderedPageBreak/>
        <w:t>АНАЛИЗ НЕУДАЧ, BENEFIT–RISK И ОКОНЧАТЕЛЬНЫЕ ВЫВОДЫ</w:t>
      </w:r>
    </w:p>
    <w:p w:rsidR="00600111" w:rsidRPr="00600111" w:rsidRDefault="00600111" w:rsidP="00600111">
      <w:pPr>
        <w:rPr>
          <w:sz w:val="24"/>
          <w:szCs w:val="24"/>
          <w:lang w:val="ru-RU"/>
        </w:rPr>
      </w:pPr>
      <w:r w:rsidRPr="00600111">
        <w:rPr>
          <w:sz w:val="24"/>
          <w:szCs w:val="24"/>
          <w:lang w:val="ru-RU"/>
        </w:rPr>
        <w:t>Наиболее заметные ранние ответы на анти-CD47-препараты наблюдались в комбинациях с ритуксимабом, трастузумабом и цетуксимабом, имеющими активный Fc-фрагмент. Без контрольной группы этот сигнал лишь предварительно перспективен и не доказывает самостоятельную активность анти-CD47-препаратов. Он согласуется, но не подтверждает гипотезу о том, что блокады сигнала «не ешь меня» недостаточно без опухоль-специфичного сигнала «съешь меня».</w:t>
      </w:r>
    </w:p>
    <w:p w:rsidR="00600111" w:rsidRPr="00600111" w:rsidRDefault="00600111" w:rsidP="00600111">
      <w:pPr>
        <w:rPr>
          <w:sz w:val="24"/>
          <w:szCs w:val="24"/>
          <w:lang w:val="ru-RU"/>
        </w:rPr>
      </w:pPr>
      <w:r w:rsidRPr="00600111">
        <w:rPr>
          <w:sz w:val="24"/>
          <w:szCs w:val="24"/>
          <w:lang w:val="ru-RU"/>
        </w:rPr>
        <w:t>Эворпацепт, маплирпацепт и подходы против SIRPα могут уменьшать анемию и имеют иной профиль гематологической безопасности [11,41]. Экспрессия CD47 на нормальных клетках создаёт антигенный резервуар и токсичность [9,40]. Необходимость сочетать достаточную занятость опухолевых рецепторов с ограничением токсичности для эритроцитов и тромбоцитов могла сужать терапевтический индекс ранних антител. Вместе с тем ослабление Fc-опосредованного фагоцитоза может снижать противоопухолевый эффект. Поэтому более безопасный Fc-фрагмент не обязательно означает более высокую эффективность, особенно при сравнении TTI-621 с активным Fc-фрагментом и Fc-неактивного эворпацепта.</w:t>
      </w:r>
    </w:p>
    <w:p w:rsidR="00600111" w:rsidRPr="00600111" w:rsidRDefault="00600111" w:rsidP="00600111">
      <w:pPr>
        <w:rPr>
          <w:sz w:val="24"/>
          <w:szCs w:val="24"/>
          <w:lang w:val="ru-RU"/>
        </w:rPr>
      </w:pPr>
      <w:r w:rsidRPr="00600111">
        <w:rPr>
          <w:sz w:val="24"/>
          <w:szCs w:val="24"/>
          <w:lang w:val="ru-RU"/>
        </w:rPr>
        <w:t>Ранняя высокая общая частота ответа (ORR) на магролимаб с азацитидином при миелодиспластическом синдроме не воспроизвелась в рандомизированном исследовании III фазы: преимущества по частоте полного ответа (CR) не было, а в контрольной группе ENHANCE показатель CR оказался численно выше [1,33]. Первоначальный сигнал мог отражать эффект малой выборки, отбор пациентов, различия в оценке ответа и сравнение с историческими данными по азацитидину вместо одновременного контроля.</w:t>
      </w:r>
    </w:p>
    <w:p w:rsidR="00600111" w:rsidRPr="00600111" w:rsidRDefault="00600111" w:rsidP="00600111">
      <w:pPr>
        <w:rPr>
          <w:sz w:val="24"/>
          <w:szCs w:val="24"/>
          <w:lang w:val="ru-RU"/>
        </w:rPr>
      </w:pPr>
      <w:r w:rsidRPr="00600111">
        <w:rPr>
          <w:sz w:val="24"/>
          <w:szCs w:val="24"/>
          <w:lang w:val="ru-RU"/>
        </w:rPr>
        <w:t>В небольших неизбирательных когортах солидных опухолей монотерапия блокаторами CD47 имела ограниченную активность. SRF231 не дал полных или частичных ответов у 37 оцениваемых пациентов, а у 12 пациентов на IMC-002 лучшим результатом была стабилизация заболевания [15,17].</w:t>
      </w:r>
    </w:p>
    <w:p w:rsidR="00600111" w:rsidRPr="00600111" w:rsidRDefault="00600111" w:rsidP="00600111">
      <w:pPr>
        <w:rPr>
          <w:sz w:val="24"/>
          <w:szCs w:val="24"/>
          <w:lang w:val="ru-RU"/>
        </w:rPr>
      </w:pPr>
      <w:r w:rsidRPr="00600111">
        <w:rPr>
          <w:sz w:val="24"/>
          <w:szCs w:val="24"/>
          <w:lang w:val="ru-RU"/>
        </w:rPr>
        <w:t>Активная контрольная терапия затрудняла оценку дополнительной пользы: в ENHANCE-3 применялись венетоклакс с азацитидином, а при плоскоклеточном раке головы и шеи — пембролизумаб с химиотерапией или без неё [3,7]. После отрицательного рандомизированного исследования возможный небольшой вклад анти-CD47-препарата нельзя считать клинически подтверждённым.</w:t>
      </w:r>
    </w:p>
    <w:p w:rsidR="00600111" w:rsidRPr="00600111" w:rsidRDefault="00600111" w:rsidP="00600111">
      <w:pPr>
        <w:rPr>
          <w:sz w:val="24"/>
          <w:szCs w:val="24"/>
          <w:lang w:val="ru-RU"/>
        </w:rPr>
      </w:pPr>
      <w:r w:rsidRPr="00600111">
        <w:rPr>
          <w:sz w:val="24"/>
          <w:szCs w:val="24"/>
          <w:lang w:val="ru-RU"/>
        </w:rPr>
        <w:t xml:space="preserve">Таким образом, комбинации с антителами, имеющими активный Fc-фрагмент, предварительно перспективны. Эффективность магролимаба с азацитидином не подтверждена, а SRF231 и IMC-002, вероятно, неэффективны как монотерапия в </w:t>
      </w:r>
      <w:r w:rsidRPr="00600111">
        <w:rPr>
          <w:sz w:val="24"/>
          <w:szCs w:val="24"/>
          <w:lang w:val="ru-RU"/>
        </w:rPr>
        <w:lastRenderedPageBreak/>
        <w:t>изученных популяциях, хотя вывод ограничен небольшими выборками. Для эритроцит-щадящих препаратов, подходов против SIRPα и Fc-модифицированных конструкций данных об эффективности пока недостаточно.</w:t>
      </w:r>
    </w:p>
    <w:p w:rsidR="006042C8" w:rsidRPr="009925BE" w:rsidRDefault="009925BE">
      <w:pPr>
        <w:rPr>
          <w:sz w:val="24"/>
          <w:szCs w:val="24"/>
          <w:lang w:val="ru-RU"/>
        </w:rPr>
      </w:pPr>
      <w:r w:rsidRPr="009925BE">
        <w:rPr>
          <w:sz w:val="24"/>
          <w:szCs w:val="24"/>
          <w:lang w:val="ru-RU"/>
        </w:rPr>
        <w:br w:type="page"/>
      </w:r>
    </w:p>
    <w:p w:rsidR="006042C8" w:rsidRPr="00B33BE9" w:rsidRDefault="009925BE" w:rsidP="000415BE">
      <w:pPr>
        <w:pStyle w:val="Heading2"/>
      </w:pPr>
      <w:r w:rsidRPr="00B33BE9">
        <w:lastRenderedPageBreak/>
        <w:t>СПИСОК ИСПОЛЬЗОВАННЫХ ИСТОЧНИКОВ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1. Sallman D. A., Garcia-Manero G., Daver N. et al. Magrolimab Plus Azacitidine Versus Placebo Plus Azacitidine in Patients With Untreated Higher-Risk Myelodysplastic Syndromes: The Phase III ENHANCE Study // Journal of Clinical Oncology. 2026. Published online July 13, 2026. DOI: 10.1200/JCO-25-00617. PMID: 42441929.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2. Zeidner J. F., Sallman D. A., Récher C. et al. Magrolimab plus azacitidine vs physician’s choice for untreated TP53-mutated acute myeloid leukemia: the ENHANCE-2 study // Blood. 2025. Vol. 146, No. 5. P. 590–600. DOI: 10.1182/blood.2024027408. PMID: 40009500.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3. Daver N. et al. Venetoclax and azacitidine plus magrolimab or placebo for untreated AML unfit for intensive therapy: the randomized phase 3 ENHANCE-3 study // Blood. 2025. DOI: 10.1182/blood.2024027506. PMID: 40233321.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4. Wang H. et al. A phase II randomized study of AK117 versus placebo in combination with azacitidine and venetoclax in treatment-naïve patients with acute myeloid leukemia ineligible for intensive chemotherapy (AK117-206) [Electronic resource] // EHA Congress. 2026. URL: https://library.ehaweb.org/eha/2026/eha-2026/4206685/huafeng.wang.a.phase.ii.randomized.study.of.ak117.versus.placebo.in.html (accessed: 10.08.2026); ClinicalTrials.gov identifier: NCT06387420.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5. Catenacci D. V. T. et al. A phase 2/3 study of evorpacept (ALX148), trastuzumab, ramucirumab, and paclitaxel in patients with HER2-positive advanced gastric or gastroesophageal junction cancer (ASPEN-06) // Journal of Clinical Oncology. 2025. Vol. 43, Suppl. 4. Abstract 332. DOI: 10.1200/JCO.2025.43.4_suppl.332.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6. ClinicalTrials.gov. A Study of Evorpacept (ALX148) in Patients With Advanced HER2+ Gastric Cancer (ASPEN-06): NCT05002127 [Electronic resource]. URL: https://clinicaltrials.gov/study/NCT05002127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7. ALX Oncology. ALX Oncology Reports ASPEN-03 and ASPEN-04 Phase 2 Trials Evaluating Evorpacept with a Checkpoint Inhibitor for the Treatment of Head and Neck Cancers Did Not Meet Primary Endpoints [Electronic resource]. April 25, 2025. URL: https://ir.alxoncology.com/news-releases/news-release-details/alx-oncology-reports-aspen-03-and-aspen-04-phase-2-trials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8. Fakih M., Gill S., Sampat K. et al. Phase II randomised study of magrolimab combined with bevacizumab-FOLFIRI in patients with previously treated advanced inoperable metastatic colorectal cancer // ESMO Gastrointestinal Oncology. 2026. Vol. 12. Art. 100324. DOI: 10.1016/j.esmogo.2026.100324. PMID: 42022129.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9. Advani R., Flinn I., Popplewell L. et al. CD47 Blockade by Hu5F9-G4 and Rituximab in Non-Hodgkin’s Lymphoma // New England Journal of Medicine. 2018. Vol. 379, No. 18. P. 1711–1721. DOI: 10.1056/NEJMoa1807315. PMID: 30380386.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lastRenderedPageBreak/>
        <w:t>10. Ansell S. M., Maris M. B., Lesokhin A. M. et al. Phase I Study of the CD47 Blocker TTI-621 in Patients with Relapsed or Refractory Hematologic Malignancies // Clinical Cancer Research. 2021. Vol. 27, No. 8. P. 2190–2199. DOI: 10.1158/1078-0432.CCR-20-3706. PMID: 33451977.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11. Krishnamoorthy M. et al. Maplirpacept: a CD47 decoy receptor with minimal red blood cell binding and robust anti-tumor efficacy // Frontiers in Immunology. 2025. Vol. 16. Art. 1518787. DOI: 10.3389/fimmu.2025.1518787. PMID: 40078999.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12. Lakhani N. J. et al. Evorpacept alone and in combination with pembrolizumab or trastuzumab in patients with advanced solid tumours: a first-in-human, open-label, multicentre, phase 1 dose-escalation and dose-expansion study // Lancet Oncology. 2021. Vol. 22, No. 12. P. 1740–1751. DOI: 10.1016/S1470-2045(21)00584-2. PMID: 34793719.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13. ClinicalTrials.gov. A Study of Lemzoparlimab in Participants With Myelodysplastic Syndrome: NCT05709093 [Electronic resource]. URL: https://clinicaltrials.gov/study/NCT05709093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14. Zeidan A. M., DeAngelo D. J., Palmer J. et al. Phase 1 study of anti-CD47 monoclonal antibody CC-90002 in patients with relapsed/refractory acute myeloid leukemia and high-risk myelodysplastic syndromes // Annals of Hematology. 2022. Vol. 101, No. 3. P. 557–569. DOI: 10.1007/s00277-021-04734-2. PMID: 34981142.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15. ClinicalTrials.gov. A Study of SRF231 in Patients With Advanced Solid and Hematologic Cancers: NCT03512340 [Electronic resource]. URL: https://clinicaltrials.gov/study/NCT03512340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16. ClinicalTrials.gov. A Phase 1/2 Study of AO-176 in Patients With Select Solid Tumors: NCT03834948 [Electronic resource]. URL: https://clinicaltrials.gov/study/NCT03834948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17. Ahn J. S. et al. Phase 1 Study of IMC-002, a Next-Generation Anti-CD47 Antibody, in Advanced Solid Tumors // Cancer Research and Treatment. 2025. Published online. DOI: 10.4143/crt.2025.820. PMID: 41197525.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18. ClinicalTrials.gov. First-in-Human Phase I Trial of ZL-1201 in Advanced Cancer: NCT04257617 [Electronic resource]. URL: https://clinicaltrials.gov/study/NCT04257617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19. ClinicalTrials.gov. A Study of STI-6643 in Patients With Selected Advanced Solid Tumors: NCT04900519 [Electronic resource]. URL: https://clinicaltrials.gov/study/NCT04900519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20. ClinicalTrials.gov. A Study of Gentulizumab in Patients With Advanced Solid Malignancies and Non-Hodgkin Lymphoma: NCT05221385 [Electronic resource]. URL: https://clinicaltrials.gov/study/NCT05221385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21. Cai J. et al. LM-101, an Anti-SIRPα Antibody, in Patients with Relapsed/Refractory Lymphoma and Advanced Head and Neck Cancer: An Open-Label, Multicenter, Phase I Trial // Clinical Cancer Research. 2026. Vol. 32, No. 12. P. 2391–2402. DOI: 10.1158/1078-0432.CCR-25-2357. PMID: 41910591.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lastRenderedPageBreak/>
        <w:t>22. Narkhede M., Bartlett N. L., Ibrahimi S. et al. A phase 1 first-in-human study of GS-0189, an anti-signal regulatory protein alpha (SIRPα) monoclonal antibody, in patients with relapsed/refractory non-Hodgkin lymphoma // EJHaem. 2023. Vol. 4, No. 2. P. 370–380. DOI: 10.1002/jha2.687. PMID: 37206279.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23. ClinicalTrials.gov. A Study of BYON4228 in Patients With CD20-Positive B-Cell Non-Hodgkin Lymphoma: NCT05737628 [Electronic resource]. URL: https://clinicaltrials.gov/study/NCT05737628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24. ClinicalTrials.gov. HCB101 Clinical Program: NCT05892718; NCT06771622 [Electronic resource]. URL: https://clinicaltrials.gov/study/NCT05892718; https://clinicaltrials.gov/study/NCT06771622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25. Yang J., Song Y., Zhou K. et al. Safety and efficacy of amulirafusp alfa (IMM0306), a fusion protein of CD20 monoclonal antibody with the CD47 binding domain of SIRPα, in relapsed/refractory B-cell non-Hodgkin lymphoma // Journal of Hematology &amp; Oncology. 2024. Vol. 17. Art. 123. DOI: 10.1186/s13045-024-01646-2. PMID: 39696680.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26. ClinicalTrials.gov. A Study of PF-07257876 in Participants With Selected Advanced Tumors: NCT04881045 [Electronic resource]. URL: https://clinicaltrials.gov/study/NCT04881045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27. ClinicalTrials.gov. A Study of BAT7104 in Patients With Advanced Solid Tumors: NCT05767060 [Electronic resource]. URL: https://clinicaltrials.gov/study/NCT05767060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28. ClinicalTrials.gov. A Study of AK132 in Patients With Advanced Malignant Solid Tumors: NCT06166472 [Electronic resource]. URL: https://clinicaltrials.gov/study/NCT06166472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29. Cendrowicz E. et al. DSP107 combines inhibition of CD47/SIRPα axis with activation of 4-1BB to trigger anticancer immunity // Journal of Experimental &amp; Clinical Cancer Research. 2022. Vol. 41. Art. 97. DOI: 10.1186/s13046-022-02256-x. PMID: 35287686.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30. ALX Oncology. Evorpacept in Combination with Zanidatamab Generates Promising, Durable Response in Patients with Advanced HER2-Positive Breast Cancer and High CD47 Expression [Electronic resource]. May 7, 2026. URL: https://ir.alxoncology.com/news-releases/news-release-details/alx-oncologys-evorpacept-combination-zanidatamab-generates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31. Eng C., Lakhani N. J., Philip P. A. et al. A Phase 1b/2 Study of the Anti-CD47 Antibody Magrolimab with Cetuximab in Patients with Colorectal Cancer and Other Solid Tumors // Targeted Oncology. 2025. Vol. 20, No. 3. P. 519–530. DOI: 10.1007/s11523-025-01130-y. PMID: 40140179.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32. Lentz R. W. et al. Phase II Clinical Trial and Preclinical Evaluation of a Novel CD47 Blockade Combination in Refractory Microsatellite-Stable Metastatic Colorectal Cancer // Cancer Research Communications. 2025. Vol. 5, No. 11. P. 2039–2052. DOI: 10.1158/2767-9764.CRC-25-0332. PMID: 41171165.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lastRenderedPageBreak/>
        <w:t>33. Sallman D. A. et al. Magrolimab in Combination With Azacitidine in Patients With Higher-Risk Myelodysplastic Syndromes: Final Results of a Phase Ib Study // Journal of Clinical Oncology. 2023. Vol. 41, No. 15. P. 2815–2826. DOI: 10.1200/JCO.22.01794.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34. ClinicalTrials.gov. ASPEN-09-03: A Study of Evorpacept in Combination With Trastuzumab and Chemotherapy in Metastatic HER2-Positive Breast Cancer: NCT07007559 [Electronic resource]. URL: https://clinicaltrials.gov/study/NCT07007559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35. Gilead Sciences. Gilead to Discontinue Phase 3 ENHANCE Study of Magrolimab Plus Azacitidine in Higher-Risk MDS [Electronic resource]. July 21, 2023. URL: https://www.gilead.com/news/news-details/2023/gilead-to-discontinue-phase-3-enhance-study-of-magrolimab-plus-azacitidine-in-higher-risk-mds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36. Gilead Sciences. Gilead Announces Partial Clinical Hold for Magrolimab Studies in AML [Electronic resource]. August 21, 2023. URL: https://www.gilead.com/news/news-details/2023/gilead-announces-partial-clinical-hold-for-magrolimab-studies-in-aml (accessed: 10.08.2026).</w:t>
      </w:r>
    </w:p>
    <w:p w:rsidR="00AB55B2" w:rsidRPr="00AB55B2" w:rsidRDefault="00AB55B2" w:rsidP="00AB55B2">
      <w:pPr>
        <w:tabs>
          <w:tab w:val="left" w:pos="360"/>
        </w:tabs>
        <w:ind w:left="360" w:hanging="360"/>
        <w:rPr>
          <w:sz w:val="22"/>
        </w:rPr>
      </w:pPr>
      <w:r w:rsidRPr="00AB55B2">
        <w:rPr>
          <w:sz w:val="22"/>
        </w:rPr>
        <w:t>37. European Medicines Agency. EU/3/15/1582: Orphan designation for magrolimab for the treatment of acute myeloid leukaemia [Electronic resource]. Withdrawn from the Union Register in February 2025 at the sponsor’s request. URL: https://www.ema.europa.eu/en/medicines/human/orphan-designations/eu-3-15-1582 (accessed: 10.08.2026).</w:t>
      </w:r>
    </w:p>
    <w:p w:rsidR="006042C8" w:rsidRPr="009925BE" w:rsidRDefault="006042C8" w:rsidP="00AB55B2">
      <w:pPr>
        <w:rPr>
          <w:sz w:val="24"/>
          <w:szCs w:val="24"/>
        </w:rPr>
      </w:pPr>
    </w:p>
    <w:sectPr w:rsidR="006042C8" w:rsidRPr="009925BE" w:rsidSect="00DF0B0B">
      <w:pgSz w:w="11906" w:h="16838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99F" w:rsidRDefault="0079199F">
      <w:pPr>
        <w:spacing w:line="240" w:lineRule="auto"/>
      </w:pPr>
      <w:r>
        <w:separator/>
      </w:r>
    </w:p>
  </w:endnote>
  <w:endnote w:type="continuationSeparator" w:id="0">
    <w:p w:rsidR="0079199F" w:rsidRDefault="00791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B0B" w:rsidRDefault="00DF0B0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60011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99F" w:rsidRDefault="0079199F">
      <w:pPr>
        <w:spacing w:line="240" w:lineRule="auto"/>
      </w:pPr>
      <w:r>
        <w:separator/>
      </w:r>
    </w:p>
  </w:footnote>
  <w:footnote w:type="continuationSeparator" w:id="0">
    <w:p w:rsidR="0079199F" w:rsidRDefault="007919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CE1AB1"/>
    <w:multiLevelType w:val="hybridMultilevel"/>
    <w:tmpl w:val="65C0E2F0"/>
    <w:lvl w:ilvl="0" w:tplc="95623BD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5BE"/>
    <w:rsid w:val="0006063C"/>
    <w:rsid w:val="0015074B"/>
    <w:rsid w:val="00224DF8"/>
    <w:rsid w:val="00282110"/>
    <w:rsid w:val="0029639D"/>
    <w:rsid w:val="002D36C0"/>
    <w:rsid w:val="00326F90"/>
    <w:rsid w:val="00600111"/>
    <w:rsid w:val="006042C8"/>
    <w:rsid w:val="0079199F"/>
    <w:rsid w:val="009925BE"/>
    <w:rsid w:val="009C25E4"/>
    <w:rsid w:val="009C7BBD"/>
    <w:rsid w:val="00A517F0"/>
    <w:rsid w:val="00AA1D8D"/>
    <w:rsid w:val="00AB55B2"/>
    <w:rsid w:val="00B33BE9"/>
    <w:rsid w:val="00B36E39"/>
    <w:rsid w:val="00B44ACC"/>
    <w:rsid w:val="00B47730"/>
    <w:rsid w:val="00C7012B"/>
    <w:rsid w:val="00CB0664"/>
    <w:rsid w:val="00CC1D84"/>
    <w:rsid w:val="00DF0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8098D"/>
  <w14:defaultImageDpi w14:val="300"/>
  <w15:docId w15:val="{CCCC91DB-EB98-4BD4-A441-0007B4B2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5BE"/>
    <w:pPr>
      <w:keepNext/>
      <w:keepLines/>
      <w:spacing w:before="240" w:after="120"/>
      <w:ind w:left="720" w:firstLine="0"/>
      <w:jc w:val="left"/>
      <w:outlineLvl w:val="1"/>
    </w:pPr>
    <w:rPr>
      <w:rFonts w:eastAsiaTheme="majorEastAsia" w:cs="Times New Roman"/>
      <w:bCs/>
      <w:color w:val="000000"/>
      <w:szCs w:val="2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415BE"/>
    <w:rPr>
      <w:rFonts w:ascii="Times New Roman" w:eastAsiaTheme="majorEastAsia" w:hAnsi="Times New Roman" w:cs="Times New Roman"/>
      <w:bCs/>
      <w:color w:val="000000"/>
      <w:sz w:val="28"/>
      <w:szCs w:val="24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517F0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D36C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36C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0415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eference">
    <w:name w:val="Reference"/>
    <w:basedOn w:val="Normal"/>
    <w:rsid w:val="00AB55B2"/>
    <w:pPr>
      <w:spacing w:after="120" w:line="264" w:lineRule="auto"/>
      <w:ind w:left="403" w:hanging="403"/>
      <w:jc w:val="left"/>
    </w:pPr>
    <w:rPr>
      <w:rFonts w:ascii="Calibri" w:eastAsiaTheme="minorEastAsia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2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AF8907-6C88-422B-9670-68DD38869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7916</Words>
  <Characters>45127</Characters>
  <Application>Microsoft Office Word</Application>
  <DocSecurity>0</DocSecurity>
  <Lines>376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HP3168</cp:lastModifiedBy>
  <cp:revision>2</cp:revision>
  <dcterms:created xsi:type="dcterms:W3CDTF">2026-08-10T02:16:00Z</dcterms:created>
  <dcterms:modified xsi:type="dcterms:W3CDTF">2026-08-10T02:16:00Z</dcterms:modified>
  <cp:category/>
</cp:coreProperties>
</file>