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ioetl-class-diagrams-with-descriptions"/>
      <w:r>
        <w:t xml:space="preserve">BioETL Class Diagrams with Descriptions</w:t>
      </w:r>
      <w:bookmarkEnd w:id="20"/>
    </w:p>
    <w:p>
      <w:pPr>
        <w:pStyle w:val="FirstParagraph"/>
      </w:pPr>
      <w:r>
        <w:t xml:space="preserve">Сгенерировано: 2026-03-03T09:44:02+03:00</w:t>
      </w:r>
    </w:p>
    <w:p>
      <w:pPr>
        <w:pStyle w:val="BodyText"/>
      </w:pPr>
      <w:r>
        <w:t xml:space="preserve">Всего диаграмм: 19</w:t>
      </w:r>
    </w:p>
    <w:p>
      <w:pPr>
        <w:pStyle w:val="Heading2"/>
      </w:pPr>
      <w:bookmarkStart w:id="21" w:name="X234d485aa72ce766cf2a03088e9cecf544679a5"/>
      <w:r>
        <w:t xml:space="preserve">01-domain-ports — Domain Port Protocols</w:t>
      </w:r>
      <w:bookmarkEnd w:id="21"/>
    </w:p>
    <w:p>
      <w:pPr>
        <w:pStyle w:val="FirstParagraph"/>
      </w:pPr>
      <w:r>
        <w:drawing>
          <wp:inline>
            <wp:extent cx="5334000" cy="17790481"/>
            <wp:effectExtent b="0" l="0" r="0" t="0"/>
            <wp:docPr descr="01-domain-ports" title="" id="1" name="Picture"/>
            <a:graphic>
              <a:graphicData uri="http://schemas.openxmlformats.org/drawingml/2006/picture">
                <pic:pic>
                  <pic:nvPicPr>
                    <pic:cNvPr descr="class-diagrams/png/01-domain-por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790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3" w:name="описание"/>
      <w:r>
        <w:t xml:space="preserve">Описание</w:t>
      </w:r>
      <w:bookmarkEnd w:id="23"/>
    </w:p>
    <w:p>
      <w:pPr>
        <w:pStyle w:val="FirstParagraph"/>
      </w:pPr>
      <w:r>
        <w:t xml:space="preserve">Диаграмма Domain Port Protocols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01-domain-ports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All Protocol interfaces defined in domain/ports/. На схеме отражено примерно 19 классов и 1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DataSourcePort, FilterableDataSourcePort, StoragePort, LockPort, CheckpointPort, QuarantinePort.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711a635ebd8e748a75ee839b908c3c0fa34ec96"/>
      <w:r>
        <w:t xml:space="preserve">01a-domain-ports-method-catalog — Domain Port Method Catalog (L2)</w:t>
      </w:r>
      <w:bookmarkEnd w:id="24"/>
    </w:p>
    <w:p>
      <w:pPr>
        <w:pStyle w:val="FirstParagraph"/>
      </w:pPr>
      <w:r>
        <w:drawing>
          <wp:inline>
            <wp:extent cx="5334000" cy="950225"/>
            <wp:effectExtent b="0" l="0" r="0" t="0"/>
            <wp:docPr descr="01a-domain-ports-method-catalog" title="" id="1" name="Picture"/>
            <a:graphic>
              <a:graphicData uri="http://schemas.openxmlformats.org/drawingml/2006/picture">
                <pic:pic>
                  <pic:nvPicPr>
                    <pic:cNvPr descr="class-diagrams/png/01a-domain-ports-method-catalo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50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6" w:name="описание-1"/>
      <w:r>
        <w:t xml:space="preserve">Описание</w:t>
      </w:r>
      <w:bookmarkEnd w:id="26"/>
    </w:p>
    <w:p>
      <w:pPr>
        <w:pStyle w:val="FirstParagraph"/>
      </w:pPr>
      <w:r>
        <w:t xml:space="preserve">Диаграмма «Domain Port Method Catalog (L2)» описывает модуль</w:t>
      </w:r>
      <w:r>
        <w:t xml:space="preserve"> </w:t>
      </w:r>
      <w:r>
        <w:rPr>
          <w:rStyle w:val="VerbatimChar"/>
        </w:rPr>
        <w:t xml:space="preserve">01a-domain-ports-method-catalog</w:t>
      </w:r>
      <w:r>
        <w:t xml:space="preserve"> </w:t>
      </w:r>
      <w:r>
        <w:t xml:space="preserve">и фиксирует ключевые классы, контракты и связи на уровне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Detailed method surface extracted from 01-domain-ports L1 overview.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9ee4458dcaeac17cd65b1492ffc530cc1a5cd94"/>
      <w:r>
        <w:t xml:space="preserve">02-entities-aggregates — Entities &amp; Aggregates</w:t>
      </w:r>
      <w:bookmarkEnd w:id="27"/>
    </w:p>
    <w:p>
      <w:pPr>
        <w:pStyle w:val="FirstParagraph"/>
      </w:pPr>
      <w:r>
        <w:drawing>
          <wp:inline>
            <wp:extent cx="5334000" cy="2437835"/>
            <wp:effectExtent b="0" l="0" r="0" t="0"/>
            <wp:docPr descr="02-entities-aggregates" title="" id="1" name="Picture"/>
            <a:graphic>
              <a:graphicData uri="http://schemas.openxmlformats.org/drawingml/2006/picture">
                <pic:pic>
                  <pic:nvPicPr>
                    <pic:cNvPr descr="class-diagrams/png/02-entities-aggregat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29" w:name="описание-2"/>
      <w:r>
        <w:t xml:space="preserve">Описание</w:t>
      </w:r>
      <w:bookmarkEnd w:id="29"/>
    </w:p>
    <w:p>
      <w:pPr>
        <w:pStyle w:val="FirstParagraph"/>
      </w:pPr>
      <w:r>
        <w:t xml:space="preserve">Диаграмма Entities &amp; Aggregates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02-entities-aggregates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Domain entities, aggregate roots, and their relationships. На схеме отражено примерно 13 классов и 9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BaseEntity, Bioactivity, BioactivityState, PublicationBase, Batch, BatchRecord.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84a54ccafadf1946d71ae729472cf8301419921"/>
      <w:r>
        <w:t xml:space="preserve">03-value-objects — Value Objects</w:t>
      </w:r>
      <w:bookmarkEnd w:id="30"/>
    </w:p>
    <w:p>
      <w:pPr>
        <w:pStyle w:val="FirstParagraph"/>
      </w:pPr>
      <w:r>
        <w:drawing>
          <wp:inline>
            <wp:extent cx="5334000" cy="1152380"/>
            <wp:effectExtent b="0" l="0" r="0" t="0"/>
            <wp:docPr descr="03-value-objects" title="" id="1" name="Picture"/>
            <a:graphic>
              <a:graphicData uri="http://schemas.openxmlformats.org/drawingml/2006/picture">
                <pic:pic>
                  <pic:nvPicPr>
                    <pic:cNvPr descr="class-diagrams/png/03-value-object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2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2" w:name="описание-3"/>
      <w:r>
        <w:t xml:space="preserve">Описание</w:t>
      </w:r>
      <w:bookmarkEnd w:id="32"/>
    </w:p>
    <w:p>
      <w:pPr>
        <w:pStyle w:val="FirstParagraph"/>
      </w:pPr>
      <w:r>
        <w:t xml:space="preserve">Диаграмма Value Objects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03-value-objects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Immutable domain value objects. На схеме отражено примерно 17 классов и 6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BronzeWriteResult, SilverWriteResult, RunContext, HealthCheckResult, FencingToken, LockContext.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ace7d5a93ec405001beb1636912dac960046dc9"/>
      <w:r>
        <w:t xml:space="preserve">04-types-enums — Types &amp; Enums</w:t>
      </w:r>
      <w:bookmarkEnd w:id="33"/>
    </w:p>
    <w:p>
      <w:pPr>
        <w:pStyle w:val="FirstParagraph"/>
      </w:pPr>
      <w:r>
        <w:drawing>
          <wp:inline>
            <wp:extent cx="5334000" cy="904013"/>
            <wp:effectExtent b="0" l="0" r="0" t="0"/>
            <wp:docPr descr="04-types-enums" title="" id="1" name="Picture"/>
            <a:graphic>
              <a:graphicData uri="http://schemas.openxmlformats.org/drawingml/2006/picture">
                <pic:pic>
                  <pic:nvPicPr>
                    <pic:cNvPr descr="class-diagrams/png/04-types-enum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4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5" w:name="описание-4"/>
      <w:r>
        <w:t xml:space="preserve">Описание</w:t>
      </w:r>
      <w:bookmarkEnd w:id="35"/>
    </w:p>
    <w:p>
      <w:pPr>
        <w:pStyle w:val="FirstParagraph"/>
      </w:pPr>
      <w:r>
        <w:t xml:space="preserve">Диаграмма Types &amp; Enums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04-types-enums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All type aliases, NewTypes, and enumerations. На схеме отражено примерно 19 классов и 0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RunID, EntityID, ContentHash, BatchID, RunType, PublicationType.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0e6569730036163fe64b57caf880bb3b328f812"/>
      <w:r>
        <w:t xml:space="preserve">05-exceptions — Exception Hierarchy</w:t>
      </w:r>
      <w:bookmarkEnd w:id="36"/>
    </w:p>
    <w:p>
      <w:pPr>
        <w:pStyle w:val="FirstParagraph"/>
      </w:pPr>
      <w:r>
        <w:drawing>
          <wp:inline>
            <wp:extent cx="5334000" cy="5175049"/>
            <wp:effectExtent b="0" l="0" r="0" t="0"/>
            <wp:docPr descr="05-exceptions" title="" id="1" name="Picture"/>
            <a:graphic>
              <a:graphicData uri="http://schemas.openxmlformats.org/drawingml/2006/picture">
                <pic:pic>
                  <pic:nvPicPr>
                    <pic:cNvPr descr="class-diagrams/png/05-exception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750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38" w:name="описание-5"/>
      <w:r>
        <w:t xml:space="preserve">Описание</w:t>
      </w:r>
      <w:bookmarkEnd w:id="38"/>
    </w:p>
    <w:p>
      <w:pPr>
        <w:pStyle w:val="FirstParagraph"/>
      </w:pPr>
      <w:r>
        <w:t xml:space="preserve">Диаграмма Exception Hierarchy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05-exceptions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Domain exception tree. На схеме отражено примерно 19 классов и 18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BioETLError, CriticalError, RecoverableError, DataQualityError, ValidationError, SchemaViolationError.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23da77654d03a8064be58b5de7d820e88496470"/>
      <w:r>
        <w:t xml:space="preserve">06-config-classes — Configuration Classes</w:t>
      </w:r>
      <w:bookmarkEnd w:id="39"/>
    </w:p>
    <w:p>
      <w:pPr>
        <w:pStyle w:val="FirstParagraph"/>
      </w:pPr>
      <w:r>
        <w:drawing>
          <wp:inline>
            <wp:extent cx="5334000" cy="19512272"/>
            <wp:effectExtent b="0" l="0" r="0" t="0"/>
            <wp:docPr descr="06-config-classes" title="" id="1" name="Picture"/>
            <a:graphic>
              <a:graphicData uri="http://schemas.openxmlformats.org/drawingml/2006/picture">
                <pic:pic>
                  <pic:nvPicPr>
                    <pic:cNvPr descr="class-diagrams/png/06-config-clas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12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41" w:name="описание-6"/>
      <w:r>
        <w:t xml:space="preserve">Описание</w:t>
      </w:r>
      <w:bookmarkEnd w:id="41"/>
    </w:p>
    <w:p>
      <w:pPr>
        <w:pStyle w:val="FirstParagraph"/>
      </w:pPr>
      <w:r>
        <w:t xml:space="preserve">Диаграмма Configuration Classes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06-config-classes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Domain and application configuration hierarchy. На схеме отражено примерно 14 классов и 10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RuntimeConfig, PipelineConfig, TableConfig, DQConfig, SilverFilterConfig, GoldFilterConfig.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839fed3c3cacccb88e6202a1cf113aac14cea53"/>
      <w:r>
        <w:t xml:space="preserve">07-application-core-services — Application Core Services</w:t>
      </w:r>
      <w:bookmarkEnd w:id="42"/>
    </w:p>
    <w:p>
      <w:pPr>
        <w:pStyle w:val="FirstParagraph"/>
      </w:pPr>
      <w:r>
        <w:drawing>
          <wp:inline>
            <wp:extent cx="5334000" cy="9880652"/>
            <wp:effectExtent b="0" l="0" r="0" t="0"/>
            <wp:docPr descr="07-application-core-services" title="" id="1" name="Picture"/>
            <a:graphic>
              <a:graphicData uri="http://schemas.openxmlformats.org/drawingml/2006/picture">
                <pic:pic>
                  <pic:nvPicPr>
                    <pic:cNvPr descr="class-diagrams/png/07-application-core-servic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80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44" w:name="описание-7"/>
      <w:r>
        <w:t xml:space="preserve">Описание</w:t>
      </w:r>
      <w:bookmarkEnd w:id="44"/>
    </w:p>
    <w:p>
      <w:pPr>
        <w:pStyle w:val="FirstParagraph"/>
      </w:pPr>
      <w:r>
        <w:t xml:space="preserve">Диаграмма Application Core Services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07-application-core-services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PipelineRunner, BatchExecutor, and their composition. На схеме отражено примерно 16 классов и 17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PipelineRunner, PipelineServices, BatchExecutor, BatchTransformer, BatchWriter, BatchMemoryManager.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X82a8c73213d2684221accefc8899d4f88ece396"/>
      <w:r>
        <w:t xml:space="preserve">08-application-services — Application Services</w:t>
      </w:r>
      <w:bookmarkEnd w:id="45"/>
    </w:p>
    <w:p>
      <w:pPr>
        <w:pStyle w:val="FirstParagraph"/>
      </w:pPr>
      <w:r>
        <w:drawing>
          <wp:inline>
            <wp:extent cx="5334000" cy="671977"/>
            <wp:effectExtent b="0" l="0" r="0" t="0"/>
            <wp:docPr descr="08-application-services" title="" id="1" name="Picture"/>
            <a:graphic>
              <a:graphicData uri="http://schemas.openxmlformats.org/drawingml/2006/picture">
                <pic:pic>
                  <pic:nvPicPr>
                    <pic:cNvPr descr="class-diagrams/png/08-application-servic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1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47" w:name="описание-8"/>
      <w:r>
        <w:t xml:space="preserve">Описание</w:t>
      </w:r>
      <w:bookmarkEnd w:id="47"/>
    </w:p>
    <w:p>
      <w:pPr>
        <w:pStyle w:val="FirstParagraph"/>
      </w:pPr>
      <w:r>
        <w:t xml:space="preserve">Диаграмма Application Services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08-application-services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High-level application services. На схеме отражено примерно 19 классов и 4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DataQualityService, DQReportService, MedallionLifecycleService, VacuumService, PipelineObserver, LifecyclePhase.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X636822adf464855a6ec03f5226cd597ddbf0895"/>
      <w:r>
        <w:t xml:space="preserve">08a-application-services-operation-catalog — Application Service Operation Catalog (L2)</w:t>
      </w:r>
      <w:bookmarkEnd w:id="48"/>
    </w:p>
    <w:p>
      <w:pPr>
        <w:pStyle w:val="FirstParagraph"/>
      </w:pPr>
      <w:r>
        <w:drawing>
          <wp:inline>
            <wp:extent cx="5334000" cy="926254"/>
            <wp:effectExtent b="0" l="0" r="0" t="0"/>
            <wp:docPr descr="08a-application-services-operation-catalog" title="" id="1" name="Picture"/>
            <a:graphic>
              <a:graphicData uri="http://schemas.openxmlformats.org/drawingml/2006/picture">
                <pic:pic>
                  <pic:nvPicPr>
                    <pic:cNvPr descr="class-diagrams/png/08a-application-services-operation-catalo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6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50" w:name="описание-9"/>
      <w:r>
        <w:t xml:space="preserve">Описание</w:t>
      </w:r>
      <w:bookmarkEnd w:id="50"/>
    </w:p>
    <w:p>
      <w:pPr>
        <w:pStyle w:val="FirstParagraph"/>
      </w:pPr>
      <w:r>
        <w:t xml:space="preserve">Диаграмма «Application Service Operation Catalog (L2)» описывает модуль</w:t>
      </w:r>
      <w:r>
        <w:t xml:space="preserve"> </w:t>
      </w:r>
      <w:r>
        <w:rPr>
          <w:rStyle w:val="VerbatimChar"/>
        </w:rPr>
        <w:t xml:space="preserve">08a-application-services-operation-catalog</w:t>
      </w:r>
      <w:r>
        <w:t xml:space="preserve"> </w:t>
      </w:r>
      <w:r>
        <w:t xml:space="preserve">и фиксирует ключевые классы, контракты и связи на уровне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Detailed operational methods extracted from 08-application-services L1 overview.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Xf8df1eb51060347c646fb53a465bec2d7dbaad3"/>
      <w:r>
        <w:t xml:space="preserve">09-transformers — Transformers</w:t>
      </w:r>
      <w:bookmarkEnd w:id="51"/>
    </w:p>
    <w:p>
      <w:pPr>
        <w:pStyle w:val="FirstParagraph"/>
      </w:pPr>
      <w:r>
        <w:drawing>
          <wp:inline>
            <wp:extent cx="5334000" cy="12893893"/>
            <wp:effectExtent b="0" l="0" r="0" t="0"/>
            <wp:docPr descr="09-transformers" title="" id="1" name="Picture"/>
            <a:graphic>
              <a:graphicData uri="http://schemas.openxmlformats.org/drawingml/2006/picture">
                <pic:pic>
                  <pic:nvPicPr>
                    <pic:cNvPr descr="class-diagrams/png/09-transform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938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53" w:name="описание-10"/>
      <w:r>
        <w:t xml:space="preserve">Описание</w:t>
      </w:r>
      <w:bookmarkEnd w:id="53"/>
    </w:p>
    <w:p>
      <w:pPr>
        <w:pStyle w:val="FirstParagraph"/>
      </w:pPr>
      <w:r>
        <w:t xml:space="preserve">Диаграмма Transformers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09-transformers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BaseTransformer hierarchy and provider-specific implementations. На схеме отражено примерно 20 классов и 19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BaseTransformer, BaseChemblTransformer, BasePublicationTransformer, ActivityTransformer, AssayTransformer, MoleculeTransformer.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X96d3b2cbe409b8b0ede3f2e7552ba9647a8e3fe"/>
      <w:r>
        <w:t xml:space="preserve">10-adapters — Infrastructure Adapters</w:t>
      </w:r>
      <w:bookmarkEnd w:id="54"/>
    </w:p>
    <w:p>
      <w:pPr>
        <w:pStyle w:val="FirstParagraph"/>
      </w:pPr>
      <w:r>
        <w:drawing>
          <wp:inline>
            <wp:extent cx="5334000" cy="7655938"/>
            <wp:effectExtent b="0" l="0" r="0" t="0"/>
            <wp:docPr descr="10-adapters" title="" id="1" name="Picture"/>
            <a:graphic>
              <a:graphicData uri="http://schemas.openxmlformats.org/drawingml/2006/picture">
                <pic:pic>
                  <pic:nvPicPr>
                    <pic:cNvPr descr="class-diagrams/png/10-adapte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59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56" w:name="описание-11"/>
      <w:r>
        <w:t xml:space="preserve">Описание</w:t>
      </w:r>
      <w:bookmarkEnd w:id="56"/>
    </w:p>
    <w:p>
      <w:pPr>
        <w:pStyle w:val="FirstParagraph"/>
      </w:pPr>
      <w:r>
        <w:t xml:space="preserve">Диаграмма Infrastructure Adapters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10-adapters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HTTP adapter class hierarchy with mixins. На схеме отражено примерно 18 классов и 14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HealthCheckMixin, HealthCheckProviderMixin, BaseHttpAdapter, BaseSyncAdapter, UnifiedHTTPClient, ChemblAdapter.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a548d707fc9e3e6e4e4cf6ce801efcfcacd2cf1"/>
      <w:r>
        <w:t xml:space="preserve">11-storage — Storage Components</w:t>
      </w:r>
      <w:bookmarkEnd w:id="57"/>
    </w:p>
    <w:p>
      <w:pPr>
        <w:pStyle w:val="FirstParagraph"/>
      </w:pPr>
      <w:r>
        <w:drawing>
          <wp:inline>
            <wp:extent cx="5334000" cy="9836224"/>
            <wp:effectExtent b="0" l="0" r="0" t="0"/>
            <wp:docPr descr="11-storage" title="" id="1" name="Picture"/>
            <a:graphic>
              <a:graphicData uri="http://schemas.openxmlformats.org/drawingml/2006/picture">
                <pic:pic>
                  <pic:nvPicPr>
                    <pic:cNvPr descr="class-diagrams/png/11-storag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36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59" w:name="описание-12"/>
      <w:r>
        <w:t xml:space="preserve">Описание</w:t>
      </w:r>
      <w:bookmarkEnd w:id="59"/>
    </w:p>
    <w:p>
      <w:pPr>
        <w:pStyle w:val="FirstParagraph"/>
      </w:pPr>
      <w:r>
        <w:t xml:space="preserve">Диаграмма Storage Components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11-storage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Bronze/Silver/Gold writers and supporting classes. На схеме отражено примерно 16 классов и 17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BaseDeltaWriter, BronzeWriter, SilverWriter, GoldWriter, DeltaReader, ArrowDataConverter.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0" w:name="X2b8b46128bd73996913fd0956f6425cc022bb3f"/>
      <w:r>
        <w:t xml:space="preserve">12-composite-pipeline — Composite Pipeline Components</w:t>
      </w:r>
      <w:bookmarkEnd w:id="60"/>
    </w:p>
    <w:p>
      <w:pPr>
        <w:pStyle w:val="FirstParagraph"/>
      </w:pPr>
      <w:r>
        <w:drawing>
          <wp:inline>
            <wp:extent cx="5334000" cy="9300754"/>
            <wp:effectExtent b="0" l="0" r="0" t="0"/>
            <wp:docPr descr="12-composite-pipeline" title="" id="1" name="Picture"/>
            <a:graphic>
              <a:graphicData uri="http://schemas.openxmlformats.org/drawingml/2006/picture">
                <pic:pic>
                  <pic:nvPicPr>
                    <pic:cNvPr descr="class-diagrams/png/12-composite-pipelin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00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62" w:name="описание-13"/>
      <w:r>
        <w:t xml:space="preserve">Описание</w:t>
      </w:r>
      <w:bookmarkEnd w:id="62"/>
    </w:p>
    <w:p>
      <w:pPr>
        <w:pStyle w:val="FirstParagraph"/>
      </w:pPr>
      <w:r>
        <w:t xml:space="preserve">Диаграмма Composite Pipeline Components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12-composite-pipeline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Runner, coordinators, merge service, and FSM. На схеме отражено примерно 14 классов и 13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CompositePipelineRunner, CompositeRuntimeConfig, EnrichmentCoordinator, DependencyCoordinator, MergeService, EnricherAggregator.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3" w:name="X82f59d8782455524808080e9389287f087250f1"/>
      <w:r>
        <w:t xml:space="preserve">13-domain-services — Domain Services</w:t>
      </w:r>
      <w:bookmarkEnd w:id="63"/>
    </w:p>
    <w:p>
      <w:pPr>
        <w:pStyle w:val="FirstParagraph"/>
      </w:pPr>
      <w:r>
        <w:drawing>
          <wp:inline>
            <wp:extent cx="5334000" cy="10065068"/>
            <wp:effectExtent b="0" l="0" r="0" t="0"/>
            <wp:docPr descr="13-domain-services" title="" id="1" name="Picture"/>
            <a:graphic>
              <a:graphicData uri="http://schemas.openxmlformats.org/drawingml/2006/picture">
                <pic:pic>
                  <pic:nvPicPr>
                    <pic:cNvPr descr="class-diagrams/png/13-domain-servic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65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65" w:name="описание-14"/>
      <w:r>
        <w:t xml:space="preserve">Описание</w:t>
      </w:r>
      <w:bookmarkEnd w:id="65"/>
    </w:p>
    <w:p>
      <w:pPr>
        <w:pStyle w:val="FirstParagraph"/>
      </w:pPr>
      <w:r>
        <w:t xml:space="preserve">Диаграмма Domain Services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13-domain-services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Pure domain services without I/O. На схеме отражено примерно 10 классов и 0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IdentityService, NormalizationService, DataNormalizationService, AuthorNormalizationService, ActivityAggregator, UnitConverter.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Xd7dc352a4d06c6321a52650a8db1912db7162cf"/>
      <w:r>
        <w:t xml:space="preserve">14-observability — Observability Components</w:t>
      </w:r>
      <w:bookmarkEnd w:id="66"/>
    </w:p>
    <w:p>
      <w:pPr>
        <w:pStyle w:val="FirstParagraph"/>
      </w:pPr>
      <w:r>
        <w:drawing>
          <wp:inline>
            <wp:extent cx="5334000" cy="8122586"/>
            <wp:effectExtent b="0" l="0" r="0" t="0"/>
            <wp:docPr descr="14-observability" title="" id="1" name="Picture"/>
            <a:graphic>
              <a:graphicData uri="http://schemas.openxmlformats.org/drawingml/2006/picture">
                <pic:pic>
                  <pic:nvPicPr>
                    <pic:cNvPr descr="class-diagrams/png/14-observability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22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68" w:name="описание-15"/>
      <w:r>
        <w:t xml:space="preserve">Описание</w:t>
      </w:r>
      <w:bookmarkEnd w:id="68"/>
    </w:p>
    <w:p>
      <w:pPr>
        <w:pStyle w:val="FirstParagraph"/>
      </w:pPr>
      <w:r>
        <w:t xml:space="preserve">Диаграмма Observability Components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14-observability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Logging, metrics, tracing implementations. На схеме отражено примерно 19 классов и 6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LoggerPort, UnifiedLogger, StructlogLogger, NoOpLogger, MetricsPort, MetricsCollector.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Xfa5955ff0c8afc2a0e63947e4544952f0f51ad6"/>
      <w:r>
        <w:t xml:space="preserve">14a-observability-method-catalog — Observability Method Catalog (L2)</w:t>
      </w:r>
      <w:bookmarkEnd w:id="69"/>
    </w:p>
    <w:p>
      <w:pPr>
        <w:pStyle w:val="FirstParagraph"/>
      </w:pPr>
      <w:r>
        <w:drawing>
          <wp:inline>
            <wp:extent cx="5334000" cy="2390835"/>
            <wp:effectExtent b="0" l="0" r="0" t="0"/>
            <wp:docPr descr="14a-observability-method-catalog" title="" id="1" name="Picture"/>
            <a:graphic>
              <a:graphicData uri="http://schemas.openxmlformats.org/drawingml/2006/picture">
                <pic:pic>
                  <pic:nvPicPr>
                    <pic:cNvPr descr="class-diagrams/png/14a-observability-method-catalog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71" w:name="описание-16"/>
      <w:r>
        <w:t xml:space="preserve">Описание</w:t>
      </w:r>
      <w:bookmarkEnd w:id="71"/>
    </w:p>
    <w:p>
      <w:pPr>
        <w:pStyle w:val="FirstParagraph"/>
      </w:pPr>
      <w:r>
        <w:t xml:space="preserve">Диаграмма «Observability Method Catalog (L2)» описывает модуль</w:t>
      </w:r>
      <w:r>
        <w:t xml:space="preserve"> </w:t>
      </w:r>
      <w:r>
        <w:rPr>
          <w:rStyle w:val="VerbatimChar"/>
        </w:rPr>
        <w:t xml:space="preserve">14a-observability-method-catalog</w:t>
      </w:r>
      <w:r>
        <w:t xml:space="preserve"> </w:t>
      </w:r>
      <w:r>
        <w:t xml:space="preserve">и фиксирует ключевые классы, контракты и связи на уровне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Detailed method surface extracted from 14-observability L1 overview.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2" w:name="Xb68ab56c3e91a7970c76f1ab36c2b04e1db73cb"/>
      <w:r>
        <w:t xml:space="preserve">15-extractors — Field Extractors</w:t>
      </w:r>
      <w:bookmarkEnd w:id="72"/>
    </w:p>
    <w:p>
      <w:pPr>
        <w:pStyle w:val="FirstParagraph"/>
      </w:pPr>
      <w:r>
        <w:drawing>
          <wp:inline>
            <wp:extent cx="5334000" cy="8391564"/>
            <wp:effectExtent b="0" l="0" r="0" t="0"/>
            <wp:docPr descr="15-extractors" title="" id="1" name="Picture"/>
            <a:graphic>
              <a:graphicData uri="http://schemas.openxmlformats.org/drawingml/2006/picture">
                <pic:pic>
                  <pic:nvPicPr>
                    <pic:cNvPr descr="class-diagrams/png/15-extractor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91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74" w:name="описание-17"/>
      <w:r>
        <w:t xml:space="preserve">Описание</w:t>
      </w:r>
      <w:bookmarkEnd w:id="74"/>
    </w:p>
    <w:p>
      <w:pPr>
        <w:pStyle w:val="FirstParagraph"/>
      </w:pPr>
      <w:r>
        <w:t xml:space="preserve">Диаграмма Field Extractors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15-extractors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Extractor pattern used in transformers. На схеме отражено примерно 12 классов и 11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BaseFieldExtractor, AbstractExtractor, AuthorExtractor, DateExtractor, ClassificationExtractor, IdentifierExtractor.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X1c5bae0331b261c1812555fa790998df40affbb"/>
      <w:r>
        <w:t xml:space="preserve">16-factories-bootstrap — Factories &amp; Bootstrap</w:t>
      </w:r>
      <w:bookmarkEnd w:id="75"/>
    </w:p>
    <w:p>
      <w:pPr>
        <w:pStyle w:val="FirstParagraph"/>
      </w:pPr>
      <w:r>
        <w:drawing>
          <wp:inline>
            <wp:extent cx="5334000" cy="9735057"/>
            <wp:effectExtent b="0" l="0" r="0" t="0"/>
            <wp:docPr descr="16-factories-bootstrap" title="" id="1" name="Picture"/>
            <a:graphic>
              <a:graphicData uri="http://schemas.openxmlformats.org/drawingml/2006/picture">
                <pic:pic>
                  <pic:nvPicPr>
                    <pic:cNvPr descr="class-diagrams/png/16-factories-bootstrap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35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3"/>
      </w:pPr>
      <w:bookmarkStart w:id="77" w:name="описание-18"/>
      <w:r>
        <w:t xml:space="preserve">Описание</w:t>
      </w:r>
      <w:bookmarkEnd w:id="77"/>
    </w:p>
    <w:p>
      <w:pPr>
        <w:pStyle w:val="FirstParagraph"/>
      </w:pPr>
      <w:r>
        <w:t xml:space="preserve">Диаграмма Factories &amp; Bootstrap показывает архитектурную модель модуля</w:t>
      </w:r>
      <w:r>
        <w:t xml:space="preserve"> </w:t>
      </w:r>
      <w:r>
        <w:rPr>
          <w:rStyle w:val="VerbatimChar"/>
        </w:rPr>
        <w:t xml:space="preserve">16-factories-bootstrap</w:t>
      </w:r>
      <w:r>
        <w:t xml:space="preserve"> </w:t>
      </w:r>
      <w:r>
        <w:t xml:space="preserve">и фиксирует контракты, роли и отношения между сущностями слоя</w:t>
      </w:r>
      <w:r>
        <w:t xml:space="preserve"> </w:t>
      </w:r>
      <w:r>
        <w:rPr>
          <w:rStyle w:val="VerbatimChar"/>
        </w:rPr>
        <w:t xml:space="preserve">Class / Interface</w:t>
      </w:r>
      <w:r>
        <w:t xml:space="preserve">. Основной фокус: Composition layer factories and DI assembly. На схеме отражено примерно 13 классов и 12 связей, поэтому её удобно использовать для проверки влияния изменений, согласования интерфейсов и подготовки рефакторинга. Ключевые элементы для быстрого чтения: DataSourceRegistry, TransformerFactory, RunnerFactory, DQFactory, RuntimeAssembly, RunnerBootstrap.</w:t>
      </w:r>
    </w:p>
    <w:p>
      <w:r>
        <w:pict>
          <v:rect style="width:0;height:1.5pt" o:hralign="center" o:hrstd="t" o:hr="t"/>
        </w:pic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2026-03-03T13:03:32Z</dcterms:created>
  <dcterms:modified xsi:type="dcterms:W3CDTF">2026-03-03T13:03:32Z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