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100.png" ContentType="image/png"/>
  <Override PartName="/word/media/rId106.png" ContentType="image/png"/>
  <Override PartName="/word/media/rId112.png" ContentType="image/png"/>
  <Override PartName="/word/media/rId118.png" ContentType="image/png"/>
  <Override PartName="/word/media/rId124.png" ContentType="image/png"/>
  <Override PartName="/word/media/rId130.png" ContentType="image/png"/>
  <Override PartName="/word/media/rId136.png" ContentType="image/png"/>
  <Override PartName="/word/media/rId142.png" ContentType="image/png"/>
  <Override PartName="/word/media/rId148.png" ContentType="image/png"/>
  <Override PartName="/word/media/rId154.png" ContentType="image/png"/>
  <Override PartName="/word/media/rId160.png" ContentType="image/png"/>
  <Override PartName="/word/media/rId166.png" ContentType="image/png"/>
  <Override PartName="/word/media/rId172.png" ContentType="image/png"/>
  <Override PartName="/word/media/rId178.png" ContentType="image/png"/>
  <Override PartName="/word/media/rId184.png" ContentType="image/png"/>
  <Override PartName="/word/media/rId190.png" ContentType="image/png"/>
  <Override PartName="/word/media/rId196.png" ContentType="image/png"/>
  <Override PartName="/word/media/rId202.png" ContentType="image/png"/>
  <Override PartName="/word/media/rId208.png" ContentType="image/png"/>
  <Override PartName="/word/media/rId214.png" ContentType="image/png"/>
  <Override PartName="/word/media/rId220.png" ContentType="image/png"/>
  <Override PartName="/word/media/rId226.png" ContentType="image/png"/>
  <Override PartName="/word/media/rId232.png" ContentType="image/png"/>
  <Override PartName="/word/media/rId238.png" ContentType="image/png"/>
  <Override PartName="/word/media/rId244.png" ContentType="image/png"/>
  <Override PartName="/word/media/rId250.png" ContentType="image/png"/>
  <Override PartName="/word/media/rId256.png" ContentType="image/png"/>
  <Override PartName="/word/media/rId262.png" ContentType="image/png"/>
  <Override PartName="/word/media/rId268.png" ContentType="image/png"/>
  <Override PartName="/word/media/rId274.png" ContentType="image/png"/>
  <Override PartName="/word/media/rId280.png" ContentType="image/png"/>
  <Override PartName="/word/media/rId286.png" ContentType="image/png"/>
  <Override PartName="/word/media/rId292.png" ContentType="image/png"/>
  <Override PartName="/word/media/rId298.png" ContentType="image/png"/>
  <Override PartName="/word/media/rId304.png" ContentType="image/png"/>
  <Override PartName="/word/media/rId310.png" ContentType="image/png"/>
  <Override PartName="/word/media/rId316.png" ContentType="image/png"/>
  <Override PartName="/word/media/rId322.png" ContentType="image/png"/>
  <Override PartName="/word/media/rId328.png" ContentType="image/png"/>
  <Override PartName="/word/media/rId3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0" w:name="bioetl-foundation-diagrams-bundle"/>
    <w:p>
      <w:pPr>
        <w:pStyle w:val="Heading1"/>
      </w:pPr>
      <w:r>
        <w:t xml:space="preserve">BioETL Foundation Diagrams Bundle</w:t>
      </w:r>
    </w:p>
    <w:p>
      <w:pPr>
        <w:pStyle w:val="Compact"/>
        <w:numPr>
          <w:ilvl w:val="0"/>
          <w:numId w:val="1001"/>
        </w:numPr>
      </w:pPr>
      <w:r>
        <w:t xml:space="preserve">Generated: 2026-03-19T11:24:10</w:t>
      </w:r>
    </w:p>
    <w:p>
      <w:pPr>
        <w:pStyle w:val="Compact"/>
        <w:numPr>
          <w:ilvl w:val="0"/>
          <w:numId w:val="1001"/>
        </w:numPr>
      </w:pPr>
      <w:r>
        <w:t xml:space="preserve">Diagram count: 55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63c4434a227f8a4a05d7d1df32a5702010a036e">
        <w:r>
          <w:rPr>
            <w:rStyle w:val="Hyperlink"/>
          </w:rPr>
          <w:t xml:space="preserve">01-full-system-component — Full System Component Diagram</w:t>
        </w:r>
      </w:hyperlink>
    </w:p>
    <w:p>
      <w:pPr>
        <w:pStyle w:val="Compact"/>
        <w:numPr>
          <w:ilvl w:val="0"/>
          <w:numId w:val="1002"/>
        </w:numPr>
      </w:pPr>
      <w:hyperlink w:anchor="Xe0c5676856b1a884e04e3b98bb7150bc5ab1f9d">
        <w:r>
          <w:rPr>
            <w:rStyle w:val="Hyperlink"/>
          </w:rPr>
          <w:t xml:space="preserve">01-high-level — High-Level System Architecture</w:t>
        </w:r>
      </w:hyperlink>
    </w:p>
    <w:p>
      <w:pPr>
        <w:pStyle w:val="Compact"/>
        <w:numPr>
          <w:ilvl w:val="0"/>
          <w:numId w:val="1002"/>
        </w:numPr>
      </w:pPr>
      <w:hyperlink w:anchor="X11d7cbd40b7971e6f8932c760a6279860b7c20e">
        <w:r>
          <w:rPr>
            <w:rStyle w:val="Hyperlink"/>
          </w:rPr>
          <w:t xml:space="preserve">02-full-medallion-data-flow — Full Medallion Data Flow with Lineage and DQ</w:t>
        </w:r>
      </w:hyperlink>
    </w:p>
    <w:p>
      <w:pPr>
        <w:pStyle w:val="Compact"/>
        <w:numPr>
          <w:ilvl w:val="0"/>
          <w:numId w:val="1002"/>
        </w:numPr>
      </w:pPr>
      <w:hyperlink w:anchor="X3f1b2168b98201fdaba974a4da4cd142eb20cc0">
        <w:r>
          <w:rPr>
            <w:rStyle w:val="Hyperlink"/>
          </w:rPr>
          <w:t xml:space="preserve">03-pipeline-execution-happy-path — Pipeline Execution — Happy Path</w:t>
        </w:r>
      </w:hyperlink>
    </w:p>
    <w:p>
      <w:pPr>
        <w:pStyle w:val="Compact"/>
        <w:numPr>
          <w:ilvl w:val="0"/>
          <w:numId w:val="1002"/>
        </w:numPr>
      </w:pPr>
      <w:hyperlink w:anchor="X6b3bd66cf4d03c654a54be655b02b751e35f5f2">
        <w:r>
          <w:rPr>
            <w:rStyle w:val="Hyperlink"/>
          </w:rPr>
          <w:t xml:space="preserve">04-domain-layer-class-diagram —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f4926e23628bd0fd087f9335f8a060794707461">
        <w:r>
          <w:rPr>
            <w:rStyle w:val="Hyperlink"/>
          </w:rPr>
          <w:t xml:space="preserve">04-error-flow — Error Handling and Quarantine Flow</w:t>
        </w:r>
      </w:hyperlink>
    </w:p>
    <w:p>
      <w:pPr>
        <w:pStyle w:val="Compact"/>
        <w:numPr>
          <w:ilvl w:val="0"/>
          <w:numId w:val="1002"/>
        </w:numPr>
      </w:pPr>
      <w:hyperlink w:anchor="X1ad685500963c79cf65865ef229fd52feab10d9">
        <w:r>
          <w:rPr>
            <w:rStyle w:val="Hyperlink"/>
          </w:rPr>
          <w:t xml:space="preserve">05-layers-interaction — Layer Interaction — Hexagonal Architecture</w:t>
        </w:r>
      </w:hyperlink>
    </w:p>
    <w:p>
      <w:pPr>
        <w:pStyle w:val="Compact"/>
        <w:numPr>
          <w:ilvl w:val="0"/>
          <w:numId w:val="1002"/>
        </w:numPr>
      </w:pPr>
      <w:hyperlink w:anchor="X89f1e5883101dfc9687ba44402343f699385f77">
        <w:r>
          <w:rPr>
            <w:rStyle w:val="Hyperlink"/>
          </w:rPr>
          <w:t xml:space="preserve">05-pipeline-lifecycle-states — Pipeline Lifecycle State Machine</w:t>
        </w:r>
      </w:hyperlink>
    </w:p>
    <w:p>
      <w:pPr>
        <w:pStyle w:val="Compact"/>
        <w:numPr>
          <w:ilvl w:val="0"/>
          <w:numId w:val="1002"/>
        </w:numPr>
      </w:pPr>
      <w:hyperlink w:anchor="X1080d485061eb3a8ab64df08a0f33d35cfc4da9">
        <w:r>
          <w:rPr>
            <w:rStyle w:val="Hyperlink"/>
          </w:rPr>
          <w:t xml:space="preserve">06-application-layer-class-diagram —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6e665c1f0086d461538b9fb073ac687bdc53a67">
        <w:r>
          <w:rPr>
            <w:rStyle w:val="Hyperlink"/>
          </w:rPr>
          <w:t xml:space="preserve">06-pipeline-execution — Pipeline Execution Sequence (Full)</w:t>
        </w:r>
      </w:hyperlink>
    </w:p>
    <w:p>
      <w:pPr>
        <w:pStyle w:val="Compact"/>
        <w:numPr>
          <w:ilvl w:val="0"/>
          <w:numId w:val="1002"/>
        </w:numPr>
      </w:pPr>
      <w:hyperlink w:anchor="X8838cc651a8819630971bf292af02852261de69">
        <w:r>
          <w:rPr>
            <w:rStyle w:val="Hyperlink"/>
          </w:rPr>
          <w:t xml:space="preserve">07-circuit-breaker-states — Circuit Breaker State Machine</w:t>
        </w:r>
      </w:hyperlink>
    </w:p>
    <w:p>
      <w:pPr>
        <w:pStyle w:val="Compact"/>
        <w:numPr>
          <w:ilvl w:val="0"/>
          <w:numId w:val="1002"/>
        </w:numPr>
      </w:pPr>
      <w:hyperlink w:anchor="X6ca540c4c216f83f83ea79053529aee913a6958">
        <w:r>
          <w:rPr>
            <w:rStyle w:val="Hyperlink"/>
          </w:rPr>
          <w:t xml:space="preserve">07-medallion-flow — Medallion Data Flow (Sources → Bronze → Silver → Gold)</w:t>
        </w:r>
      </w:hyperlink>
    </w:p>
    <w:p>
      <w:pPr>
        <w:pStyle w:val="Compact"/>
        <w:numPr>
          <w:ilvl w:val="0"/>
          <w:numId w:val="1002"/>
        </w:numPr>
      </w:pPr>
      <w:hyperlink w:anchor="Xf802cf2137ef2034986fd0df8b9c460c22acaba">
        <w:r>
          <w:rPr>
            <w:rStyle w:val="Hyperlink"/>
          </w:rPr>
          <w:t xml:space="preserve">08-complete-etl-workflow — Complete ETL Workflow (6 Phases)</w:t>
        </w:r>
      </w:hyperlink>
    </w:p>
    <w:p>
      <w:pPr>
        <w:pStyle w:val="Compact"/>
        <w:numPr>
          <w:ilvl w:val="0"/>
          <w:numId w:val="1002"/>
        </w:numPr>
      </w:pPr>
      <w:hyperlink w:anchor="X9c5e0a8f3089e0a4cb72d90e936ade484a5588d">
        <w:r>
          <w:rPr>
            <w:rStyle w:val="Hyperlink"/>
          </w:rPr>
          <w:t xml:space="preserve">08-domain-ddd — Domain Layer — DDD Components</w:t>
        </w:r>
      </w:hyperlink>
    </w:p>
    <w:p>
      <w:pPr>
        <w:pStyle w:val="Compact"/>
        <w:numPr>
          <w:ilvl w:val="0"/>
          <w:numId w:val="1002"/>
        </w:numPr>
      </w:pPr>
      <w:hyperlink w:anchor="X68dc24e831d87c3494446b6fca158d0948ba54e">
        <w:r>
          <w:rPr>
            <w:rStyle w:val="Hyperlink"/>
          </w:rPr>
          <w:t xml:space="preserve">09-full-er-diagram — Entity-Relationship Diagram (All Providers)</w:t>
        </w:r>
      </w:hyperlink>
    </w:p>
    <w:p>
      <w:pPr>
        <w:pStyle w:val="Compact"/>
        <w:numPr>
          <w:ilvl w:val="0"/>
          <w:numId w:val="1002"/>
        </w:numPr>
      </w:pPr>
      <w:hyperlink w:anchor="X1c492c692cc4e8d7a7538316b3c1d758cee92b7">
        <w:r>
          <w:rPr>
            <w:rStyle w:val="Hyperlink"/>
          </w:rPr>
          <w:t xml:space="preserve">10-infrastructure-layer-class-diagram —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0b278c41fa7e1b5b5bed90db3d8175988e7dcd4">
        <w:r>
          <w:rPr>
            <w:rStyle w:val="Hyperlink"/>
          </w:rPr>
          <w:t xml:space="preserve">11-lock-acquisition-sequence — Lock Acquisition Sequence (Two Workers)</w:t>
        </w:r>
      </w:hyperlink>
    </w:p>
    <w:p>
      <w:pPr>
        <w:pStyle w:val="Compact"/>
        <w:numPr>
          <w:ilvl w:val="0"/>
          <w:numId w:val="1002"/>
        </w:numPr>
      </w:pPr>
      <w:hyperlink w:anchor="X2008b37ac07531e95bdd0c24f0707c9855997b0">
        <w:r>
          <w:rPr>
            <w:rStyle w:val="Hyperlink"/>
          </w:rPr>
          <w:t xml:space="preserve">12-local-deployment-architecture —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07813c7b94e3f5ab599dc24eec9f869abe54ad0">
        <w:r>
          <w:rPr>
            <w:rStyle w:val="Hyperlink"/>
          </w:rPr>
          <w:t xml:space="preserve">13-domain-models-relationship — Domain Models Relationship Hierarchy</w:t>
        </w:r>
      </w:hyperlink>
    </w:p>
    <w:p>
      <w:pPr>
        <w:pStyle w:val="Compact"/>
        <w:numPr>
          <w:ilvl w:val="0"/>
          <w:numId w:val="1002"/>
        </w:numPr>
      </w:pPr>
      <w:hyperlink w:anchor="Xc3281d65851a5839078fe84d84b4a10cc4fc035">
        <w:r>
          <w:rPr>
            <w:rStyle w:val="Hyperlink"/>
          </w:rPr>
          <w:t xml:space="preserve">14-provider-health-states — Provider Health State Machine</w:t>
        </w:r>
      </w:hyperlink>
    </w:p>
    <w:p>
      <w:pPr>
        <w:pStyle w:val="Compact"/>
        <w:numPr>
          <w:ilvl w:val="0"/>
          <w:numId w:val="1002"/>
        </w:numPr>
      </w:pPr>
      <w:hyperlink w:anchor="X6aa03c247f39e78f617dd6dd6abe8f347794634">
        <w:r>
          <w:rPr>
            <w:rStyle w:val="Hyperlink"/>
          </w:rPr>
          <w:t xml:space="preserve">15-dq-check-workflow — Data Quality Check Workflow</w:t>
        </w:r>
      </w:hyperlink>
    </w:p>
    <w:p>
      <w:pPr>
        <w:pStyle w:val="Compact"/>
        <w:numPr>
          <w:ilvl w:val="0"/>
          <w:numId w:val="1002"/>
        </w:numPr>
      </w:pPr>
      <w:hyperlink w:anchor="X352381994af353244ef7c7636739b63066ea2fd">
        <w:r>
          <w:rPr>
            <w:rStyle w:val="Hyperlink"/>
          </w:rPr>
          <w:t xml:space="preserve">16-memory-lock-class — MemoryLock Class Diagram</w:t>
        </w:r>
      </w:hyperlink>
    </w:p>
    <w:p>
      <w:pPr>
        <w:pStyle w:val="Compact"/>
        <w:numPr>
          <w:ilvl w:val="0"/>
          <w:numId w:val="1002"/>
        </w:numPr>
      </w:pPr>
      <w:hyperlink w:anchor="X0d089e265f8c6436ec4522f63329c9811a96a2a">
        <w:r>
          <w:rPr>
            <w:rStyle w:val="Hyperlink"/>
          </w:rPr>
          <w:t xml:space="preserve">17-pipeline-hierarchy — Pipeline and Transformer Class Hierarchy</w:t>
        </w:r>
      </w:hyperlink>
    </w:p>
    <w:p>
      <w:pPr>
        <w:pStyle w:val="Compact"/>
        <w:numPr>
          <w:ilvl w:val="0"/>
          <w:numId w:val="1002"/>
        </w:numPr>
      </w:pPr>
      <w:hyperlink w:anchor="X17626ab8047e79f63c7694d112e11a111ef5966">
        <w:r>
          <w:rPr>
            <w:rStyle w:val="Hyperlink"/>
          </w:rPr>
          <w:t xml:space="preserve">18-bronze-write-sequence — Bronze Write Sequence (JSONL + zstd)</w:t>
        </w:r>
      </w:hyperlink>
    </w:p>
    <w:p>
      <w:pPr>
        <w:pStyle w:val="Compact"/>
        <w:numPr>
          <w:ilvl w:val="0"/>
          <w:numId w:val="1002"/>
        </w:numPr>
      </w:pPr>
      <w:hyperlink w:anchor="X163424ff82e4dbeac0f640592297c3d4b26bfb8">
        <w:r>
          <w:rPr>
            <w:rStyle w:val="Hyperlink"/>
          </w:rPr>
          <w:t xml:space="preserve">19-delta-lake-write-sequence — Delta Lake Write Sequence (Silver Layer)</w:t>
        </w:r>
      </w:hyperlink>
    </w:p>
    <w:p>
      <w:pPr>
        <w:pStyle w:val="Compact"/>
        <w:numPr>
          <w:ilvl w:val="0"/>
          <w:numId w:val="1002"/>
        </w:numPr>
      </w:pPr>
      <w:hyperlink w:anchor="Xb0d8f44fdd022f78d8590833229680c947da223">
        <w:r>
          <w:rPr>
            <w:rStyle w:val="Hyperlink"/>
          </w:rPr>
          <w:t xml:space="preserve">20-quarantine-record-states — Quarantine Record State Machine</w:t>
        </w:r>
      </w:hyperlink>
    </w:p>
    <w:p>
      <w:pPr>
        <w:pStyle w:val="Compact"/>
        <w:numPr>
          <w:ilvl w:val="0"/>
          <w:numId w:val="1002"/>
        </w:numPr>
      </w:pPr>
      <w:hyperlink w:anchor="X741fc4e222a5424e8b7bbd418e2d0a870ac567f">
        <w:r>
          <w:rPr>
            <w:rStyle w:val="Hyperlink"/>
          </w:rPr>
          <w:t xml:space="preserve">21-activity-entity-data-flow — Activity Entity Data Flow (Extract → Transform → Load)</w:t>
        </w:r>
      </w:hyperlink>
    </w:p>
    <w:p>
      <w:pPr>
        <w:pStyle w:val="Compact"/>
        <w:numPr>
          <w:ilvl w:val="0"/>
          <w:numId w:val="1002"/>
        </w:numPr>
      </w:pPr>
      <w:hyperlink w:anchor="X8427bd046f602fb469c823fe995670c734b3e2c">
        <w:r>
          <w:rPr>
            <w:rStyle w:val="Hyperlink"/>
          </w:rPr>
          <w:t xml:space="preserve">22-client-api-request-sequence — HTTP Client API Request Sequence</w:t>
        </w:r>
      </w:hyperlink>
    </w:p>
    <w:p>
      <w:pPr>
        <w:pStyle w:val="Compact"/>
        <w:numPr>
          <w:ilvl w:val="0"/>
          <w:numId w:val="1002"/>
        </w:numPr>
      </w:pPr>
      <w:hyperlink w:anchor="X123e591846a9bac2adfc9d315924a517bf8cb40">
        <w:r>
          <w:rPr>
            <w:rStyle w:val="Hyperlink"/>
          </w:rPr>
          <w:t xml:space="preserve">23-silver-writer-class — SilverWriter Class Diagram</w:t>
        </w:r>
      </w:hyperlink>
    </w:p>
    <w:p>
      <w:pPr>
        <w:pStyle w:val="Compact"/>
        <w:numPr>
          <w:ilvl w:val="0"/>
          <w:numId w:val="1002"/>
        </w:numPr>
      </w:pPr>
      <w:hyperlink w:anchor="Xe395a1d2fbd5f28f56cf360c8984fe70730f4d2">
        <w:r>
          <w:rPr>
            <w:rStyle w:val="Hyperlink"/>
          </w:rPr>
          <w:t xml:space="preserve">24-hash-service-class — ContentHashService Class Diagram</w:t>
        </w:r>
      </w:hyperlink>
    </w:p>
    <w:p>
      <w:pPr>
        <w:pStyle w:val="Compact"/>
        <w:numPr>
          <w:ilvl w:val="0"/>
          <w:numId w:val="1002"/>
        </w:numPr>
      </w:pPr>
      <w:hyperlink w:anchor="Xd3483bc79029ad2e4e5f384a54dfadb0538c52b">
        <w:r>
          <w:rPr>
            <w:rStyle w:val="Hyperlink"/>
          </w:rPr>
          <w:t xml:space="preserve">25-circuit-breaker-observer-class — Circuit Breaker and Observer Classes</w:t>
        </w:r>
      </w:hyperlink>
    </w:p>
    <w:p>
      <w:pPr>
        <w:pStyle w:val="Compact"/>
        <w:numPr>
          <w:ilvl w:val="0"/>
          <w:numId w:val="1002"/>
        </w:numPr>
      </w:pPr>
      <w:hyperlink w:anchor="X2d810fae8eae78aebbfd7b00f4043c22aee4676">
        <w:r>
          <w:rPr>
            <w:rStyle w:val="Hyperlink"/>
          </w:rPr>
          <w:t xml:space="preserve">26-hexagonal-ports-adapters — Hexagonal Architecture — Ports and Adapters Overview</w:t>
        </w:r>
      </w:hyperlink>
    </w:p>
    <w:p>
      <w:pPr>
        <w:pStyle w:val="Compact"/>
        <w:numPr>
          <w:ilvl w:val="0"/>
          <w:numId w:val="1002"/>
        </w:numPr>
      </w:pPr>
      <w:hyperlink w:anchor="X3c99cb6fd896848ba09ef69eb9a528a837b3e32">
        <w:r>
          <w:rPr>
            <w:rStyle w:val="Hyperlink"/>
          </w:rPr>
          <w:t xml:space="preserve">27-import-matrix-enforcement — Five-Layer Import Matrix Enforcement (ARCH-001)</w:t>
        </w:r>
      </w:hyperlink>
    </w:p>
    <w:p>
      <w:pPr>
        <w:pStyle w:val="Compact"/>
        <w:numPr>
          <w:ilvl w:val="0"/>
          <w:numId w:val="1002"/>
        </w:numPr>
      </w:pPr>
      <w:hyperlink w:anchor="X3743b2ae8cf1184675e81f715920da38230641f">
        <w:r>
          <w:rPr>
            <w:rStyle w:val="Hyperlink"/>
          </w:rPr>
          <w:t xml:space="preserve">28-composition-root-di-graph — Composition Root Wiring — Public APIs and Assembly</w:t>
        </w:r>
      </w:hyperlink>
    </w:p>
    <w:p>
      <w:pPr>
        <w:pStyle w:val="Compact"/>
        <w:numPr>
          <w:ilvl w:val="0"/>
          <w:numId w:val="1002"/>
        </w:numPr>
      </w:pPr>
      <w:hyperlink w:anchor="X3b200f8bf5333da2c09ff0b1c202dca341f5cfb">
        <w:r>
          <w:rPr>
            <w:rStyle w:val="Hyperlink"/>
          </w:rPr>
          <w:t xml:space="preserve">29-composite-pipeline-workflow — Composite Pipeline Full Workflow — Seed to Gold (ADR-026)</w:t>
        </w:r>
      </w:hyperlink>
    </w:p>
    <w:p>
      <w:pPr>
        <w:pStyle w:val="Compact"/>
        <w:numPr>
          <w:ilvl w:val="0"/>
          <w:numId w:val="1002"/>
        </w:numPr>
      </w:pPr>
      <w:hyperlink w:anchor="X88f60b8c48c46a91ef564b619525d15c9f35c50">
        <w:r>
          <w:rPr>
            <w:rStyle w:val="Hyperlink"/>
          </w:rPr>
          <w:t xml:space="preserve">30-port-adapter-mapping — Port-to-Adapter Mapping Table Diagram</w:t>
        </w:r>
      </w:hyperlink>
    </w:p>
    <w:p>
      <w:pPr>
        <w:pStyle w:val="Compact"/>
        <w:numPr>
          <w:ilvl w:val="0"/>
          <w:numId w:val="1002"/>
        </w:numPr>
      </w:pPr>
      <w:hyperlink w:anchor="Xf6a2b3e329973445c637cc57a0f9157be06e2b2">
        <w:r>
          <w:rPr>
            <w:rStyle w:val="Hyperlink"/>
          </w:rPr>
          <w:t xml:space="preserve">31-pipeline-run-lifecycle — Pipeline Run Lifecycle — From Config to Completion</w:t>
        </w:r>
      </w:hyperlink>
    </w:p>
    <w:p>
      <w:pPr>
        <w:pStyle w:val="Compact"/>
        <w:numPr>
          <w:ilvl w:val="0"/>
          <w:numId w:val="1002"/>
        </w:numPr>
      </w:pPr>
      <w:hyperlink w:anchor="X95e67e18f32531dd1bbfc403eb9670b2074ee01">
        <w:r>
          <w:rPr>
            <w:rStyle w:val="Hyperlink"/>
          </w:rPr>
          <w:t xml:space="preserve">32-single-record-journey — Record Processing Pipeline —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0917ca25517b91e89d8f04dbe0a1440ee39187f">
        <w:r>
          <w:rPr>
            <w:rStyle w:val="Hyperlink"/>
          </w:rPr>
          <w:t xml:space="preserve">33-cli-run-interaction — CLI Run Command → Current Execution Flow</w:t>
        </w:r>
      </w:hyperlink>
    </w:p>
    <w:p>
      <w:pPr>
        <w:pStyle w:val="Compact"/>
        <w:numPr>
          <w:ilvl w:val="0"/>
          <w:numId w:val="1002"/>
        </w:numPr>
      </w:pPr>
      <w:hyperlink w:anchor="X91cd86356ba2faf2e0a9bd414d0951296675315">
        <w:r>
          <w:rPr>
            <w:rStyle w:val="Hyperlink"/>
          </w:rPr>
          <w:t xml:space="preserve">34-batch-processing-flow — Batch Processing Flow — Extract to Write</w:t>
        </w:r>
      </w:hyperlink>
    </w:p>
    <w:p>
      <w:pPr>
        <w:pStyle w:val="Compact"/>
        <w:numPr>
          <w:ilvl w:val="0"/>
          <w:numId w:val="1002"/>
        </w:numPr>
      </w:pPr>
      <w:hyperlink w:anchor="X5539b46f85249f3eda384e04e369f8a7f097b5a">
        <w:r>
          <w:rPr>
            <w:rStyle w:val="Hyperlink"/>
          </w:rPr>
          <w:t xml:space="preserve">35-bootstrap-sequence — Composition Layer Bootstrap Sequence</w:t>
        </w:r>
      </w:hyperlink>
    </w:p>
    <w:p>
      <w:pPr>
        <w:pStyle w:val="Compact"/>
        <w:numPr>
          <w:ilvl w:val="0"/>
          <w:numId w:val="1002"/>
        </w:numPr>
      </w:pPr>
      <w:hyperlink w:anchor="X451cf94217d15ff94a7cf41ae8236d05aaffe5a">
        <w:r>
          <w:rPr>
            <w:rStyle w:val="Hyperlink"/>
          </w:rPr>
          <w:t xml:space="preserve">36-architecture-principles-mindmap — Architecture Principles Mind Map</w:t>
        </w:r>
      </w:hyperlink>
    </w:p>
    <w:p>
      <w:pPr>
        <w:pStyle w:val="Compact"/>
        <w:numPr>
          <w:ilvl w:val="0"/>
          <w:numId w:val="1002"/>
        </w:numPr>
      </w:pPr>
      <w:hyperlink w:anchor="X5431eac4d76fe9efeefc198dfd9b51a4b333057">
        <w:r>
          <w:rPr>
            <w:rStyle w:val="Hyperlink"/>
          </w:rPr>
          <w:t xml:space="preserve">37-cli-entry-full-chain — CLI Entry Point to Pipeline Execution Full Chain</w:t>
        </w:r>
      </w:hyperlink>
    </w:p>
    <w:p>
      <w:pPr>
        <w:pStyle w:val="Compact"/>
        <w:numPr>
          <w:ilvl w:val="0"/>
          <w:numId w:val="1002"/>
        </w:numPr>
      </w:pPr>
      <w:hyperlink w:anchor="X0cd94bce2644101397bb4b8bcdb37aa70f49574">
        <w:r>
          <w:rPr>
            <w:rStyle w:val="Hyperlink"/>
          </w:rPr>
          <w:t xml:space="preserve">38-runtime-assembly-sequence — Runtime Assembly Sequence — bootstrap/runtime/assembly.py</w:t>
        </w:r>
      </w:hyperlink>
    </w:p>
    <w:p>
      <w:pPr>
        <w:pStyle w:val="Compact"/>
        <w:numPr>
          <w:ilvl w:val="0"/>
          <w:numId w:val="1002"/>
        </w:numPr>
      </w:pPr>
      <w:hyperlink w:anchor="Xfce282a39efb7cf43c2059159d8965b50c70b48">
        <w:r>
          <w:rPr>
            <w:rStyle w:val="Hyperlink"/>
          </w:rPr>
          <w:t xml:space="preserve">39-medallion-invariants — Medallion Architecture Invariants (ARCH-007)</w:t>
        </w:r>
      </w:hyperlink>
    </w:p>
    <w:p>
      <w:pPr>
        <w:pStyle w:val="Compact"/>
        <w:numPr>
          <w:ilvl w:val="0"/>
          <w:numId w:val="1002"/>
        </w:numPr>
      </w:pPr>
      <w:hyperlink w:anchor="X2102ad3e94b919ed73aa161aeb60857b1ad1980">
        <w:r>
          <w:rPr>
            <w:rStyle w:val="Hyperlink"/>
          </w:rPr>
          <w:t xml:space="preserve">40-application-core-collaboration — Application Core Component Collaboration</w:t>
        </w:r>
      </w:hyperlink>
    </w:p>
    <w:p>
      <w:pPr>
        <w:pStyle w:val="Compact"/>
        <w:numPr>
          <w:ilvl w:val="0"/>
          <w:numId w:val="1002"/>
        </w:numPr>
      </w:pPr>
      <w:hyperlink w:anchor="Xecc15c5615242a5be79b6d6c5256660d241d79f">
        <w:r>
          <w:rPr>
            <w:rStyle w:val="Hyperlink"/>
          </w:rPr>
          <w:t xml:space="preserve">41-error-classification-tree — Error Classification Decision Tree — Full Logic</w:t>
        </w:r>
      </w:hyperlink>
    </w:p>
    <w:p>
      <w:pPr>
        <w:pStyle w:val="Compact"/>
        <w:numPr>
          <w:ilvl w:val="0"/>
          <w:numId w:val="1002"/>
        </w:numPr>
      </w:pPr>
      <w:hyperlink w:anchor="X68ab145737b6ffbd2277199ad622d39d5c323bc">
        <w:r>
          <w:rPr>
            <w:rStyle w:val="Hyperlink"/>
          </w:rPr>
          <w:t xml:space="preserve">42-pipeline-runner-class — PipelineRunner Internal Component Diagram</w:t>
        </w:r>
      </w:hyperlink>
    </w:p>
    <w:p>
      <w:pPr>
        <w:pStyle w:val="Compact"/>
        <w:numPr>
          <w:ilvl w:val="0"/>
          <w:numId w:val="1002"/>
        </w:numPr>
      </w:pPr>
      <w:hyperlink w:anchor="Xe661c3d850007afa471e769e0ac65041c32a779">
        <w:r>
          <w:rPr>
            <w:rStyle w:val="Hyperlink"/>
          </w:rPr>
          <w:t xml:space="preserve">43-fan-out-fan-in-pattern — Fan-Out/Fan-In Pattern — Composite Pipeline Enrichment</w:t>
        </w:r>
      </w:hyperlink>
    </w:p>
    <w:p>
      <w:pPr>
        <w:pStyle w:val="Compact"/>
        <w:numPr>
          <w:ilvl w:val="0"/>
          <w:numId w:val="1002"/>
        </w:numPr>
      </w:pPr>
      <w:hyperlink w:anchor="Xd0c2c4bc2da90b4c7c549d74b22bdd3d9e842ab">
        <w:r>
          <w:rPr>
            <w:rStyle w:val="Hyperlink"/>
          </w:rPr>
          <w:t xml:space="preserve">44-cross-provider-enrichment — Cross-Provider Data Enrichment Flow — Publication</w:t>
        </w:r>
      </w:hyperlink>
    </w:p>
    <w:p>
      <w:pPr>
        <w:pStyle w:val="Compact"/>
        <w:numPr>
          <w:ilvl w:val="0"/>
          <w:numId w:val="1002"/>
        </w:numPr>
      </w:pPr>
      <w:hyperlink w:anchor="X66e6ed976fa65f1410b99eb947425514b2a227f">
        <w:r>
          <w:rPr>
            <w:rStyle w:val="Hyperlink"/>
          </w:rPr>
          <w:t xml:space="preserve">46-yaml-config-resolution — YAML Configuration Resolution Chain</w:t>
        </w:r>
      </w:hyperlink>
    </w:p>
    <w:p>
      <w:pPr>
        <w:pStyle w:val="Compact"/>
        <w:numPr>
          <w:ilvl w:val="0"/>
          <w:numId w:val="1002"/>
        </w:numPr>
      </w:pPr>
      <w:hyperlink w:anchor="Xf5f6c4712280e1f3310c01540e50a23124f8600">
        <w:r>
          <w:rPr>
            <w:rStyle w:val="Hyperlink"/>
          </w:rPr>
          <w:t xml:space="preserve">47-publication-merge-sources — Publication Composite — Merge All Sources</w:t>
        </w:r>
      </w:hyperlink>
    </w:p>
    <w:p>
      <w:pPr>
        <w:pStyle w:val="Compact"/>
        <w:numPr>
          <w:ilvl w:val="0"/>
          <w:numId w:val="1002"/>
        </w:numPr>
      </w:pPr>
      <w:hyperlink w:anchor="X8ae33f72c1f2e3e2ff44641c86023eb7a5f7661">
        <w:r>
          <w:rPr>
            <w:rStyle w:val="Hyperlink"/>
          </w:rPr>
          <w:t xml:space="preserve">48-composite-phase-lifecycle — Composite Pipeline Phase Lifecycle (FSM)</w:t>
        </w:r>
      </w:hyperlink>
    </w:p>
    <w:p>
      <w:pPr>
        <w:pStyle w:val="Compact"/>
        <w:numPr>
          <w:ilvl w:val="0"/>
          <w:numId w:val="1002"/>
        </w:numPr>
      </w:pPr>
      <w:hyperlink w:anchor="X5a29c95058cd80a781fd98ee0e076ebb5ef353c">
        <w:r>
          <w:rPr>
            <w:rStyle w:val="Hyperlink"/>
          </w:rPr>
          <w:t xml:space="preserve">49-composite-runner-class — CompositePipelineRunner — Component Diagram</w:t>
        </w:r>
      </w:hyperlink>
    </w:p>
    <w:p>
      <w:pPr>
        <w:pStyle w:val="Compact"/>
        <w:numPr>
          <w:ilvl w:val="0"/>
          <w:numId w:val="1002"/>
        </w:numPr>
      </w:pPr>
      <w:hyperlink w:anchor="Xdf57b4d242c081d776b7618d6f6605636676bd3">
        <w:r>
          <w:rPr>
            <w:rStyle w:val="Hyperlink"/>
          </w:rPr>
          <w:t xml:space="preserve">50-exception-hierarchy — Exception Hierarchy — Full Tree</w:t>
        </w:r>
      </w:hyperlink>
    </w:p>
    <w:p>
      <w:r>
        <w:br w:type="page"/>
      </w:r>
    </w:p>
    <w:bookmarkEnd w:id="9"/>
    <w:bookmarkStart w:id="15" w:name="Xa296fb42a34dc3bc68a82a56316105fb40e2448"/>
    <w:p>
      <w:pPr>
        <w:pStyle w:val="Heading2"/>
      </w:pPr>
      <w:r>
        <w:t xml:space="preserve">01-full-system-component — Full System Component Diagram</w:t>
      </w:r>
    </w:p>
    <w:p>
      <w:pPr>
        <w:pStyle w:val="CaptionedFigure"/>
      </w:pPr>
      <w:r>
        <w:drawing>
          <wp:inline>
            <wp:extent cx="5334000" cy="4889795"/>
            <wp:effectExtent b="0" l="0" r="0" t="0"/>
            <wp:docPr descr="01-full-system-component" title="" id="11" name="Picture"/>
            <a:graphic>
              <a:graphicData uri="http://schemas.openxmlformats.org/drawingml/2006/picture">
                <pic:pic>
                  <pic:nvPicPr>
                    <pic:cNvPr descr="../foundation/png/01-full-system-componen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</w:t>
      </w:r>
    </w:p>
    <w:bookmarkStart w:id="13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«Full System Component Diagram»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§1.1 (Five-Layer Architecture), §1.2 (Ports &amp; Adapters). На схеме отражено примерно 35 узлов и 78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Systems, Bioactivity Sources, Publication Sources, Interfaces Layer, Composition Layer, Application Layer. Показательные узлы для быстрого чтения: ChEMBL API, PubChem API, UniProt API, PubMed API, CrossRef API, OpenAlex API. Связанный ADR: ADR-040.</w:t>
      </w:r>
    </w:p>
    <w:bookmarkEnd w:id="13"/>
    <w:bookmarkStart w:id="14" w:name="метаданные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0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35</w:t>
      </w:r>
    </w:p>
    <w:p>
      <w:pPr>
        <w:pStyle w:val="Compact"/>
        <w:numPr>
          <w:ilvl w:val="0"/>
          <w:numId w:val="1003"/>
        </w:numPr>
      </w:pPr>
      <w:r>
        <w:t xml:space="preserve">ADR:</w:t>
      </w:r>
      <w:r>
        <w:t xml:space="preserve"> </w:t>
      </w:r>
      <w:r>
        <w:rPr>
          <w:rStyle w:val="VerbatimChar"/>
        </w:rPr>
        <w:t xml:space="preserve">ADR-040</w:t>
      </w:r>
    </w:p>
    <w:p>
      <w:r>
        <w:br w:type="page"/>
      </w:r>
    </w:p>
    <w:bookmarkEnd w:id="14"/>
    <w:bookmarkEnd w:id="15"/>
    <w:bookmarkStart w:id="21" w:name="Xd2803f3d93366e868df5c91520450bef889700f"/>
    <w:p>
      <w:pPr>
        <w:pStyle w:val="Heading2"/>
      </w:pPr>
      <w:r>
        <w:t xml:space="preserve">01-high-level — High-Level System Architecture</w:t>
      </w:r>
    </w:p>
    <w:p>
      <w:pPr>
        <w:pStyle w:val="CaptionedFigure"/>
      </w:pPr>
      <w:r>
        <w:drawing>
          <wp:inline>
            <wp:extent cx="5334000" cy="3441201"/>
            <wp:effectExtent b="0" l="0" r="0" t="0"/>
            <wp:docPr descr="01-high-level" title="" id="17" name="Picture"/>
            <a:graphic>
              <a:graphicData uri="http://schemas.openxmlformats.org/drawingml/2006/picture">
                <pic:pic>
                  <pic:nvPicPr>
                    <pic:cNvPr descr="../foundation/png/01-high-level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</w:t>
      </w:r>
    </w:p>
    <w:bookmarkStart w:id="19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«High-Level System Architecture»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§1.1 (Five-Layer Architecture). На схеме отражено примерно 20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Data Sources, Interfaces Layer, Composition Layer, Application Layer, Infrastructure Layer, Data Lake — Local Storage. Показательные узлы для быстрого чтения: ChEMBL API, PubChem API, UniProt API, PubMed API, CrossRef API, OpenAlex API.</w:t>
      </w:r>
    </w:p>
    <w:bookmarkEnd w:id="19"/>
    <w:bookmarkStart w:id="20" w:name="метаданные-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20"/>
    <w:bookmarkEnd w:id="21"/>
    <w:bookmarkStart w:id="27" w:name="Xe67adc8244fac4e3cc0fc1d8d2875c3c2fe6783"/>
    <w:p>
      <w:pPr>
        <w:pStyle w:val="Heading2"/>
      </w:pPr>
      <w:r>
        <w:t xml:space="preserve">02-full-medallion-data-flow — Full Medallion Data Flow with Lineage and DQ</w:t>
      </w:r>
    </w:p>
    <w:p>
      <w:pPr>
        <w:pStyle w:val="CaptionedFigure"/>
      </w:pPr>
      <w:r>
        <w:drawing>
          <wp:inline>
            <wp:extent cx="5334000" cy="1926747"/>
            <wp:effectExtent b="0" l="0" r="0" t="0"/>
            <wp:docPr descr="02-full-medallion-data-flow" title="" id="23" name="Picture"/>
            <a:graphic>
              <a:graphicData uri="http://schemas.openxmlformats.org/drawingml/2006/picture">
                <pic:pic>
                  <pic:nvPicPr>
                    <pic:cNvPr descr="../foundation/png/02-full-medallion-data-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02-full-medallion-data-flow</w:t>
      </w:r>
    </w:p>
    <w:bookmarkStart w:id="25" w:name="описание-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«Full Medallion Data Flow with Lineage and DQ»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§2.1 (Medallion Architecture), §2.3 (Quarantine), §3.1 (DQ). На схеме отражено примерно 16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Sources, Bronze Layer, Silver Layer, Gold Layer, Data Quality Branch, Lineage Tracking. Показательные узлы для быстрого чтения: ChEMBL API, PubChem API, UniProt API, PubMed API, CrossRef API, OpenAlex API.</w:t>
      </w:r>
    </w:p>
    <w:bookmarkEnd w:id="25"/>
    <w:bookmarkStart w:id="26" w:name="метаданные-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bookmarkEnd w:id="26"/>
    <w:bookmarkEnd w:id="27"/>
    <w:bookmarkStart w:id="33" w:name="X49632b546952e6018ff741f4db5b26a19197515"/>
    <w:p>
      <w:pPr>
        <w:pStyle w:val="Heading2"/>
      </w:pPr>
      <w:r>
        <w:t xml:space="preserve">03-pipeline-execution-happy-path — Pipeline Execution — Happy Path</w:t>
      </w:r>
    </w:p>
    <w:p>
      <w:pPr>
        <w:pStyle w:val="CaptionedFigure"/>
      </w:pPr>
      <w:r>
        <w:drawing>
          <wp:inline>
            <wp:extent cx="5334000" cy="4068132"/>
            <wp:effectExtent b="0" l="0" r="0" t="0"/>
            <wp:docPr descr="03-pipeline-execution-happy-path" title="" id="29" name="Picture"/>
            <a:graphic>
              <a:graphicData uri="http://schemas.openxmlformats.org/drawingml/2006/picture">
                <pic:pic>
                  <pic:nvPicPr>
                    <pic:cNvPr descr="../foundation/png/03-pipeline-execution-happy-path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8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03-pipeline-execution-happy-path</w:t>
      </w:r>
    </w:p>
    <w:bookmarkStart w:id="31" w:name="описание-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Execution — Happy Path»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Class)». В комментариях исходника зафиксирован фокус диаграммы: RULES.md §3 (Pipeline Execution), §3.3 (Locking), §3.4 (Postrun). На схеме отражено примерно 11 узлов и 15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31"/>
    <w:bookmarkStart w:id="32" w:name="метаданные-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0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32"/>
    <w:bookmarkEnd w:id="33"/>
    <w:bookmarkStart w:id="39" w:name="Xe0354c5bc75f6c6f686f683c53a471844901941"/>
    <w:p>
      <w:pPr>
        <w:pStyle w:val="Heading2"/>
      </w:pPr>
      <w:r>
        <w:t xml:space="preserve">04-domain-layer-class-diagram — Domain Layer Class Diagram</w:t>
      </w:r>
    </w:p>
    <w:p>
      <w:pPr>
        <w:pStyle w:val="CaptionedFigure"/>
      </w:pPr>
      <w:r>
        <w:drawing>
          <wp:inline>
            <wp:extent cx="5334000" cy="1041445"/>
            <wp:effectExtent b="0" l="0" r="0" t="0"/>
            <wp:docPr descr="04-domain-layer-class-diagram" title="" id="35" name="Picture"/>
            <a:graphic>
              <a:graphicData uri="http://schemas.openxmlformats.org/drawingml/2006/picture">
                <pic:pic>
                  <pic:nvPicPr>
                    <pic:cNvPr descr="../foundation/png/04-domain-layer-class-diagram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1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</w:t>
      </w:r>
    </w:p>
    <w:bookmarkStart w:id="37" w:name="описание-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Layer Class Diagram»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RULES.md §1.1 (Domain Layer), §1.2 (Ports), §1.3 (Entities). На схеме отражено примерно 26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Ports, Entities, Config, Types. Показательные узлы для быстрого чтения: DataSourcePort, FilterableDataSourcePort, StoragePort, LockPort, CheckpointPort, QuarantinePort.</w:t>
      </w:r>
    </w:p>
    <w:bookmarkEnd w:id="37"/>
    <w:bookmarkStart w:id="38" w:name="метаданные-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0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26</w:t>
      </w:r>
    </w:p>
    <w:p>
      <w:r>
        <w:br w:type="page"/>
      </w:r>
    </w:p>
    <w:bookmarkEnd w:id="38"/>
    <w:bookmarkEnd w:id="39"/>
    <w:bookmarkStart w:id="45" w:name="X0b68d83fee5c9f9557f2196f6d193a1d1ab3e6f"/>
    <w:p>
      <w:pPr>
        <w:pStyle w:val="Heading2"/>
      </w:pPr>
      <w:r>
        <w:t xml:space="preserve">04-error-flow — Error Handling and Quarantine Flow</w:t>
      </w:r>
    </w:p>
    <w:p>
      <w:pPr>
        <w:pStyle w:val="CaptionedFigure"/>
      </w:pPr>
      <w:r>
        <w:drawing>
          <wp:inline>
            <wp:extent cx="5334000" cy="8182042"/>
            <wp:effectExtent b="0" l="0" r="0" t="0"/>
            <wp:docPr descr="04-error-flow" title="" id="41" name="Picture"/>
            <a:graphic>
              <a:graphicData uri="http://schemas.openxmlformats.org/drawingml/2006/picture">
                <pic:pic>
                  <pic:nvPicPr>
                    <pic:cNvPr descr="../foundation/png/04-error-flow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04-error-flow</w:t>
      </w:r>
    </w:p>
    <w:bookmarkStart w:id="43" w:name="описание-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«Error Handling and Quarantine Flow»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§3.1 (Error Classification), §2.3 (Quarantine). На схеме отражено примерно 35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Pipeline Execution, Error Classification (§3.1), Error Handling, Quarantine (§2.3).</w:t>
      </w:r>
    </w:p>
    <w:bookmarkEnd w:id="43"/>
    <w:bookmarkStart w:id="44" w:name="метаданные-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35</w:t>
      </w:r>
    </w:p>
    <w:p>
      <w:r>
        <w:br w:type="page"/>
      </w:r>
    </w:p>
    <w:bookmarkEnd w:id="44"/>
    <w:bookmarkEnd w:id="45"/>
    <w:bookmarkStart w:id="51" w:name="X7e92fedc68dac20a54f1cf8daa3a6a7b580e0b6"/>
    <w:p>
      <w:pPr>
        <w:pStyle w:val="Heading2"/>
      </w:pPr>
      <w:r>
        <w:t xml:space="preserve">05-layers-interaction — Layer Interaction — Hexagonal Architecture</w:t>
      </w:r>
    </w:p>
    <w:p>
      <w:pPr>
        <w:pStyle w:val="CaptionedFigure"/>
      </w:pPr>
      <w:r>
        <w:drawing>
          <wp:inline>
            <wp:extent cx="5334000" cy="4575417"/>
            <wp:effectExtent b="0" l="0" r="0" t="0"/>
            <wp:docPr descr="05-layers-interaction" title="" id="47" name="Picture"/>
            <a:graphic>
              <a:graphicData uri="http://schemas.openxmlformats.org/drawingml/2006/picture">
                <pic:pic>
                  <pic:nvPicPr>
                    <pic:cNvPr descr="../foundation/png/05-layers-interac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</w:t>
      </w:r>
    </w:p>
    <w:bookmarkStart w:id="49" w:name="описание-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«Layer Interaction — Hexagonal Architecture»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§1.1 (Layers), §1.2 (Ports &amp; Adapters). На схеме отражено примерно 20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 Layer, Composition Layer, Application Layer, Composite Pipeline (ADR-026), Domain Layer, Infrastructure Layer. Показательные узлы для быстрого чтения: CLI Entry Point, bootstrap_pipeline, PipelineRegistry, Factories, PipelineRunner, BatchExecutor.</w:t>
      </w:r>
    </w:p>
    <w:bookmarkEnd w:id="49"/>
    <w:bookmarkStart w:id="50" w:name="метаданные-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50"/>
    <w:bookmarkEnd w:id="51"/>
    <w:bookmarkStart w:id="57" w:name="X00d1eb9556cefd76876195043f5885fc3759448"/>
    <w:p>
      <w:pPr>
        <w:pStyle w:val="Heading2"/>
      </w:pPr>
      <w:r>
        <w:t xml:space="preserve">05-pipeline-lifecycle-states — Pipeline Lifecycle State Machine</w:t>
      </w:r>
    </w:p>
    <w:p>
      <w:pPr>
        <w:pStyle w:val="CaptionedFigure"/>
      </w:pPr>
      <w:r>
        <w:drawing>
          <wp:inline>
            <wp:extent cx="5334000" cy="14830898"/>
            <wp:effectExtent b="0" l="0" r="0" t="0"/>
            <wp:docPr descr="05-pipeline-lifecycle-states" title="" id="53" name="Picture"/>
            <a:graphic>
              <a:graphicData uri="http://schemas.openxmlformats.org/drawingml/2006/picture">
                <pic:pic>
                  <pic:nvPicPr>
                    <pic:cNvPr descr="../foundation/png/05-pipeline-lifecycle-state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3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</w:t>
      </w:r>
    </w:p>
    <w:bookmarkStart w:id="55" w:name="описание-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Lifecycle State Machine» из foundation-набора фиксирует устойчивый архитектурный или процессный паттерн проекта BioETL. Она представлена в формате диаграмма состояний (state diagram) и служит ориентиром на уровне детализации «Mixed (System / Component / Class)». В комментариях исходника зафиксирован фокус диаграммы: RULES.md §3 (Pipeline Execution), §3.5 (Graceful Shutdown). На схеме отражено примерно 15 узлов и 65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55"/>
    <w:bookmarkStart w:id="56" w:name="метаданные-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1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56"/>
    <w:bookmarkEnd w:id="57"/>
    <w:bookmarkStart w:id="63" w:name="X1106d9cdb3dbbd08725576b0bda2ead38578aeb"/>
    <w:p>
      <w:pPr>
        <w:pStyle w:val="Heading2"/>
      </w:pPr>
      <w:r>
        <w:t xml:space="preserve">06-application-layer-class-diagram — Application Layer Class Diagram</w:t>
      </w:r>
    </w:p>
    <w:p>
      <w:pPr>
        <w:pStyle w:val="CaptionedFigure"/>
      </w:pPr>
      <w:r>
        <w:drawing>
          <wp:inline>
            <wp:extent cx="5334000" cy="2001532"/>
            <wp:effectExtent b="0" l="0" r="0" t="0"/>
            <wp:docPr descr="06-application-layer-class-diagram" title="" id="59" name="Picture"/>
            <a:graphic>
              <a:graphicData uri="http://schemas.openxmlformats.org/drawingml/2006/picture">
                <pic:pic>
                  <pic:nvPicPr>
                    <pic:cNvPr descr="../foundation/png/06-application-layer-class-diagram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1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</w:t>
      </w:r>
    </w:p>
    <w:bookmarkStart w:id="61" w:name="описание-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«Application Layer Class Diagram»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RULES.md §1.1 (Application Layer), §3 (Pipeline Execution). На схеме отражено примерно 22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Core, Services, Transformers. Показательные узлы для быстрого чтения: BasePipeline, PipelineRunner, PipelineExecutor, RecordProcessor, BatchTransformer, PipelineServices.</w:t>
      </w:r>
    </w:p>
    <w:bookmarkEnd w:id="61"/>
    <w:bookmarkStart w:id="62" w:name="метаданные-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22</w:t>
      </w:r>
    </w:p>
    <w:p>
      <w:r>
        <w:br w:type="page"/>
      </w:r>
    </w:p>
    <w:bookmarkEnd w:id="62"/>
    <w:bookmarkEnd w:id="63"/>
    <w:bookmarkStart w:id="69" w:name="X71dd4e6cfab52ef04f3d86428091c18f3029d5c"/>
    <w:p>
      <w:pPr>
        <w:pStyle w:val="Heading2"/>
      </w:pPr>
      <w:r>
        <w:t xml:space="preserve">06-pipeline-execution — Pipeline Execution Sequence (Full)</w:t>
      </w:r>
    </w:p>
    <w:p>
      <w:pPr>
        <w:pStyle w:val="CaptionedFigure"/>
      </w:pPr>
      <w:r>
        <w:drawing>
          <wp:inline>
            <wp:extent cx="5334000" cy="3895868"/>
            <wp:effectExtent b="0" l="0" r="0" t="0"/>
            <wp:docPr descr="06-pipeline-execution" title="" id="65" name="Picture"/>
            <a:graphic>
              <a:graphicData uri="http://schemas.openxmlformats.org/drawingml/2006/picture">
                <pic:pic>
                  <pic:nvPicPr>
                    <pic:cNvPr descr="../foundation/png/06-pipeline-executi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06-pipeline-execution</w:t>
      </w:r>
    </w:p>
    <w:bookmarkStart w:id="67" w:name="описание-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Execution Sequence (Full)»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Class)». В комментариях исходника зафиксирован фокус диаграммы: RULES.md §3 (Pipeline Execution), §3.2 (Preflight), §3.4 (Postrun). На схеме отражено примерно 9 узлов и 9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67"/>
    <w:bookmarkStart w:id="68" w:name="метаданные-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1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bookmarkEnd w:id="68"/>
    <w:bookmarkEnd w:id="69"/>
    <w:bookmarkStart w:id="75" w:name="Xe0d4a92930a486af4ca0fda48833742ee9d952f"/>
    <w:p>
      <w:pPr>
        <w:pStyle w:val="Heading2"/>
      </w:pPr>
      <w:r>
        <w:t xml:space="preserve">07-circuit-breaker-states — Circuit Breaker State Machine</w:t>
      </w:r>
    </w:p>
    <w:p>
      <w:pPr>
        <w:pStyle w:val="CaptionedFigure"/>
      </w:pPr>
      <w:r>
        <w:drawing>
          <wp:inline>
            <wp:extent cx="5334000" cy="6739622"/>
            <wp:effectExtent b="0" l="0" r="0" t="0"/>
            <wp:docPr descr="07-circuit-breaker-states" title="" id="71" name="Picture"/>
            <a:graphic>
              <a:graphicData uri="http://schemas.openxmlformats.org/drawingml/2006/picture">
                <pic:pic>
                  <pic:nvPicPr>
                    <pic:cNvPr descr="../foundation/png/07-circuit-breaker-stat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</w:t>
      </w:r>
    </w:p>
    <w:bookmarkStart w:id="73" w:name="описание-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«Circuit Breaker State Machine» из foundation-набора фиксирует устойчивый архитектурный или процессный паттерн проекта BioETL. Она представлена в формате диаграмма состояний (state diagram) и служит ориентиром на уровне детализации «Mixed (System / Component / Class)». В комментариях исходника зафиксирован фокус диаграммы: RULES.md §3.6 (Resilience), ADR-007. На схеме отражено примерно 3 узлов и 18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73"/>
    <w:bookmarkStart w:id="74" w:name="метаданные-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1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</w:t>
      </w:r>
    </w:p>
    <w:p>
      <w:r>
        <w:br w:type="page"/>
      </w:r>
    </w:p>
    <w:bookmarkEnd w:id="74"/>
    <w:bookmarkEnd w:id="75"/>
    <w:bookmarkStart w:id="81" w:name="X618ccf56666df718e7eb6608b69359857344dd7"/>
    <w:p>
      <w:pPr>
        <w:pStyle w:val="Heading2"/>
      </w:pPr>
      <w:r>
        <w:t xml:space="preserve">07-medallion-flow — Medallion Data Flow (Sources → Bronze → Silver → Gold)</w:t>
      </w:r>
    </w:p>
    <w:p>
      <w:pPr>
        <w:pStyle w:val="CaptionedFigure"/>
      </w:pPr>
      <w:r>
        <w:drawing>
          <wp:inline>
            <wp:extent cx="5334000" cy="2744114"/>
            <wp:effectExtent b="0" l="0" r="0" t="0"/>
            <wp:docPr descr="07-medallion-flow" title="" id="77" name="Picture"/>
            <a:graphic>
              <a:graphicData uri="http://schemas.openxmlformats.org/drawingml/2006/picture">
                <pic:pic>
                  <pic:nvPicPr>
                    <pic:cNvPr descr="../foundation/png/07-medallion-flo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07-medallion-flow</w:t>
      </w:r>
    </w:p>
    <w:bookmarkStart w:id="79" w:name="описание-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Data Flow (Sources → Bronze → Silver → Gold)»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§2.1 (Medallion Architecture), §2.8 (Transformation). На схеме отражено примерно 13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Sources, Bronze Layer, Silver Layer, Gold Layer, Data Characteristics. Показательные узлы для быстрого чтения: (ChEMBL API ), (PubChem API ), (UniProt API ), (PubMed API ), BronzeWriter, (</w:t>
      </w:r>
      <w:r>
        <w:t xml:space="preserve">“JSONL + zstd Append-only 90d retention”</w:t>
      </w:r>
      <w:r>
        <w:t xml:space="preserve">).</w:t>
      </w:r>
    </w:p>
    <w:bookmarkEnd w:id="79"/>
    <w:bookmarkStart w:id="80" w:name="метаданные-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80"/>
    <w:bookmarkEnd w:id="81"/>
    <w:bookmarkStart w:id="87" w:name="X21cd06b372cd87956f14f8e4abc487aac6acf12"/>
    <w:p>
      <w:pPr>
        <w:pStyle w:val="Heading2"/>
      </w:pPr>
      <w:r>
        <w:t xml:space="preserve">08-complete-etl-workflow — Complete ETL Workflow (6 Phases)</w:t>
      </w:r>
    </w:p>
    <w:p>
      <w:pPr>
        <w:pStyle w:val="CaptionedFigure"/>
      </w:pPr>
      <w:r>
        <w:drawing>
          <wp:inline>
            <wp:extent cx="5334000" cy="7456525"/>
            <wp:effectExtent b="0" l="0" r="0" t="0"/>
            <wp:docPr descr="08-complete-etl-workflow" title="" id="83" name="Picture"/>
            <a:graphic>
              <a:graphicData uri="http://schemas.openxmlformats.org/drawingml/2006/picture">
                <pic:pic>
                  <pic:nvPicPr>
                    <pic:cNvPr descr="../foundation/png/08-complete-etl-workflow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6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</w:t>
      </w:r>
    </w:p>
    <w:bookmarkStart w:id="85" w:name="описание-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«Complete ETL Workflow (6 Phases)»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§3 (Pipeline Execution), §3.2 (Preflight), §3.4 (Postrun). На схеме отражено примерно 35 узлов и 55 связей, поэтому её удобно использовать для проверки влияния изменений, согласования интерфейсов и подготовки рефакторинга. Ключевые блоки/подграфы: Phase 1: Prepare, Phase 2: Extract, Phase 3: Transform, Normalization Rules, Metadata Fields, Phase 4: Validate. Показательные узлы для быстрого чтения: Fetch from API, NaN/Inf → null, Floats → round(10), Dates → ISO YYYY-MM-DD, Strings → strip(), _run_id: UUID.</w:t>
      </w:r>
    </w:p>
    <w:bookmarkEnd w:id="85"/>
    <w:bookmarkStart w:id="86" w:name="метаданные-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35</w:t>
      </w:r>
    </w:p>
    <w:p>
      <w:r>
        <w:br w:type="page"/>
      </w:r>
    </w:p>
    <w:bookmarkEnd w:id="86"/>
    <w:bookmarkEnd w:id="87"/>
    <w:bookmarkStart w:id="93" w:name="domain-ddd-domain-layer-ddd-components"/>
    <w:p>
      <w:pPr>
        <w:pStyle w:val="Heading2"/>
      </w:pPr>
      <w:r>
        <w:t xml:space="preserve">08-domain-ddd — Domain Layer — DDD Components</w:t>
      </w:r>
    </w:p>
    <w:p>
      <w:pPr>
        <w:pStyle w:val="CaptionedFigure"/>
      </w:pPr>
      <w:r>
        <w:drawing>
          <wp:inline>
            <wp:extent cx="5334000" cy="508139"/>
            <wp:effectExtent b="0" l="0" r="0" t="0"/>
            <wp:docPr descr="08-domain-ddd" title="" id="89" name="Picture"/>
            <a:graphic>
              <a:graphicData uri="http://schemas.openxmlformats.org/drawingml/2006/picture">
                <pic:pic>
                  <pic:nvPicPr>
                    <pic:cNvPr descr="../foundation/png/08-domain-dd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</w:t>
      </w:r>
    </w:p>
    <w:bookmarkStart w:id="91" w:name="описание-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Layer — DDD Components»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§1.1 (Domain Layer), §1.3 (DDD Aggregates), ADR-021. На схеме отражено примерно 24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 (DDD), ports/, aggregates/, Domain Events, value_objects/, types.py. Показательные узлы для быстрого чтения: Batch Aggregate add_record + quarantine_record seal + mark_committed, PipelineRun Aggregate start + record_stage_success complete + fail, QuarantineEntry Aggregate mark_retrying + mark_recovered mark_dead_letter, RunID (UUID), BatchID (UUID), EntityID (str).</w:t>
      </w:r>
    </w:p>
    <w:bookmarkEnd w:id="91"/>
    <w:bookmarkStart w:id="92" w:name="метаданные-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24</w:t>
      </w:r>
    </w:p>
    <w:p>
      <w:r>
        <w:br w:type="page"/>
      </w:r>
    </w:p>
    <w:bookmarkEnd w:id="92"/>
    <w:bookmarkEnd w:id="93"/>
    <w:bookmarkStart w:id="99" w:name="X9af09debd1b9f7393a339dfff6db2e8b4fdccc9"/>
    <w:p>
      <w:pPr>
        <w:pStyle w:val="Heading2"/>
      </w:pPr>
      <w:r>
        <w:t xml:space="preserve">09-full-er-diagram — Entity-Relationship Diagram (All Providers)</w:t>
      </w:r>
    </w:p>
    <w:p>
      <w:pPr>
        <w:pStyle w:val="CaptionedFigure"/>
      </w:pPr>
      <w:r>
        <w:drawing>
          <wp:inline>
            <wp:extent cx="5334000" cy="8863714"/>
            <wp:effectExtent b="0" l="0" r="0" t="0"/>
            <wp:docPr descr="09-full-er-diagram" title="" id="95" name="Picture"/>
            <a:graphic>
              <a:graphicData uri="http://schemas.openxmlformats.org/drawingml/2006/picture">
                <pic:pic>
                  <pic:nvPicPr>
                    <pic:cNvPr descr="../foundation/png/09-full-er-diagram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6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09-full-er-diagram</w:t>
      </w:r>
    </w:p>
    <w:bookmarkStart w:id="97" w:name="описание-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«Entity-Relationship Diagram (All Providers)» из foundation-набора фиксирует устойчивый архитектурный или процессный паттерн проекта BioETL. Она представлена в формате ER-диаграмма и служит ориентиром на уровне детализации «Mixed (System / Component / Class)». В комментариях исходника зафиксирован фокус диаграммы: RULES.md §1.3 (Domain Entities), §4 (Provider Specs). На схеме отражено примерно 14 узлов и 9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97"/>
    <w:bookmarkStart w:id="98" w:name="метаданные-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erDiagram</w:t>
      </w:r>
    </w:p>
    <w:p>
      <w:pPr>
        <w:pStyle w:val="Compact"/>
        <w:numPr>
          <w:ilvl w:val="0"/>
          <w:numId w:val="101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98"/>
    <w:bookmarkEnd w:id="99"/>
    <w:bookmarkStart w:id="105" w:name="X0261075714691f16fc0f50857b0fb183b967209"/>
    <w:p>
      <w:pPr>
        <w:pStyle w:val="Heading2"/>
      </w:pPr>
      <w:r>
        <w:t xml:space="preserve">10-infrastructure-layer-class-diagram — Infrastructure Layer Class Diagram</w:t>
      </w:r>
    </w:p>
    <w:p>
      <w:pPr>
        <w:pStyle w:val="CaptionedFigure"/>
      </w:pPr>
      <w:r>
        <w:drawing>
          <wp:inline>
            <wp:extent cx="5334000" cy="1878169"/>
            <wp:effectExtent b="0" l="0" r="0" t="0"/>
            <wp:docPr descr="10-infrastructure-layer-class-diagram" title="" id="101" name="Picture"/>
            <a:graphic>
              <a:graphicData uri="http://schemas.openxmlformats.org/drawingml/2006/picture">
                <pic:pic>
                  <pic:nvPicPr>
                    <pic:cNvPr descr="../foundation/png/10-infrastructure-layer-class-diagram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</w:t>
      </w:r>
    </w:p>
    <w:bookmarkStart w:id="103" w:name="описание-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«Infrastructure Layer Class Diagram»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RULES.md §1.1 (Infrastructure Layer), §3.6 (Resilience), RF-014. На схеме отражено примерно 18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HTTP Infrastructure, DataSource Adapters, Storage Writers, Coordination, Observability. Показательные узлы для быстрого чтения: UnifiedHTTPClient, CircuitBreaker, TokenBucket, ChemblAdapter, PubchemAdapter, UniprotAdapter.</w:t>
      </w:r>
    </w:p>
    <w:bookmarkEnd w:id="103"/>
    <w:bookmarkStart w:id="104" w:name="метаданные-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1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1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18</w:t>
      </w:r>
    </w:p>
    <w:p>
      <w:r>
        <w:br w:type="page"/>
      </w:r>
    </w:p>
    <w:bookmarkEnd w:id="104"/>
    <w:bookmarkEnd w:id="105"/>
    <w:bookmarkStart w:id="111" w:name="Xd7726da18897876227b62f1bbc48f6ba7c1cec3"/>
    <w:p>
      <w:pPr>
        <w:pStyle w:val="Heading2"/>
      </w:pPr>
      <w:r>
        <w:t xml:space="preserve">11-lock-acquisition-sequence — Lock Acquisition Sequence (Two Workers)</w:t>
      </w:r>
    </w:p>
    <w:p>
      <w:pPr>
        <w:pStyle w:val="CaptionedFigure"/>
      </w:pPr>
      <w:r>
        <w:drawing>
          <wp:inline>
            <wp:extent cx="5334000" cy="7634772"/>
            <wp:effectExtent b="0" l="0" r="0" t="0"/>
            <wp:docPr descr="11-lock-acquisition-sequence" title="" id="107" name="Picture"/>
            <a:graphic>
              <a:graphicData uri="http://schemas.openxmlformats.org/drawingml/2006/picture">
                <pic:pic>
                  <pic:nvPicPr>
                    <pic:cNvPr descr="../foundation/png/11-lock-acquisition-sequenc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11-lock-acquisition-sequence</w:t>
      </w:r>
    </w:p>
    <w:bookmarkStart w:id="109" w:name="описание-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«Lock Acquisition Sequence (Two Workers)»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Class)». В комментариях исходника зафиксирован фокус диаграммы: RULES.md §3.3 (Locking), ADR-010. На схеме отражено примерно 5 узлов и 8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109"/>
    <w:bookmarkStart w:id="110" w:name="метаданные-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1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5</w:t>
      </w:r>
    </w:p>
    <w:p>
      <w:r>
        <w:br w:type="page"/>
      </w:r>
    </w:p>
    <w:bookmarkEnd w:id="110"/>
    <w:bookmarkEnd w:id="111"/>
    <w:bookmarkStart w:id="117" w:name="Xce9bcc8fafe3fab44f8611884ea769ebd313ce9"/>
    <w:p>
      <w:pPr>
        <w:pStyle w:val="Heading2"/>
      </w:pPr>
      <w:r>
        <w:t xml:space="preserve">12-local-deployment-architecture — Local Deployment Architecture</w:t>
      </w:r>
    </w:p>
    <w:p>
      <w:pPr>
        <w:pStyle w:val="CaptionedFigure"/>
      </w:pPr>
      <w:r>
        <w:drawing>
          <wp:inline>
            <wp:extent cx="5334000" cy="4070516"/>
            <wp:effectExtent b="0" l="0" r="0" t="0"/>
            <wp:docPr descr="12-local-deployment-architecture" title="" id="113" name="Picture"/>
            <a:graphic>
              <a:graphicData uri="http://schemas.openxmlformats.org/drawingml/2006/picture">
                <pic:pic>
                  <pic:nvPicPr>
                    <pic:cNvPr descr="../foundation/png/12-local-deployment-architectur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0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</w:t>
      </w:r>
    </w:p>
    <w:bookmarkStart w:id="115" w:name="описание-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«Local Deployment Architecture»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local-only runtime, in-process locking, local filesystem outputs. На схеме отражено примерно 13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Local Machine (Single Instance), CLI Execution, Local Pipeline Workers, In-Process Locking, Local filesystem (data/), Local Observability. Показательные узлы для быстрого чтения: 🌐 Provider APIs ChEMBL + PubChem + UniProt + PubMed, 🖥️ CLI / Manual run PipelineRunner, ⏰ Local scheduler (cron/systemd), 📦 Local pipelines chembl_* + pubchem_compound + uniprot_protein, MemoryLock in-process only no cross-process coordination, (</w:t>
      </w:r>
      <w:r>
        <w:t xml:space="preserve">“📁 bronze/ JSONL+zstd”</w:t>
      </w:r>
      <w:r>
        <w:t xml:space="preserve">).</w:t>
      </w:r>
    </w:p>
    <w:bookmarkEnd w:id="115"/>
    <w:bookmarkStart w:id="116" w:name="метаданные-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2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116"/>
    <w:bookmarkEnd w:id="117"/>
    <w:bookmarkStart w:id="123" w:name="Xd619f4e7fd4d13e35033249d30d50ebf6750451"/>
    <w:p>
      <w:pPr>
        <w:pStyle w:val="Heading2"/>
      </w:pPr>
      <w:r>
        <w:t xml:space="preserve">13-domain-models-relationship — Domain Models Relationship Hierarchy</w:t>
      </w:r>
    </w:p>
    <w:p>
      <w:pPr>
        <w:pStyle w:val="CaptionedFigure"/>
      </w:pPr>
      <w:r>
        <w:drawing>
          <wp:inline>
            <wp:extent cx="5334000" cy="5769707"/>
            <wp:effectExtent b="0" l="0" r="0" t="0"/>
            <wp:docPr descr="13-domain-models-relationship" title="" id="119" name="Picture"/>
            <a:graphic>
              <a:graphicData uri="http://schemas.openxmlformats.org/drawingml/2006/picture">
                <pic:pic>
                  <pic:nvPicPr>
                    <pic:cNvPr descr="../foundation/png/13-domain-models-relationship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13-domain-models-relationship</w:t>
      </w:r>
    </w:p>
    <w:bookmarkStart w:id="121" w:name="описание-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Models Relationship Hierarchy»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RULES.md §1.3 (Domain Entities), §1.1 (Domain Layer). На схеме отражено примерно 15 узлов и 24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BaseEntity, Activity, Assay, Target, Molecule, PublicationEntityBase.</w:t>
      </w:r>
    </w:p>
    <w:bookmarkEnd w:id="121"/>
    <w:bookmarkStart w:id="122" w:name="метаданные-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2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122"/>
    <w:bookmarkEnd w:id="123"/>
    <w:bookmarkStart w:id="129" w:name="X762d407a9db3e38535b86a35d23bf3db22576bf"/>
    <w:p>
      <w:pPr>
        <w:pStyle w:val="Heading2"/>
      </w:pPr>
      <w:r>
        <w:t xml:space="preserve">14-provider-health-states — Provider Health State Machine</w:t>
      </w:r>
    </w:p>
    <w:p>
      <w:pPr>
        <w:pStyle w:val="CaptionedFigure"/>
      </w:pPr>
      <w:r>
        <w:drawing>
          <wp:inline>
            <wp:extent cx="5334000" cy="6313117"/>
            <wp:effectExtent b="0" l="0" r="0" t="0"/>
            <wp:docPr descr="14-provider-health-states" title="" id="125" name="Picture"/>
            <a:graphic>
              <a:graphicData uri="http://schemas.openxmlformats.org/drawingml/2006/picture">
                <pic:pic>
                  <pic:nvPicPr>
                    <pic:cNvPr descr="../foundation/png/14-provider-health-states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3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</w:t>
      </w:r>
    </w:p>
    <w:bookmarkStart w:id="127" w:name="описание-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«Provider Health State Machine» из foundation-набора фиксирует устойчивый архитектурный или процессный паттерн проекта BioETL. Она представлена в формате диаграмма состояний (state diagram) и служит ориентиром на уровне детализации «Mixed (System / Component / Class)». В комментариях исходника зафиксирован фокус диаграммы: RULES.md §3.6 (Resilience), §4 (Provider Specifications). На схеме отражено примерно 4 узлов и 22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127"/>
    <w:bookmarkStart w:id="128" w:name="метаданные-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2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4</w:t>
      </w:r>
    </w:p>
    <w:p>
      <w:r>
        <w:br w:type="page"/>
      </w:r>
    </w:p>
    <w:bookmarkEnd w:id="128"/>
    <w:bookmarkEnd w:id="129"/>
    <w:bookmarkStart w:id="135" w:name="X5020421e5061ade0da187acccb3a991e02e7bb1"/>
    <w:p>
      <w:pPr>
        <w:pStyle w:val="Heading2"/>
      </w:pPr>
      <w:r>
        <w:t xml:space="preserve">15-dq-check-workflow — Data Quality Check Workflow</w:t>
      </w:r>
    </w:p>
    <w:p>
      <w:pPr>
        <w:pStyle w:val="CaptionedFigure"/>
      </w:pPr>
      <w:r>
        <w:drawing>
          <wp:inline>
            <wp:extent cx="5334000" cy="4390792"/>
            <wp:effectExtent b="0" l="0" r="0" t="0"/>
            <wp:docPr descr="15-dq-check-workflow" title="" id="131" name="Picture"/>
            <a:graphic>
              <a:graphicData uri="http://schemas.openxmlformats.org/drawingml/2006/picture">
                <pic:pic>
                  <pic:nvPicPr>
                    <pic:cNvPr descr="../foundation/png/15-dq-check-workflow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</w:t>
      </w:r>
    </w:p>
    <w:bookmarkStart w:id="133" w:name="описание-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 Quality Check Workflow»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§3.1 (DQ Checks), §2.3 (Quarantine). На схеме отражено примерно 26 узлов и 29 связей, поэтому её удобно использовать для проверки влияния изменений, согласования интерфейсов и подготовки рефакторинга. Ключевые блоки/подграфы: Input Stage, Validation Stage, Error Classification, Action Paths, Record Routing, Metrics Export. Показательные узлы для быстрого чтения: /</w:t>
      </w:r>
      <w:r>
        <w:t xml:space="preserve">“📥 Input Records (from Bronze)”</w:t>
      </w:r>
      <w:r>
        <w:t xml:space="preserve">/, 🔍 Pandera Schema Validation, Check required fields, Validate data types, Check value constraints, Validate relationships.</w:t>
      </w:r>
    </w:p>
    <w:bookmarkEnd w:id="133"/>
    <w:bookmarkStart w:id="134" w:name="метаданные-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26</w:t>
      </w:r>
    </w:p>
    <w:p>
      <w:r>
        <w:br w:type="page"/>
      </w:r>
    </w:p>
    <w:bookmarkEnd w:id="134"/>
    <w:bookmarkEnd w:id="135"/>
    <w:bookmarkStart w:id="141" w:name="X8c3585d5cd8716753d9201e5610d2f9b8cde4ec"/>
    <w:p>
      <w:pPr>
        <w:pStyle w:val="Heading2"/>
      </w:pPr>
      <w:r>
        <w:t xml:space="preserve">16-memory-lock-class — MemoryLock Class Diagram</w:t>
      </w:r>
    </w:p>
    <w:p>
      <w:pPr>
        <w:pStyle w:val="CaptionedFigure"/>
      </w:pPr>
      <w:r>
        <w:drawing>
          <wp:inline>
            <wp:extent cx="5334000" cy="7733278"/>
            <wp:effectExtent b="0" l="0" r="0" t="0"/>
            <wp:docPr descr="16-memory-lock-class" title="" id="137" name="Picture"/>
            <a:graphic>
              <a:graphicData uri="http://schemas.openxmlformats.org/drawingml/2006/picture">
                <pic:pic>
                  <pic:nvPicPr>
                    <pic:cNvPr descr="../foundation/png/16-memory-lock-class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3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16-memory-lock-class</w:t>
      </w:r>
    </w:p>
    <w:bookmarkStart w:id="139" w:name="описание-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«MemoryLock Class Diagram»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RULES.md §3.3 (Locking), ADR-010. На схеме отражено примерно 7 узлов и 5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LockPort, MemoryLock, LockEntry, LockResult, LockNotHeldError, LockCoordinator.</w:t>
      </w:r>
    </w:p>
    <w:bookmarkEnd w:id="139"/>
    <w:bookmarkStart w:id="140" w:name="метаданные-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2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7</w:t>
      </w:r>
    </w:p>
    <w:p>
      <w:r>
        <w:br w:type="page"/>
      </w:r>
    </w:p>
    <w:bookmarkEnd w:id="140"/>
    <w:bookmarkEnd w:id="141"/>
    <w:bookmarkStart w:id="147" w:name="X6f691df23992da292d92e0ef34e5023979ff8da"/>
    <w:p>
      <w:pPr>
        <w:pStyle w:val="Heading2"/>
      </w:pPr>
      <w:r>
        <w:t xml:space="preserve">17-pipeline-hierarchy — Pipeline and Transformer Class Hierarchy</w:t>
      </w:r>
    </w:p>
    <w:p>
      <w:pPr>
        <w:pStyle w:val="CaptionedFigure"/>
      </w:pPr>
      <w:r>
        <w:drawing>
          <wp:inline>
            <wp:extent cx="5334000" cy="2470167"/>
            <wp:effectExtent b="0" l="0" r="0" t="0"/>
            <wp:docPr descr="17-pipeline-hierarchy" title="" id="143" name="Picture"/>
            <a:graphic>
              <a:graphicData uri="http://schemas.openxmlformats.org/drawingml/2006/picture">
                <pic:pic>
                  <pic:nvPicPr>
                    <pic:cNvPr descr="../foundation/png/17-pipeline-hierarchy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17-pipeline-hierarchy</w:t>
      </w:r>
    </w:p>
    <w:bookmarkStart w:id="145" w:name="описание-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and Transformer Class Hierarchy»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RULES.md §3 (Pipeline Execution), §2.8 (Transformation). На схеме отражено примерно 14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BasePipeline, BaseTransformer, BaseChemblTransformer, ActivityTransformer, MoleculeTransformer, AssayTransformer.</w:t>
      </w:r>
    </w:p>
    <w:bookmarkEnd w:id="145"/>
    <w:bookmarkStart w:id="146" w:name="метаданные-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2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146"/>
    <w:bookmarkEnd w:id="147"/>
    <w:bookmarkStart w:id="153" w:name="Xface3b5cc4d7ac34e75a1c8b7234d2a97d1af30"/>
    <w:p>
      <w:pPr>
        <w:pStyle w:val="Heading2"/>
      </w:pPr>
      <w:r>
        <w:t xml:space="preserve">18-bronze-write-sequence — Bronze Write Sequence (JSONL + zstd)</w:t>
      </w:r>
    </w:p>
    <w:p>
      <w:pPr>
        <w:pStyle w:val="CaptionedFigure"/>
      </w:pPr>
      <w:r>
        <w:drawing>
          <wp:inline>
            <wp:extent cx="5334000" cy="3869441"/>
            <wp:effectExtent b="0" l="0" r="0" t="0"/>
            <wp:docPr descr="18-bronze-write-sequence" title="" id="149" name="Picture"/>
            <a:graphic>
              <a:graphicData uri="http://schemas.openxmlformats.org/drawingml/2006/picture">
                <pic:pic>
                  <pic:nvPicPr>
                    <pic:cNvPr descr="../foundation/png/18-bronze-write-sequenc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18-bronze-write-sequence</w:t>
      </w:r>
    </w:p>
    <w:bookmarkStart w:id="151" w:name="описание-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«Bronze Write Sequence (JSONL + zstd)»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Class)». В комментариях исходника зафиксирован фокус диаграммы: RULES.md §2.1 (Bronze Layer), §2.2 (Append-Only). На схеме отражено примерно 7 узлов и 6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151"/>
    <w:bookmarkStart w:id="152" w:name="метаданные-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2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7</w:t>
      </w:r>
    </w:p>
    <w:p>
      <w:r>
        <w:br w:type="page"/>
      </w:r>
    </w:p>
    <w:bookmarkEnd w:id="152"/>
    <w:bookmarkEnd w:id="153"/>
    <w:bookmarkStart w:id="159" w:name="X79c5f2daaa10175cddc94ae0c252e58c22c91ce"/>
    <w:p>
      <w:pPr>
        <w:pStyle w:val="Heading2"/>
      </w:pPr>
      <w:r>
        <w:t xml:space="preserve">19-delta-lake-write-sequence — Delta Lake Write Sequence (Silver Layer)</w:t>
      </w:r>
    </w:p>
    <w:p>
      <w:pPr>
        <w:pStyle w:val="CaptionedFigure"/>
      </w:pPr>
      <w:r>
        <w:drawing>
          <wp:inline>
            <wp:extent cx="5334000" cy="6768618"/>
            <wp:effectExtent b="0" l="0" r="0" t="0"/>
            <wp:docPr descr="19-delta-lake-write-sequence" title="" id="155" name="Picture"/>
            <a:graphic>
              <a:graphicData uri="http://schemas.openxmlformats.org/drawingml/2006/picture">
                <pic:pic>
                  <pic:nvPicPr>
                    <pic:cNvPr descr="../foundation/png/19-delta-lake-write-sequenc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19-delta-lake-write-sequence</w:t>
      </w:r>
    </w:p>
    <w:bookmarkStart w:id="157" w:name="описание-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«Delta Lake Write Sequence (Silver Layer)»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Class)». В комментариях исходника зафиксирован фокус диаграммы: RULES.md §2.1 (Silver Layer), §2.5 (ACID via Delta Lake). На схеме отражено примерно 7 узлов и 12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157"/>
    <w:bookmarkStart w:id="158" w:name="метаданные-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2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7</w:t>
      </w:r>
    </w:p>
    <w:p>
      <w:r>
        <w:br w:type="page"/>
      </w:r>
    </w:p>
    <w:bookmarkEnd w:id="158"/>
    <w:bookmarkEnd w:id="159"/>
    <w:bookmarkStart w:id="165" w:name="X8a754b7f1573abf1cd65c620fd234849efefe95"/>
    <w:p>
      <w:pPr>
        <w:pStyle w:val="Heading2"/>
      </w:pPr>
      <w:r>
        <w:t xml:space="preserve">20-quarantine-record-states — Quarantine Record State Machine</w:t>
      </w:r>
    </w:p>
    <w:p>
      <w:pPr>
        <w:pStyle w:val="CaptionedFigure"/>
      </w:pPr>
      <w:r>
        <w:drawing>
          <wp:inline>
            <wp:extent cx="5334000" cy="1659125"/>
            <wp:effectExtent b="0" l="0" r="0" t="0"/>
            <wp:docPr descr="20-quarantine-record-states" title="" id="161" name="Picture"/>
            <a:graphic>
              <a:graphicData uri="http://schemas.openxmlformats.org/drawingml/2006/picture">
                <pic:pic>
                  <pic:nvPicPr>
                    <pic:cNvPr descr="../foundation/png/20-quarantine-record-states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20-quarantine-record-states</w:t>
      </w:r>
    </w:p>
    <w:bookmarkStart w:id="163" w:name="описание-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«Quarantine Record State Machine» из foundation-набора фиксирует устойчивый архитектурный или процессный паттерн проекта BioETL. Она представлена в формате диаграмма состояний (state diagram) и служит ориентиром на уровне детализации «Mixed (System / Component / Class)». В комментариях исходника зафиксирован фокус диаграммы: RULES.md §2.3 (Quarantine), §3.1 (Error Classification). На схеме отражено примерно 6 узлов и 10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163"/>
    <w:bookmarkStart w:id="164" w:name="метаданные-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2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6</w:t>
      </w:r>
    </w:p>
    <w:p>
      <w:r>
        <w:br w:type="page"/>
      </w:r>
    </w:p>
    <w:bookmarkEnd w:id="164"/>
    <w:bookmarkEnd w:id="165"/>
    <w:bookmarkStart w:id="171" w:name="Xd2c692e4930407f5f4755d8f11acc29795fa38f"/>
    <w:p>
      <w:pPr>
        <w:pStyle w:val="Heading2"/>
      </w:pPr>
      <w:r>
        <w:t xml:space="preserve">21-activity-entity-data-flow — Activity Entity Data Flow (Extract → Transform → Load)</w:t>
      </w:r>
    </w:p>
    <w:p>
      <w:pPr>
        <w:pStyle w:val="CaptionedFigure"/>
      </w:pPr>
      <w:r>
        <w:drawing>
          <wp:inline>
            <wp:extent cx="5334000" cy="887282"/>
            <wp:effectExtent b="0" l="0" r="0" t="0"/>
            <wp:docPr descr="21-activity-entity-data-flow" title="" id="167" name="Picture"/>
            <a:graphic>
              <a:graphicData uri="http://schemas.openxmlformats.org/drawingml/2006/picture">
                <pic:pic>
                  <pic:nvPicPr>
                    <pic:cNvPr descr="../foundation/png/21-activity-entity-data-flow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</w:t>
      </w:r>
    </w:p>
    <w:bookmarkStart w:id="169" w:name="описание-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«Activity Entity Data Flow (Extract → Transform → Load)»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§2.8 (Transformation), §4.1 (ChEMBL Activity). На схеме отражено примерно 31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API, Extract Phase, Transform Phase, Validate Phase, Load Phase, Related Entities (Silver). Показательные узлы для быстрого чтения: 🌐 ChEMBL API /activities endpoint, 📥 Fetch activity_id batch (ChemblAdapter), 🔗 Fetch related entities assay_id, molecule_id, target_id, 💾 Write Bronze JSONL + zstd, 📊 Record Lineage batch_id, paths, 🔧 Normalize units nM → μM standardization.</w:t>
      </w:r>
    </w:p>
    <w:bookmarkEnd w:id="169"/>
    <w:bookmarkStart w:id="170" w:name="метаданные-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31</w:t>
      </w:r>
    </w:p>
    <w:p>
      <w:r>
        <w:br w:type="page"/>
      </w:r>
    </w:p>
    <w:bookmarkEnd w:id="170"/>
    <w:bookmarkEnd w:id="171"/>
    <w:bookmarkStart w:id="177" w:name="Xcecdcf2f9ec47a3441b8edf587ea0c22fbd5823"/>
    <w:p>
      <w:pPr>
        <w:pStyle w:val="Heading2"/>
      </w:pPr>
      <w:r>
        <w:t xml:space="preserve">22-client-api-request-sequence — HTTP Client API Request Sequence</w:t>
      </w:r>
    </w:p>
    <w:p>
      <w:pPr>
        <w:pStyle w:val="CaptionedFigure"/>
      </w:pPr>
      <w:r>
        <w:drawing>
          <wp:inline>
            <wp:extent cx="5334000" cy="6915746"/>
            <wp:effectExtent b="0" l="0" r="0" t="0"/>
            <wp:docPr descr="22-client-api-request-sequence" title="" id="173" name="Picture"/>
            <a:graphic>
              <a:graphicData uri="http://schemas.openxmlformats.org/drawingml/2006/picture">
                <pic:pic>
                  <pic:nvPicPr>
                    <pic:cNvPr descr="../foundation/png/22-client-api-request-sequence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1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22-client-api-request-sequence</w:t>
      </w:r>
    </w:p>
    <w:bookmarkStart w:id="175" w:name="описание-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«HTTP Client API Request Sequence»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Class)». В комментариях исходника зафиксирован фокус диаграммы: RULES.md §3.6 (Resilience), §3.7 (Rate Limiting). На схеме отражено примерно 6 узлов и 13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175"/>
    <w:bookmarkStart w:id="176" w:name="метаданные-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3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6</w:t>
      </w:r>
    </w:p>
    <w:p>
      <w:r>
        <w:br w:type="page"/>
      </w:r>
    </w:p>
    <w:bookmarkEnd w:id="176"/>
    <w:bookmarkEnd w:id="177"/>
    <w:bookmarkStart w:id="183" w:name="Xd314d2d6c2a645b003d31bc9c33003c97c94624"/>
    <w:p>
      <w:pPr>
        <w:pStyle w:val="Heading2"/>
      </w:pPr>
      <w:r>
        <w:t xml:space="preserve">23-silver-writer-class — SilverWriter Class Diagram</w:t>
      </w:r>
    </w:p>
    <w:p>
      <w:pPr>
        <w:pStyle w:val="CaptionedFigure"/>
      </w:pPr>
      <w:r>
        <w:drawing>
          <wp:inline>
            <wp:extent cx="5334000" cy="2093451"/>
            <wp:effectExtent b="0" l="0" r="0" t="0"/>
            <wp:docPr descr="23-silver-writer-class" title="" id="179" name="Picture"/>
            <a:graphic>
              <a:graphicData uri="http://schemas.openxmlformats.org/drawingml/2006/picture">
                <pic:pic>
                  <pic:nvPicPr>
                    <pic:cNvPr descr="../foundation/png/23-silver-writer-class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3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23-silver-writer-class</w:t>
      </w:r>
    </w:p>
    <w:bookmarkStart w:id="181" w:name="описание-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«SilverWriter Class Diagram»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RULES.md §2.1 (Silver Layer), §2.5 (ACID via Delta Lake), RF-010, RF-014. На схеме отражено примерно 9 узлов и 5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SilverStoragePort, MergedStoragePort, StorageMaintenancePort, SilverWriter, SilverWriterRuntimeServices, WriteModePolicy.</w:t>
      </w:r>
    </w:p>
    <w:bookmarkEnd w:id="181"/>
    <w:bookmarkStart w:id="182" w:name="метаданные-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3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bookmarkEnd w:id="182"/>
    <w:bookmarkEnd w:id="183"/>
    <w:bookmarkStart w:id="189" w:name="X4161dd0dcb8c3450d8fbbc652f84a994ec0cd78"/>
    <w:p>
      <w:pPr>
        <w:pStyle w:val="Heading2"/>
      </w:pPr>
      <w:r>
        <w:t xml:space="preserve">24-hash-service-class — ContentHashService Class Diagram</w:t>
      </w:r>
    </w:p>
    <w:p>
      <w:pPr>
        <w:pStyle w:val="CaptionedFigure"/>
      </w:pPr>
      <w:r>
        <w:drawing>
          <wp:inline>
            <wp:extent cx="5334000" cy="3950804"/>
            <wp:effectExtent b="0" l="0" r="0" t="0"/>
            <wp:docPr descr="24-hash-service-class" title="" id="185" name="Picture"/>
            <a:graphic>
              <a:graphicData uri="http://schemas.openxmlformats.org/drawingml/2006/picture">
                <pic:pic>
                  <pic:nvPicPr>
                    <pic:cNvPr descr="../foundation/png/24-hash-service-class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24-hash-service-class</w:t>
      </w:r>
    </w:p>
    <w:bookmarkStart w:id="187" w:name="описание-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«ContentHashService Class Diagram»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RULES.md §2.4 (Deduplication via content_hash). На схеме отражено примерно 5 узлов и 4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ContentHashService, NormalizationRules, ContentHash, BaseTransformer, HashFlow.</w:t>
      </w:r>
    </w:p>
    <w:bookmarkEnd w:id="187"/>
    <w:bookmarkStart w:id="188" w:name="метаданные-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3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5</w:t>
      </w:r>
    </w:p>
    <w:p>
      <w:r>
        <w:br w:type="page"/>
      </w:r>
    </w:p>
    <w:bookmarkEnd w:id="188"/>
    <w:bookmarkEnd w:id="189"/>
    <w:bookmarkStart w:id="195" w:name="Xd2379692d4c74bca1e61367650d578d78f0bfc9"/>
    <w:p>
      <w:pPr>
        <w:pStyle w:val="Heading2"/>
      </w:pPr>
      <w:r>
        <w:t xml:space="preserve">25-circuit-breaker-observer-class — Circuit Breaker and Observer Classes</w:t>
      </w:r>
    </w:p>
    <w:p>
      <w:pPr>
        <w:pStyle w:val="CaptionedFigure"/>
      </w:pPr>
      <w:r>
        <w:drawing>
          <wp:inline>
            <wp:extent cx="5334000" cy="4453758"/>
            <wp:effectExtent b="0" l="0" r="0" t="0"/>
            <wp:docPr descr="25-circuit-breaker-observer-class" title="" id="191" name="Picture"/>
            <a:graphic>
              <a:graphicData uri="http://schemas.openxmlformats.org/drawingml/2006/picture">
                <pic:pic>
                  <pic:nvPicPr>
                    <pic:cNvPr descr="../foundation/png/25-circuit-breaker-observer-class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25-circuit-breaker-observer-class</w:t>
      </w:r>
    </w:p>
    <w:bookmarkStart w:id="193" w:name="описание-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«Circuit Breaker and Observer Classes»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RULES.md §3.6 (Resilience), ADR-007. На схеме отражено примерно 8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CircuitState, CircuitBreakerPort, CircuitBreaker, CircuitBreakerMetrics, CircuitBreakerConfig, CircuitOpenError.</w:t>
      </w:r>
    </w:p>
    <w:bookmarkEnd w:id="193"/>
    <w:bookmarkStart w:id="194" w:name="метаданные-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3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8</w:t>
      </w:r>
    </w:p>
    <w:p>
      <w:r>
        <w:br w:type="page"/>
      </w:r>
    </w:p>
    <w:bookmarkEnd w:id="194"/>
    <w:bookmarkEnd w:id="195"/>
    <w:bookmarkStart w:id="201" w:name="X28bebbb2231d27dac566c01a7487e69d96719d8"/>
    <w:p>
      <w:pPr>
        <w:pStyle w:val="Heading2"/>
      </w:pPr>
      <w:r>
        <w:t xml:space="preserve">26-hexagonal-ports-adapters — Hexagonal Architecture — Ports and Adapters Overview</w:t>
      </w:r>
    </w:p>
    <w:p>
      <w:pPr>
        <w:pStyle w:val="CaptionedFigure"/>
      </w:pPr>
      <w:r>
        <w:drawing>
          <wp:inline>
            <wp:extent cx="5334000" cy="564935"/>
            <wp:effectExtent b="0" l="0" r="0" t="0"/>
            <wp:docPr descr="26-hexagonal-ports-adapters" title="" id="197" name="Picture"/>
            <a:graphic>
              <a:graphicData uri="http://schemas.openxmlformats.org/drawingml/2006/picture">
                <pic:pic>
                  <pic:nvPicPr>
                    <pic:cNvPr descr="../foundation/png/26-hexagonal-ports-adapter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</w:t>
      </w:r>
    </w:p>
    <w:bookmarkStart w:id="199" w:name="описание-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Architecture — Ports and Adapters Overview»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§1.2 (Ports &amp; Adapters), §1.1 (Five-Layer Architecture). На схеме отражено примерно 35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 — Ports (Protocol), Data Ports, Coordination Ports, Observability Ports, Quality &amp; Security Ports, Metadata &amp; Config Ports. Показательные узлы для быстрого чтения: DataSourcePort • fetch() → AsyncIterator • health_check() → HealthStatus, FilterableDataSourcePort • fetch_filtered(), StoragePort • write_bronze() • write_silver() • write_gold(), DeltaReaderPort • read_table() • get_schema(), LockPort • acquire() • release() • renew(), CheckpointPort • save() • load() • delete().</w:t>
      </w:r>
    </w:p>
    <w:bookmarkEnd w:id="199"/>
    <w:bookmarkStart w:id="200" w:name="метаданные-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35</w:t>
      </w:r>
    </w:p>
    <w:p>
      <w:r>
        <w:br w:type="page"/>
      </w:r>
    </w:p>
    <w:bookmarkEnd w:id="200"/>
    <w:bookmarkEnd w:id="201"/>
    <w:bookmarkStart w:id="207" w:name="X23b6de539b57fc9143d1a19007057749e481742"/>
    <w:p>
      <w:pPr>
        <w:pStyle w:val="Heading2"/>
      </w:pPr>
      <w:r>
        <w:t xml:space="preserve">27-import-matrix-enforcement — Five-Layer Import Matrix Enforcement (ARCH-001)</w:t>
      </w:r>
    </w:p>
    <w:p>
      <w:pPr>
        <w:pStyle w:val="CaptionedFigure"/>
      </w:pPr>
      <w:r>
        <w:drawing>
          <wp:inline>
            <wp:extent cx="5334000" cy="6045704"/>
            <wp:effectExtent b="0" l="0" r="0" t="0"/>
            <wp:docPr descr="27-import-matrix-enforcement" title="" id="203" name="Picture"/>
            <a:graphic>
              <a:graphicData uri="http://schemas.openxmlformats.org/drawingml/2006/picture">
                <pic:pic>
                  <pic:nvPicPr>
                    <pic:cNvPr descr="../foundation/png/27-import-matrix-enforcement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45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27-import-matrix-enforcement</w:t>
      </w:r>
    </w:p>
    <w:bookmarkStart w:id="205" w:name="описание-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«Five-Layer Import Matrix Enforcement (ARCH-001)»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§1.1, ai-selfreview-rules.md ARCH-001. На схеме отражено примерно 11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Legend, BioETL Five-Layer Architecture, Enforcement Mechanism. Показательные узлы для быстрого чтения: ✅ Allowed Import, ❌ Forbidden Import, Interfaces Layer CLI (Click), HealthServer src/bioetl/interfaces/, Composition Layer Factories + registries src/bioetl/composition/, Application Layer Runner + executor + services src/bioetl/application/, Domain Layer Ports + entities + types src/bioetl/domain/.</w:t>
      </w:r>
    </w:p>
    <w:bookmarkEnd w:id="205"/>
    <w:bookmarkStart w:id="206" w:name="метаданные-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206"/>
    <w:bookmarkEnd w:id="207"/>
    <w:bookmarkStart w:id="213" w:name="Xba686aa890bd087c2c714aeaea27c8aaaa93d29"/>
    <w:p>
      <w:pPr>
        <w:pStyle w:val="Heading2"/>
      </w:pPr>
      <w:r>
        <w:t xml:space="preserve">28-composition-root-di-graph — Composition Root Wiring — Public APIs and Assembly</w:t>
      </w:r>
    </w:p>
    <w:p>
      <w:pPr>
        <w:pStyle w:val="CaptionedFigure"/>
      </w:pPr>
      <w:r>
        <w:drawing>
          <wp:inline>
            <wp:extent cx="5334000" cy="1941131"/>
            <wp:effectExtent b="0" l="0" r="0" t="0"/>
            <wp:docPr descr="28-composition-root-di-graph" title="" id="209" name="Picture"/>
            <a:graphic>
              <a:graphicData uri="http://schemas.openxmlformats.org/drawingml/2006/picture">
                <pic:pic>
                  <pic:nvPicPr>
                    <pic:cNvPr descr="../foundation/png/28-composition-root-di-graph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</w:t>
      </w:r>
    </w:p>
    <w:bookmarkStart w:id="211" w:name="описание-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«Composition Root Wiring — Public APIs and Assembly»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Module)». В комментариях исходника зафиксирован фокус диаграммы: RULES.md §1.1 (Composition Layer), ADR-005, RF-011. На схеме отражено примерно 17 узлов и 20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Interfaces, Public composition APIs, Composition assembly, Created runtime objects. Показательные узлы для быстрого чтения: CLI / interfaces layer, execution_api runner creation + metrics flush, services_api service accessors, resources_api cleanup / checkpoint / archive helpers, entrypoints.py retained broad facade, bootstrap_pipeline_runner().</w:t>
      </w:r>
    </w:p>
    <w:bookmarkEnd w:id="211"/>
    <w:bookmarkStart w:id="212" w:name="метаданные-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Module)</w:t>
      </w:r>
    </w:p>
    <w:p>
      <w:pPr>
        <w:pStyle w:val="Compact"/>
        <w:numPr>
          <w:ilvl w:val="0"/>
          <w:numId w:val="103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17</w:t>
      </w:r>
    </w:p>
    <w:p>
      <w:r>
        <w:br w:type="page"/>
      </w:r>
    </w:p>
    <w:bookmarkEnd w:id="212"/>
    <w:bookmarkEnd w:id="213"/>
    <w:bookmarkStart w:id="219" w:name="X501af7c1d3f80eb8330d767dff1b9da5d14a955"/>
    <w:p>
      <w:pPr>
        <w:pStyle w:val="Heading2"/>
      </w:pPr>
      <w:r>
        <w:t xml:space="preserve">29-composite-pipeline-workflow — Composite Pipeline Full Workflow — Seed to Gold (ADR-026)</w:t>
      </w:r>
    </w:p>
    <w:p>
      <w:pPr>
        <w:pStyle w:val="CaptionedFigure"/>
      </w:pPr>
      <w:r>
        <w:drawing>
          <wp:inline>
            <wp:extent cx="5334000" cy="15799259"/>
            <wp:effectExtent b="0" l="0" r="0" t="0"/>
            <wp:docPr descr="29-composite-pipeline-workflow" title="" id="215" name="Picture"/>
            <a:graphic>
              <a:graphicData uri="http://schemas.openxmlformats.org/drawingml/2006/picture">
                <pic:pic>
                  <pic:nvPicPr>
                    <pic:cNvPr descr="../foundation/png/29-composite-pipeline-workflow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99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</w:t>
      </w:r>
    </w:p>
    <w:bookmarkStart w:id="217" w:name="описание-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Full Workflow — Seed to Gold (ADR-026)»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application/composite runner, checkpoint service, runtime bootstrap. На схеме отражено примерно 17 узлов и 25 связей, поэтому её удобно использовать для проверки влияния изменений, согласования интерфейсов и подготовки рефакторинга. Ключевые блоки/подграфы: Phase 1: Initialization, Phase 2: Seed Pipeline, Phase 3: Dependencies, Phase 3.5: Key Extraction, Phase 4: Fan-Out Enrichment, Phase 5: Merge. Показательные узлы для быстрого чтения: [S] Load CompositeConfig from YAML, [S] Run seed PipelineRunner (e.g., chembl_publication), (</w:t>
      </w:r>
      <w:r>
        <w:t xml:space="preserve">“[D, [S] DependencyCoordinatorService • run_dependencies(), (”</w:t>
      </w:r>
      <w:r>
        <w:t xml:space="preserve">[D, [S] KeyExtractorService • extract_keys(seed_silver, join_keys=[doi, pmid]).</w:t>
      </w:r>
    </w:p>
    <w:bookmarkEnd w:id="217"/>
    <w:bookmarkStart w:id="218" w:name="метаданные-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3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17</w:t>
      </w:r>
    </w:p>
    <w:p>
      <w:r>
        <w:br w:type="page"/>
      </w:r>
    </w:p>
    <w:bookmarkEnd w:id="218"/>
    <w:bookmarkEnd w:id="219"/>
    <w:bookmarkStart w:id="225" w:name="X1d32fa1e51c2f2aa61ca94e22a4d7f7fe5c24a7"/>
    <w:p>
      <w:pPr>
        <w:pStyle w:val="Heading2"/>
      </w:pPr>
      <w:r>
        <w:t xml:space="preserve">30-port-adapter-mapping — Port-to-Adapter Mapping Table Diagram</w:t>
      </w:r>
    </w:p>
    <w:p>
      <w:pPr>
        <w:pStyle w:val="CaptionedFigure"/>
      </w:pPr>
      <w:r>
        <w:drawing>
          <wp:inline>
            <wp:extent cx="5334000" cy="928824"/>
            <wp:effectExtent b="0" l="0" r="0" t="0"/>
            <wp:docPr descr="30-port-adapter-mapping" title="" id="221" name="Picture"/>
            <a:graphic>
              <a:graphicData uri="http://schemas.openxmlformats.org/drawingml/2006/picture">
                <pic:pic>
                  <pic:nvPicPr>
                    <pic:cNvPr descr="../foundation/png/30-port-adapter-mapping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</w:t>
      </w:r>
    </w:p>
    <w:bookmarkStart w:id="223" w:name="описание-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«Port-to-Adapter Mapping Table Diagram»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§1.2 (Ports &amp; Adapters), ARCH-008 (Single Source). На схеме отражено примерно 35 узлов и 79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 (domain/ports/), Core Data &amp; State, Observability &amp; DQ, Validation &amp; Policy, Runtime Controls, Infrastructure Adapters. Показательные узлы для быстрого чтения: [P] DataSourcePort, [P] FilterableDataSourcePort, [P] StoragePort, [P] LockPort, [P] CheckpointPort, [P] QuarantinePort.</w:t>
      </w:r>
    </w:p>
    <w:bookmarkEnd w:id="223"/>
    <w:bookmarkStart w:id="224" w:name="метаданные-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35</w:t>
      </w:r>
    </w:p>
    <w:p>
      <w:r>
        <w:br w:type="page"/>
      </w:r>
    </w:p>
    <w:bookmarkEnd w:id="224"/>
    <w:bookmarkEnd w:id="225"/>
    <w:bookmarkStart w:id="231" w:name="X94ac91a4975a8c6a3a26b576ce9f695b096ccfa"/>
    <w:p>
      <w:pPr>
        <w:pStyle w:val="Heading2"/>
      </w:pPr>
      <w:r>
        <w:t xml:space="preserve">31-pipeline-run-lifecycle — Pipeline Run Lifecycle — From Config to Completion</w:t>
      </w:r>
    </w:p>
    <w:p>
      <w:pPr>
        <w:pStyle w:val="CaptionedFigure"/>
      </w:pPr>
      <w:r>
        <w:drawing>
          <wp:inline>
            <wp:extent cx="5334000" cy="5558486"/>
            <wp:effectExtent b="0" l="0" r="0" t="0"/>
            <wp:docPr descr="31-pipeline-run-lifecycle" title="" id="227" name="Picture"/>
            <a:graphic>
              <a:graphicData uri="http://schemas.openxmlformats.org/drawingml/2006/picture">
                <pic:pic>
                  <pic:nvPicPr>
                    <pic:cNvPr descr="../foundation/png/31-pipeline-run-lifecycle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</w:t>
      </w:r>
    </w:p>
    <w:bookmarkStart w:id="229" w:name="описание-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Run Lifecycle — From Config to Completion» из foundation-набора фиксирует устойчивый архитектурный или процессный паттерн проекта BioETL. Она представлена в формате диаграмма состояний (state diagram) и служит ориентиром на уровне детализации «Mixed (System / Component / Class)». В комментариях исходника зафиксирован фокус диаграммы: RULES.md §3 (Execution), domain/aggregates/pipeline_run.py. На схеме отражено примерно 1 узлов и 30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229"/>
    <w:bookmarkStart w:id="230" w:name="метаданные-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3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</w:t>
      </w:r>
    </w:p>
    <w:p>
      <w:r>
        <w:br w:type="page"/>
      </w:r>
    </w:p>
    <w:bookmarkEnd w:id="230"/>
    <w:bookmarkEnd w:id="231"/>
    <w:bookmarkStart w:id="237" w:name="Xe9760c86714fc0965774dc4dec63064071921d5"/>
    <w:p>
      <w:pPr>
        <w:pStyle w:val="Heading2"/>
      </w:pPr>
      <w:r>
        <w:t xml:space="preserve">32-single-record-journey — Record Processing Pipeline — Single Record Journey</w:t>
      </w:r>
    </w:p>
    <w:p>
      <w:pPr>
        <w:pStyle w:val="CaptionedFigure"/>
      </w:pPr>
      <w:r>
        <w:drawing>
          <wp:inline>
            <wp:extent cx="5334000" cy="15652656"/>
            <wp:effectExtent b="0" l="0" r="0" t="0"/>
            <wp:docPr descr="32-single-record-journey" title="" id="233" name="Picture"/>
            <a:graphic>
              <a:graphicData uri="http://schemas.openxmlformats.org/drawingml/2006/picture">
                <pic:pic>
                  <pic:nvPicPr>
                    <pic:cNvPr descr="../foundation/png/32-single-record-journey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</w:t>
      </w:r>
    </w:p>
    <w:bookmarkStart w:id="235" w:name="описание-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«Record Processing Pipeline — Single Record Journey»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§2.1-§2.6 (Data Flow, DQ), §2.8 (Normalization). На схеме отражено примерно 21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1. External API, 2. Bronze Layer, 3. Transform (RecordProcessor), 4. Validate, 5. Route Decision, 6. Silver Layer. Показательные узлы для быстрого чтения: REST API Response (e.g., ChEMBL /activity), BronzeWriter.write_bronze() JSONL + zstd atomic rename _manifest.json, (</w:t>
      </w:r>
      <w:r>
        <w:t xml:space="preserve">“Bronze File bronze/chembl/activity/ 2026-02-17/batch_001.jsonl.zst”</w:t>
      </w:r>
      <w:r>
        <w:t xml:space="preserve"> </w:t>
      </w:r>
      <w:r>
        <w:t xml:space="preserve">), BatchTransformer.transform(), BaseTransformer._transform_impl() (e.g., ActivityTransformer), Add metadata _run_id + _run_type _source_batch_id _ingestion_ts.</w:t>
      </w:r>
    </w:p>
    <w:bookmarkEnd w:id="235"/>
    <w:bookmarkStart w:id="236" w:name="метаданные-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21</w:t>
      </w:r>
    </w:p>
    <w:p>
      <w:r>
        <w:br w:type="page"/>
      </w:r>
    </w:p>
    <w:bookmarkEnd w:id="236"/>
    <w:bookmarkEnd w:id="237"/>
    <w:bookmarkStart w:id="243" w:name="Xe0915c6706fb9db2219caf39ca33d8764bb7859"/>
    <w:p>
      <w:pPr>
        <w:pStyle w:val="Heading2"/>
      </w:pPr>
      <w:r>
        <w:t xml:space="preserve">33-cli-run-interaction — CLI Run Command → Current Execution Flow</w:t>
      </w:r>
    </w:p>
    <w:p>
      <w:pPr>
        <w:pStyle w:val="CaptionedFigure"/>
      </w:pPr>
      <w:r>
        <w:drawing>
          <wp:inline>
            <wp:extent cx="5334000" cy="2204311"/>
            <wp:effectExtent b="0" l="0" r="0" t="0"/>
            <wp:docPr descr="33-cli-run-interaction" title="" id="239" name="Picture"/>
            <a:graphic>
              <a:graphicData uri="http://schemas.openxmlformats.org/drawingml/2006/picture">
                <pic:pic>
                  <pic:nvPicPr>
                    <pic:cNvPr descr="../foundation/png/33-cli-run-interaction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</w:t>
      </w:r>
    </w:p>
    <w:bookmarkStart w:id="241" w:name="описание-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 Run Command → Current Execution Flow»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Module)». В комментариях исходника зафиксирован фокус диаграммы: RULES.md §1.1 (Interfaces → Composition → Application), RF-011. На схеме отражено примерно 10 узлов и 6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241"/>
    <w:bookmarkStart w:id="242" w:name="метаданные-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4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Module)</w:t>
      </w:r>
    </w:p>
    <w:p>
      <w:pPr>
        <w:pStyle w:val="Compact"/>
        <w:numPr>
          <w:ilvl w:val="0"/>
          <w:numId w:val="104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bookmarkEnd w:id="242"/>
    <w:bookmarkEnd w:id="243"/>
    <w:bookmarkStart w:id="249" w:name="X5392f7590ce96e803322ec8f5e1602bb342175f"/>
    <w:p>
      <w:pPr>
        <w:pStyle w:val="Heading2"/>
      </w:pPr>
      <w:r>
        <w:t xml:space="preserve">34-batch-processing-flow — Batch Processing Flow — Extract to Write</w:t>
      </w:r>
    </w:p>
    <w:p>
      <w:pPr>
        <w:pStyle w:val="CaptionedFigure"/>
      </w:pPr>
      <w:r>
        <w:drawing>
          <wp:inline>
            <wp:extent cx="5334000" cy="2806426"/>
            <wp:effectExtent b="0" l="0" r="0" t="0"/>
            <wp:docPr descr="34-batch-processing-flow" title="" id="245" name="Picture"/>
            <a:graphic>
              <a:graphicData uri="http://schemas.openxmlformats.org/drawingml/2006/picture">
                <pic:pic>
                  <pic:nvPicPr>
                    <pic:cNvPr descr="../foundation/png/34-batch-processing-flow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</w:t>
      </w:r>
    </w:p>
    <w:bookmarkStart w:id="247" w:name="описание-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«Batch Processing Flow — Extract to Write»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Class)». В комментариях исходника зафиксирован фокус диаграммы: RULES.md §2.1 (Data Flow), application/core/batch_executor.py. На схеме отражено примерно 13 узлов и 5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247"/>
    <w:bookmarkStart w:id="248" w:name="метаданные-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4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248"/>
    <w:bookmarkEnd w:id="249"/>
    <w:bookmarkStart w:id="255" w:name="X3b51e90d0d246b31ee8556dcaee7a26d7addb34"/>
    <w:p>
      <w:pPr>
        <w:pStyle w:val="Heading2"/>
      </w:pPr>
      <w:r>
        <w:t xml:space="preserve">35-bootstrap-sequence — Composition Layer Bootstrap Sequence</w:t>
      </w:r>
    </w:p>
    <w:p>
      <w:pPr>
        <w:pStyle w:val="CaptionedFigure"/>
      </w:pPr>
      <w:r>
        <w:drawing>
          <wp:inline>
            <wp:extent cx="5334000" cy="15340180"/>
            <wp:effectExtent b="0" l="0" r="0" t="0"/>
            <wp:docPr descr="35-bootstrap-sequence" title="" id="251" name="Picture"/>
            <a:graphic>
              <a:graphicData uri="http://schemas.openxmlformats.org/drawingml/2006/picture">
                <pic:pic>
                  <pic:nvPicPr>
                    <pic:cNvPr descr="../foundation/png/35-bootstrap-sequence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</w:t>
      </w:r>
    </w:p>
    <w:bookmarkStart w:id="253" w:name="описание-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«Composition Layer Bootstrap Sequence»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§1.1 (Composition Root), composition/bootstrap/runtime/. На схеме отражено примерно 30 узлов и 27 связей, поэтому её удобно использовать для проверки влияния изменений, согласования интерфейсов и подготовки рефакторинга. Ключевые блоки/подграфы: Step 1: Logger, Step 2: Configuration, Step 3: Observability Bundle, Step 4: Storage, Step 5: HTTP Client, Step 6: Data Source. Показательные узлы для быстрого чтения: BootstrapLogger.configure(), StructlogLogger (JSON, ISO timestamps, run_id binding), ConfigLoader.load(pipeline_name), PipelineYamlConfig (_base.yaml merged with entity.yaml), DQConfigLoader.load(), FilterConfigLoader.load().</w:t>
      </w:r>
    </w:p>
    <w:bookmarkEnd w:id="253"/>
    <w:bookmarkStart w:id="254" w:name="метаданные-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2026-03-08</w:t>
      </w:r>
    </w:p>
    <w:p>
      <w:pPr>
        <w:pStyle w:val="Compact"/>
        <w:numPr>
          <w:ilvl w:val="0"/>
          <w:numId w:val="104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30</w:t>
      </w:r>
    </w:p>
    <w:p>
      <w:r>
        <w:br w:type="page"/>
      </w:r>
    </w:p>
    <w:bookmarkEnd w:id="254"/>
    <w:bookmarkEnd w:id="255"/>
    <w:bookmarkStart w:id="261" w:name="Xd16c35ca094c19aa45f569fcb40f9d57b7f0b6a"/>
    <w:p>
      <w:pPr>
        <w:pStyle w:val="Heading2"/>
      </w:pPr>
      <w:r>
        <w:t xml:space="preserve">36-architecture-principles-mindmap — Architecture Principles Mind Map</w:t>
      </w:r>
    </w:p>
    <w:p>
      <w:pPr>
        <w:pStyle w:val="CaptionedFigure"/>
      </w:pPr>
      <w:r>
        <w:drawing>
          <wp:inline>
            <wp:extent cx="5334000" cy="1979404"/>
            <wp:effectExtent b="0" l="0" r="0" t="0"/>
            <wp:docPr descr="36-architecture-principles-mindmap" title="" id="257" name="Picture"/>
            <a:graphic>
              <a:graphicData uri="http://schemas.openxmlformats.org/drawingml/2006/picture">
                <pic:pic>
                  <pic:nvPicPr>
                    <pic:cNvPr descr="../foundation/png/36-architecture-principles-mindmap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</w:t>
      </w:r>
    </w:p>
    <w:bookmarkStart w:id="259" w:name="описание-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«Architecture Principles Mind Map» из foundation-набора фиксирует устойчивый архитектурный или процессный паттерн проекта BioETL. Она представлена в формате интеллект-карта (mindmap) и служит ориентиром на уровне детализации «Mixed (System / Component / Class)». В комментариях исходника зафиксирован фокус диаграммы: RULES.md §1 (Architecture), all ADRs. На схеме отражено примерно 1 узлов, поэтому её удобно использовать для проверки влияния изменений, согласования интерфейсов и подготовки рефакторинга.</w:t>
      </w:r>
    </w:p>
    <w:bookmarkEnd w:id="259"/>
    <w:bookmarkStart w:id="260" w:name="метаданные-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mindmap</w:t>
      </w:r>
    </w:p>
    <w:p>
      <w:pPr>
        <w:pStyle w:val="Compact"/>
        <w:numPr>
          <w:ilvl w:val="0"/>
          <w:numId w:val="104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</w:t>
      </w:r>
    </w:p>
    <w:p>
      <w:r>
        <w:br w:type="page"/>
      </w:r>
    </w:p>
    <w:bookmarkEnd w:id="260"/>
    <w:bookmarkEnd w:id="261"/>
    <w:bookmarkStart w:id="267" w:name="Xbc2e0c08745a5729e605bfef308b795ed5138cf"/>
    <w:p>
      <w:pPr>
        <w:pStyle w:val="Heading2"/>
      </w:pPr>
      <w:r>
        <w:t xml:space="preserve">37-cli-entry-full-chain — CLI Entry Point to Pipeline Execution Full Chain</w:t>
      </w:r>
    </w:p>
    <w:p>
      <w:pPr>
        <w:pStyle w:val="CaptionedFigure"/>
      </w:pPr>
      <w:r>
        <w:drawing>
          <wp:inline>
            <wp:extent cx="5334000" cy="21426791"/>
            <wp:effectExtent b="0" l="0" r="0" t="0"/>
            <wp:docPr descr="37-cli-entry-full-chain" title="" id="263" name="Picture"/>
            <a:graphic>
              <a:graphicData uri="http://schemas.openxmlformats.org/drawingml/2006/picture">
                <pic:pic>
                  <pic:nvPicPr>
                    <pic:cNvPr descr="../foundation/png/37-cli-entry-full-chain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37-cli-entry-full-chain</w:t>
      </w:r>
    </w:p>
    <w:bookmarkStart w:id="265" w:name="описание-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 Entry Point to Pipeline Execution Full Chain»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§1.1 (Interfaces Layer), interfaces/cli/. На схеме отражено примерно 19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 Layer (Click), Application Service Layer, Composition Layer, Application Core, Result &amp; Exit. Показательные узлы для быстрого чтения: bioetl run –pipeline chembl_activity –run-type incremental –resume, Parse CLI Arguments • pipeline_name • run_type (RunType enum) • resume flag, Build RunOptions • pipeline_name • run_type • resume: bool, PipelineRegistry.get(name) → PipelineFactoryPort, bootstrap_pipeline() → assembly.py, PipelineObserver.__enter__() → log started, inc counter.</w:t>
      </w:r>
    </w:p>
    <w:bookmarkEnd w:id="265"/>
    <w:bookmarkStart w:id="266" w:name="метаданные-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266"/>
    <w:bookmarkEnd w:id="267"/>
    <w:bookmarkStart w:id="273" w:name="X22e8df85383e01ae99737559287f9af124a5bdf"/>
    <w:p>
      <w:pPr>
        <w:pStyle w:val="Heading2"/>
      </w:pPr>
      <w:r>
        <w:t xml:space="preserve">38-runtime-assembly-sequence — Runtime Assembly Sequence — bootstrap/runtime/assembly.py</w:t>
      </w:r>
    </w:p>
    <w:p>
      <w:pPr>
        <w:pStyle w:val="CaptionedFigure"/>
      </w:pPr>
      <w:r>
        <w:drawing>
          <wp:inline>
            <wp:extent cx="5334000" cy="4416879"/>
            <wp:effectExtent b="0" l="0" r="0" t="0"/>
            <wp:docPr descr="38-runtime-assembly-sequence" title="" id="269" name="Picture"/>
            <a:graphic>
              <a:graphicData uri="http://schemas.openxmlformats.org/drawingml/2006/picture">
                <pic:pic>
                  <pic:nvPicPr>
                    <pic:cNvPr descr="../foundation/png/38-runtime-assembly-sequence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38-runtime-assembly-sequence</w:t>
      </w:r>
    </w:p>
    <w:bookmarkStart w:id="271" w:name="описание-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«Runtime Assembly Sequence — bootstrap/runtime/assembly.py»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Class)». В комментариях исходника зафиксирован фокус диаграммы: composition/bootstrap/runtime/assembly.py, ADR-005. На схеме отражено примерно 11 узлов и 12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271"/>
    <w:bookmarkStart w:id="272" w:name="метаданные-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4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272"/>
    <w:bookmarkEnd w:id="273"/>
    <w:bookmarkStart w:id="279" w:name="X5dff1642d0256fc579247c9dcc888f5534e42e2"/>
    <w:p>
      <w:pPr>
        <w:pStyle w:val="Heading2"/>
      </w:pPr>
      <w:r>
        <w:t xml:space="preserve">39-medallion-invariants — Medallion Architecture Invariants (ARCH-007)</w:t>
      </w:r>
    </w:p>
    <w:p>
      <w:pPr>
        <w:pStyle w:val="CaptionedFigure"/>
      </w:pPr>
      <w:r>
        <w:drawing>
          <wp:inline>
            <wp:extent cx="5334000" cy="2347980"/>
            <wp:effectExtent b="0" l="0" r="0" t="0"/>
            <wp:docPr descr="39-medallion-invariants" title="" id="275" name="Picture"/>
            <a:graphic>
              <a:graphicData uri="http://schemas.openxmlformats.org/drawingml/2006/picture">
                <pic:pic>
                  <pic:nvPicPr>
                    <pic:cNvPr descr="../foundation/png/39-medallion-invariants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</w:t>
      </w:r>
    </w:p>
    <w:bookmarkStart w:id="277" w:name="описание-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Invariants (ARCH-007)»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§2.1 (Medallion), ARCH-007 clear policy. На схеме отражено примерно 23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RunType Enum (domain/types.py), MedallionLifecycleService</w:t>
      </w:r>
      <w:r>
        <w:t xml:space="preserve">(application/services/medallion_lifecycle.py), INCREMENTAL Path, BACKFILL Path, REBUILD Path, Enforcement. Показательные узлы для быстрого чтения: RunType.INCREMENTAL</w:t>
      </w:r>
      <w:r>
        <w:t xml:space="preserve"> </w:t>
      </w:r>
      <w:r>
        <w:t xml:space="preserve">‘Fetch new data since last run’</w:t>
      </w:r>
      <w:r>
        <w:t xml:space="preserve">, RunType.BACKFILL</w:t>
      </w:r>
      <w:r>
        <w:t xml:space="preserve"> </w:t>
      </w:r>
      <w:r>
        <w:t xml:space="preserve">‘Re-fetch a date range’</w:t>
      </w:r>
      <w:r>
        <w:t xml:space="preserve">, RunType.REBUILD</w:t>
      </w:r>
      <w:r>
        <w:t xml:space="preserve"> </w:t>
      </w:r>
      <w:r>
        <w:t xml:space="preserve">‘Full clean rebuild’</w:t>
      </w:r>
      <w:r>
        <w:t xml:space="preserve">, ❌ DO NOT clear Silver, ❌ DO NOT clear Gold, Silver: merge/upsert (content_hash dedup).</w:t>
      </w:r>
    </w:p>
    <w:bookmarkEnd w:id="277"/>
    <w:bookmarkStart w:id="278" w:name="метаданные-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23</w:t>
      </w:r>
    </w:p>
    <w:p>
      <w:r>
        <w:br w:type="page"/>
      </w:r>
    </w:p>
    <w:bookmarkEnd w:id="278"/>
    <w:bookmarkEnd w:id="279"/>
    <w:bookmarkStart w:id="285" w:name="Xb7101c417e321821db1894e4d3bdfed7c06c3d6"/>
    <w:p>
      <w:pPr>
        <w:pStyle w:val="Heading2"/>
      </w:pPr>
      <w:r>
        <w:t xml:space="preserve">40-application-core-collaboration — Application Core Component Collaboration</w:t>
      </w:r>
    </w:p>
    <w:p>
      <w:pPr>
        <w:pStyle w:val="CaptionedFigure"/>
      </w:pPr>
      <w:r>
        <w:drawing>
          <wp:inline>
            <wp:extent cx="5334000" cy="3157482"/>
            <wp:effectExtent b="0" l="0" r="0" t="0"/>
            <wp:docPr descr="40-application-core-collaboration" title="" id="281" name="Picture"/>
            <a:graphic>
              <a:graphicData uri="http://schemas.openxmlformats.org/drawingml/2006/picture">
                <pic:pic>
                  <pic:nvPicPr>
                    <pic:cNvPr descr="../foundation/png/40-application-core-collaboration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40-application-core-collaboration</w:t>
      </w:r>
    </w:p>
    <w:bookmarkStart w:id="283" w:name="описание-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«Application Core Component Collaboration»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§1.1 (Application Layer), application/core/. На схеме отражено примерно 15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PipelineRunner (application/core/runner.py), Lifecycle Services, Pre/Post Services, Batch Execution, Observability, PipelineServices (frozen dataclass). Показательные узлы для быстрого чтения: run() — main orchestrator, HeartbeatService • start() • stop(), CheckpointManager • read_checkpoint() • save_checkpoint(), ShutdownService • should_shutdown() • request_shutdown(), PreflightService • validate_pipeline_config() • validate_provider_health(), PostrunService • finalize_run() • emit_summary().</w:t>
      </w:r>
    </w:p>
    <w:bookmarkEnd w:id="283"/>
    <w:bookmarkStart w:id="284" w:name="метаданные-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284"/>
    <w:bookmarkEnd w:id="285"/>
    <w:bookmarkStart w:id="291" w:name="Xf50883791b9fa0889a9e75cff6dc8733141a52d"/>
    <w:p>
      <w:pPr>
        <w:pStyle w:val="Heading2"/>
      </w:pPr>
      <w:r>
        <w:t xml:space="preserve">41-error-classification-tree — Error Classification Decision Tree — Full Logic</w:t>
      </w:r>
    </w:p>
    <w:p>
      <w:pPr>
        <w:pStyle w:val="CaptionedFigure"/>
      </w:pPr>
      <w:r>
        <w:drawing>
          <wp:inline>
            <wp:extent cx="5334000" cy="6617929"/>
            <wp:effectExtent b="0" l="0" r="0" t="0"/>
            <wp:docPr descr="41-error-classification-tree" title="" id="287" name="Picture"/>
            <a:graphic>
              <a:graphicData uri="http://schemas.openxmlformats.org/drawingml/2006/picture">
                <pic:pic>
                  <pic:nvPicPr>
                    <pic:cNvPr descr="../foundation/png/41-error-classification-tree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</w:t>
      </w:r>
    </w:p>
    <w:bookmarkStart w:id="289" w:name="описание-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«Error Classification Decision Tree — Full Logic»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RULES.md §3.1 (Error Handling), domain/exceptions/. На схеме отражено примерно 22 узлов и 44 связей, поэтому её удобно использовать для проверки влияния изменений, согласования интерфейсов и подготовки рефакторинга. Ключевые блоки/подграфы: HTTP Branch Outcomes, Domain Branch Outcomes, Infrastructure Branch Outcomes, Error Actions. Показательные узлы для быстрого чтения: Error Occurred, [A] RETRY max_attempts: 3 multiplier: 2.0 jitter: MD5-based, [A] FAIL FAST No retry Pipeline terminates ExitCode.PIPELINE_ERROR, [A] BATCH FAIL error_rate &gt; 20% Entire batch rejected Checkpoint NOT saved.</w:t>
      </w:r>
    </w:p>
    <w:bookmarkEnd w:id="289"/>
    <w:bookmarkStart w:id="290" w:name="метаданные-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22</w:t>
      </w:r>
    </w:p>
    <w:p>
      <w:r>
        <w:br w:type="page"/>
      </w:r>
    </w:p>
    <w:bookmarkEnd w:id="290"/>
    <w:bookmarkEnd w:id="291"/>
    <w:bookmarkStart w:id="297" w:name="Xe7d97029d1ea8fdde00f4bdb17b156ce8bef22b"/>
    <w:p>
      <w:pPr>
        <w:pStyle w:val="Heading2"/>
      </w:pPr>
      <w:r>
        <w:t xml:space="preserve">42-pipeline-runner-class — PipelineRunner Internal Component Diagram</w:t>
      </w:r>
    </w:p>
    <w:p>
      <w:pPr>
        <w:pStyle w:val="CaptionedFigure"/>
      </w:pPr>
      <w:r>
        <w:drawing>
          <wp:inline>
            <wp:extent cx="5334000" cy="1725866"/>
            <wp:effectExtent b="0" l="0" r="0" t="0"/>
            <wp:docPr descr="42-pipeline-runner-class" title="" id="293" name="Picture"/>
            <a:graphic>
              <a:graphicData uri="http://schemas.openxmlformats.org/drawingml/2006/picture">
                <pic:pic>
                  <pic:nvPicPr>
                    <pic:cNvPr descr="../foundation/png/42-pipeline-runner-class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42-pipeline-runner-class</w:t>
      </w:r>
    </w:p>
    <w:bookmarkStart w:id="295" w:name="описание-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«PipelineRunner Internal Component Diagram»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application/core/runner.py, application/core/pipeline_services.py. На схеме отражено примерно 9 узлов и 8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PipelineRunner, PipelineServices, LockCoordinator, PreflightService, BatchExecutor, PostrunService.</w:t>
      </w:r>
    </w:p>
    <w:bookmarkEnd w:id="295"/>
    <w:bookmarkStart w:id="296" w:name="метаданные-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5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bookmarkEnd w:id="296"/>
    <w:bookmarkEnd w:id="297"/>
    <w:bookmarkStart w:id="303" w:name="Xa5fec077354129792160f4bafdae1ea667bf14d"/>
    <w:p>
      <w:pPr>
        <w:pStyle w:val="Heading2"/>
      </w:pPr>
      <w:r>
        <w:t xml:space="preserve">43-fan-out-fan-in-pattern — Fan-Out/Fan-In Pattern — Composite Pipeline Enrichment</w:t>
      </w:r>
    </w:p>
    <w:p>
      <w:pPr>
        <w:pStyle w:val="CaptionedFigure"/>
      </w:pPr>
      <w:r>
        <w:drawing>
          <wp:inline>
            <wp:extent cx="5334000" cy="10209919"/>
            <wp:effectExtent b="0" l="0" r="0" t="0"/>
            <wp:docPr descr="43-fan-out-fan-in-pattern" title="" id="299" name="Picture"/>
            <a:graphic>
              <a:graphicData uri="http://schemas.openxmlformats.org/drawingml/2006/picture">
                <pic:pic>
                  <pic:nvPicPr>
                    <pic:cNvPr descr="../foundation/png/43-fan-out-fan-in-pattern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9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43-fan-out-fan-in-pattern</w:t>
      </w:r>
    </w:p>
    <w:bookmarkStart w:id="301" w:name="описание-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«Fan-Out/Fan-In Pattern — Composite Pipeline Enrichment»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ADR-026 (Composite Pipeline Pattern), application/composite/. На схеме отражено примерно 18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Seed Pipeline Result, Key Extraction, Fan-Out (EnrichmentCoordinator), Enricher Silver Tables, Fan-In (MergeService), Gold Output. Показательные узлы для быстрого чтения: (</w:t>
      </w:r>
      <w:r>
        <w:t xml:space="preserve">“Seed Silver Table (e.g., chembl/publication )”</w:t>
      </w:r>
      <w:r>
        <w:t xml:space="preserve">), DOI Keys (~50,000 unique), PMID Keys (~30,000 unique), CrossRef Enricher filter_ids = DOIs required = true timeout = 3600s, PubMed Enricher filter_ids = PMIDs required = true timeout = 3600s, OpenAlex Enricher filter_ids = DOIs required = false timeout = 1800s.</w:t>
      </w:r>
    </w:p>
    <w:bookmarkEnd w:id="301"/>
    <w:bookmarkStart w:id="302" w:name="метаданные-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18</w:t>
      </w:r>
    </w:p>
    <w:p>
      <w:r>
        <w:br w:type="page"/>
      </w:r>
    </w:p>
    <w:bookmarkEnd w:id="302"/>
    <w:bookmarkEnd w:id="303"/>
    <w:bookmarkStart w:id="309" w:name="Xdb517e39f7eb3f2a15602f988b94a5aef962d2d"/>
    <w:p>
      <w:pPr>
        <w:pStyle w:val="Heading2"/>
      </w:pPr>
      <w:r>
        <w:t xml:space="preserve">44-cross-provider-enrichment — Cross-Provider Data Enrichment Flow — Publication</w:t>
      </w:r>
    </w:p>
    <w:p>
      <w:pPr>
        <w:pStyle w:val="CaptionedFigure"/>
      </w:pPr>
      <w:r>
        <w:drawing>
          <wp:inline>
            <wp:extent cx="5334000" cy="2335803"/>
            <wp:effectExtent b="0" l="0" r="0" t="0"/>
            <wp:docPr descr="44-cross-provider-enrichment" title="" id="305" name="Picture"/>
            <a:graphic>
              <a:graphicData uri="http://schemas.openxmlformats.org/drawingml/2006/picture">
                <pic:pic>
                  <pic:nvPicPr>
                    <pic:cNvPr descr="../foundation/png/44-cross-provider-enrichment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</w:t>
      </w:r>
    </w:p>
    <w:bookmarkStart w:id="307" w:name="описание-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«Cross-Provider Data Enrichment Flow — Publication»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ADR-026 (Composite), publication composite pipeline config. На схеме отражено примерно 19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ChEMBL (Seed), CrossRef (Enricher), PubMed (Enricher), OpenAlex (Enricher), Semantic Scholar (Enricher), Merge Phase. Показательные узлы для быстрого чтения: ChemblAdapter /document endpoint, PublicationTransformer, (</w:t>
      </w:r>
      <w:r>
        <w:t xml:space="preserve">“Silver chembl/publication”</w:t>
      </w:r>
      <w:r>
        <w:t xml:space="preserve"> </w:t>
      </w:r>
      <w:r>
        <w:t xml:space="preserve">), CrossRefAdapter /works?filter=doi:…, CrossRefPublicationTransformer, (</w:t>
      </w:r>
      <w:r>
        <w:t xml:space="preserve">“Silver crossref/publication”</w:t>
      </w:r>
      <w:r>
        <w:t xml:space="preserve"> </w:t>
      </w:r>
      <w:r>
        <w:t xml:space="preserve">).</w:t>
      </w:r>
    </w:p>
    <w:bookmarkEnd w:id="307"/>
    <w:bookmarkStart w:id="308" w:name="метаданные-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308"/>
    <w:bookmarkEnd w:id="309"/>
    <w:bookmarkStart w:id="315" w:name="X6a32b4de8b0f27bf5d3d77bc1db59e7f20c5bad"/>
    <w:p>
      <w:pPr>
        <w:pStyle w:val="Heading2"/>
      </w:pPr>
      <w:r>
        <w:t xml:space="preserve">46-yaml-config-resolution — YAML Configuration Resolution Chain</w:t>
      </w:r>
    </w:p>
    <w:p>
      <w:pPr>
        <w:pStyle w:val="CaptionedFigure"/>
      </w:pPr>
      <w:r>
        <w:drawing>
          <wp:inline>
            <wp:extent cx="5334000" cy="4080429"/>
            <wp:effectExtent b="0" l="0" r="0" t="0"/>
            <wp:docPr descr="46-yaml-config-resolution" title="" id="311" name="Picture"/>
            <a:graphic>
              <a:graphicData uri="http://schemas.openxmlformats.org/drawingml/2006/picture">
                <pic:pic>
                  <pic:nvPicPr>
                    <pic:cNvPr descr="../foundation/png/46-yaml-config-resolution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0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</w:t>
      </w:r>
    </w:p>
    <w:bookmarkStart w:id="313" w:name="описание-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«YAML Configuration Resolution Chain»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unified config path plus still-active normalization compatibility. На схеме отражено примерно 18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YAML File Hierarchy, Infrastructure Config Loaders, Domain Config Objects (Frozen), Pydantic Validation Layer. Показательные узлы для быстрого чтения: configs/base/pipeline.yaml (global defaults), configs/providers/{provider}.yaml (provider defaults), configs/entities/{provider}/{entity}.yaml (unified entity config), configs/providers/{provider}.yaml (source config + legacy-flat fallback), DQ hierarchy base + provider + entity + inline, Filter hierarchy base + provider + entity + inline.</w:t>
      </w:r>
    </w:p>
    <w:bookmarkEnd w:id="313"/>
    <w:bookmarkStart w:id="314" w:name="метаданные-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18</w:t>
      </w:r>
    </w:p>
    <w:p>
      <w:r>
        <w:br w:type="page"/>
      </w:r>
    </w:p>
    <w:bookmarkEnd w:id="314"/>
    <w:bookmarkEnd w:id="315"/>
    <w:bookmarkStart w:id="321" w:name="X7d3f230b380e630ea32ccc8ed40a83e484a3321"/>
    <w:p>
      <w:pPr>
        <w:pStyle w:val="Heading2"/>
      </w:pPr>
      <w:r>
        <w:t xml:space="preserve">47-publication-merge-sources — Publication Composite — Merge All Sources</w:t>
      </w:r>
    </w:p>
    <w:p>
      <w:pPr>
        <w:pStyle w:val="CaptionedFigure"/>
      </w:pPr>
      <w:r>
        <w:drawing>
          <wp:inline>
            <wp:extent cx="5334000" cy="3239002"/>
            <wp:effectExtent b="0" l="0" r="0" t="0"/>
            <wp:docPr descr="47-publication-merge-sources" title="" id="317" name="Picture"/>
            <a:graphic>
              <a:graphicData uri="http://schemas.openxmlformats.org/drawingml/2006/picture">
                <pic:pic>
                  <pic:nvPicPr>
                    <pic:cNvPr descr="../foundation/png/47-publication-merge-sources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47-publication-merge-sources</w:t>
      </w:r>
    </w:p>
    <w:bookmarkStart w:id="319" w:name="описание-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«Publication Composite — Merge All Sources» из foundation-набора фиксирует устойчивый архитектурный или процессный паттерн проекта BioETL. Она представлена в формате диаграмма последовательности (sequence) и служит ориентиром на уровне детализации «Mixed (System / Component / Class)». В комментариях исходника зафиксирован фокус диаграммы: application/composite/merger.py, composite/coordinator.py, composite configs. На схеме отражено примерно 13 узлов и 11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319"/>
    <w:bookmarkStart w:id="320" w:name="метаданные-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5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320"/>
    <w:bookmarkEnd w:id="321"/>
    <w:bookmarkStart w:id="327" w:name="X2fbe30b5ea00df2804e01e65856fe1b39944792"/>
    <w:p>
      <w:pPr>
        <w:pStyle w:val="Heading2"/>
      </w:pPr>
      <w:r>
        <w:t xml:space="preserve">48-composite-phase-lifecycle — Composite Pipeline Phase Lifecycle (FSM)</w:t>
      </w:r>
    </w:p>
    <w:p>
      <w:pPr>
        <w:pStyle w:val="CaptionedFigure"/>
      </w:pPr>
      <w:r>
        <w:drawing>
          <wp:inline>
            <wp:extent cx="5334000" cy="11892261"/>
            <wp:effectExtent b="0" l="0" r="0" t="0"/>
            <wp:docPr descr="48-composite-phase-lifecycle" title="" id="323" name="Picture"/>
            <a:graphic>
              <a:graphicData uri="http://schemas.openxmlformats.org/drawingml/2006/picture">
                <pic:pic>
                  <pic:nvPicPr>
                    <pic:cNvPr descr="../foundation/png/48-composite-phase-lifecycle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</w:t>
      </w:r>
    </w:p>
    <w:bookmarkStart w:id="325" w:name="описание-5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Phase Lifecycle (FSM)» из foundation-набора фиксирует устойчивый архитектурный или процессный паттерн проекта BioETL. Она представлена в формате диаграмма состояний (state diagram) и служит ориентиром на уровне детализации «Mixed (System / Component / Class)». В комментариях исходника зафиксирован фокус диаграммы: domain/composite/state.py, application/composite/fsm_helper.py. На схеме отражено примерно 10 узлов и 26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325"/>
    <w:bookmarkStart w:id="326" w:name="метаданные-5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5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bookmarkEnd w:id="326"/>
    <w:bookmarkEnd w:id="327"/>
    <w:bookmarkStart w:id="333" w:name="X264417177f67956abd0f06a52b0a6e01869e3be"/>
    <w:p>
      <w:pPr>
        <w:pStyle w:val="Heading2"/>
      </w:pPr>
      <w:r>
        <w:t xml:space="preserve">49-composite-runner-class — CompositePipelineRunner — Component Diagram</w:t>
      </w:r>
    </w:p>
    <w:p>
      <w:pPr>
        <w:pStyle w:val="CaptionedFigure"/>
      </w:pPr>
      <w:r>
        <w:drawing>
          <wp:inline>
            <wp:extent cx="5334000" cy="1989005"/>
            <wp:effectExtent b="0" l="0" r="0" t="0"/>
            <wp:docPr descr="49-composite-runner-class" title="" id="329" name="Picture"/>
            <a:graphic>
              <a:graphicData uri="http://schemas.openxmlformats.org/drawingml/2006/picture">
                <pic:pic>
                  <pic:nvPicPr>
                    <pic:cNvPr descr="../foundation/png/49-composite-runner-class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49-composite-runner-class</w:t>
      </w:r>
    </w:p>
    <w:bookmarkStart w:id="331" w:name="описание-5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«CompositePipelineRunner — Component Diagram» из foundation-набора фиксирует устойчивый архитектурный или процессный паттерн проекта BioETL. Она представлена в формате диаграмма классов (class diagram) и служит ориентиром на уровне детализации «Mixed (System / Component / Class)». В комментариях исходника зафиксирован фокус диаграммы: application/composite/ (runner, coordinator, merger, checkpoint, etc.). На схеме отражено примерно 13 узлов и 12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CompositePipelineRunner, CompositeConfig, CompositeRuntimeConfig, FSMStateHelper, KeyExtractorService, DependencyCoordinator.</w:t>
      </w:r>
    </w:p>
    <w:bookmarkEnd w:id="331"/>
    <w:bookmarkStart w:id="332" w:name="метаданные-5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5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332"/>
    <w:bookmarkEnd w:id="333"/>
    <w:bookmarkStart w:id="339" w:name="Xceb05394976ee14a27cb9d2b403c59f1c4b9cad"/>
    <w:p>
      <w:pPr>
        <w:pStyle w:val="Heading2"/>
      </w:pPr>
      <w:r>
        <w:t xml:space="preserve">50-exception-hierarchy — Exception Hierarchy — Full Tree</w:t>
      </w:r>
    </w:p>
    <w:p>
      <w:pPr>
        <w:pStyle w:val="CaptionedFigure"/>
      </w:pPr>
      <w:r>
        <w:drawing>
          <wp:inline>
            <wp:extent cx="5334000" cy="588369"/>
            <wp:effectExtent b="0" l="0" r="0" t="0"/>
            <wp:docPr descr="50-exception-hierarchy" title="" id="335" name="Picture"/>
            <a:graphic>
              <a:graphicData uri="http://schemas.openxmlformats.org/drawingml/2006/picture">
                <pic:pic>
                  <pic:nvPicPr>
                    <pic:cNvPr descr="../foundation/png/50-exception-hierarchy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</w:t>
      </w:r>
    </w:p>
    <w:bookmarkStart w:id="337" w:name="описание-5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«Exception Hierarchy — Full Tree» из foundation-набора фиксирует устойчивый архитектурный или процессный паттерн проекта BioETL. Она представлена в формате блок-схема потоков (flowchart) и служит ориентиром на уровне детализации «Mixed (System / Component / Class)». В комментариях исходника зафиксирован фокус диаграммы: domain/exceptions/ (base, network, validation, internal, infrastructure, data_quality). На схеме отражено примерно 35 узлов и 50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Exception (Python built-in), BioETLError domain/exceptions/base.py error_type: ErrorType context: dict, ErrorClassifier domain/error_classifier.py .classify(error) → ErrorType.</w:t>
      </w:r>
    </w:p>
    <w:bookmarkEnd w:id="337"/>
    <w:bookmarkStart w:id="338" w:name="метаданные-5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35</w:t>
      </w:r>
    </w:p>
    <w:bookmarkEnd w:id="338"/>
    <w:bookmarkEnd w:id="339"/>
    <w:bookmarkEnd w:id="3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42" Target="media/rId142.png" /><Relationship Type="http://schemas.openxmlformats.org/officeDocument/2006/relationships/image" Id="rId148" Target="media/rId148.png" /><Relationship Type="http://schemas.openxmlformats.org/officeDocument/2006/relationships/image" Id="rId154" Target="media/rId154.png" /><Relationship Type="http://schemas.openxmlformats.org/officeDocument/2006/relationships/image" Id="rId160" Target="media/rId160.png" /><Relationship Type="http://schemas.openxmlformats.org/officeDocument/2006/relationships/image" Id="rId166" Target="media/rId166.png" /><Relationship Type="http://schemas.openxmlformats.org/officeDocument/2006/relationships/image" Id="rId172" Target="media/rId172.png" /><Relationship Type="http://schemas.openxmlformats.org/officeDocument/2006/relationships/image" Id="rId178" Target="media/rId178.png" /><Relationship Type="http://schemas.openxmlformats.org/officeDocument/2006/relationships/image" Id="rId184" Target="media/rId184.png" /><Relationship Type="http://schemas.openxmlformats.org/officeDocument/2006/relationships/image" Id="rId190" Target="media/rId190.png" /><Relationship Type="http://schemas.openxmlformats.org/officeDocument/2006/relationships/image" Id="rId196" Target="media/rId196.png" /><Relationship Type="http://schemas.openxmlformats.org/officeDocument/2006/relationships/image" Id="rId202" Target="media/rId202.png" /><Relationship Type="http://schemas.openxmlformats.org/officeDocument/2006/relationships/image" Id="rId208" Target="media/rId208.png" /><Relationship Type="http://schemas.openxmlformats.org/officeDocument/2006/relationships/image" Id="rId214" Target="media/rId214.png" /><Relationship Type="http://schemas.openxmlformats.org/officeDocument/2006/relationships/image" Id="rId220" Target="media/rId220.png" /><Relationship Type="http://schemas.openxmlformats.org/officeDocument/2006/relationships/image" Id="rId226" Target="media/rId226.png" /><Relationship Type="http://schemas.openxmlformats.org/officeDocument/2006/relationships/image" Id="rId232" Target="media/rId232.png" /><Relationship Type="http://schemas.openxmlformats.org/officeDocument/2006/relationships/image" Id="rId238" Target="media/rId238.png" /><Relationship Type="http://schemas.openxmlformats.org/officeDocument/2006/relationships/image" Id="rId244" Target="media/rId244.png" /><Relationship Type="http://schemas.openxmlformats.org/officeDocument/2006/relationships/image" Id="rId250" Target="media/rId250.png" /><Relationship Type="http://schemas.openxmlformats.org/officeDocument/2006/relationships/image" Id="rId256" Target="media/rId256.png" /><Relationship Type="http://schemas.openxmlformats.org/officeDocument/2006/relationships/image" Id="rId262" Target="media/rId262.png" /><Relationship Type="http://schemas.openxmlformats.org/officeDocument/2006/relationships/image" Id="rId268" Target="media/rId268.png" /><Relationship Type="http://schemas.openxmlformats.org/officeDocument/2006/relationships/image" Id="rId274" Target="media/rId274.png" /><Relationship Type="http://schemas.openxmlformats.org/officeDocument/2006/relationships/image" Id="rId280" Target="media/rId280.png" /><Relationship Type="http://schemas.openxmlformats.org/officeDocument/2006/relationships/image" Id="rId286" Target="media/rId286.png" /><Relationship Type="http://schemas.openxmlformats.org/officeDocument/2006/relationships/image" Id="rId292" Target="media/rId292.png" /><Relationship Type="http://schemas.openxmlformats.org/officeDocument/2006/relationships/image" Id="rId298" Target="media/rId298.png" /><Relationship Type="http://schemas.openxmlformats.org/officeDocument/2006/relationships/image" Id="rId304" Target="media/rId304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322" Target="media/rId322.png" /><Relationship Type="http://schemas.openxmlformats.org/officeDocument/2006/relationships/image" Id="rId328" Target="media/rId328.png" /><Relationship Type="http://schemas.openxmlformats.org/officeDocument/2006/relationships/image" Id="rId334" Target="media/rId3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2026-03-19T08:25:14Z</dcterms:created>
  <dcterms:modified xsi:type="dcterms:W3CDTF">2026-03-19T08:25:14Z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