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PKPD Figures</w:t>
      </w:r>
    </w:p>
    <w:p>
      <w:pPr>
        <w:pStyle w:val="Heading1"/>
      </w:pPr>
      <w:r>
        <w:t xml:space="preserve">Модель болевого синдрома, индуцированная введением формалина.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1.1 Модель болевого синдрома, индуцированная введением формалина. Изменение концентрации гистамина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19610"/>
            <wp:docPr id="2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1.2 Модель болевого синдрома, индуцированная введением формалина. Интернализация H3 рецепторов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118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1.3 Модель болевого синдрома, индуцированная введением формалина. Уровень функциональной активности H3 рецепторов после индукции паталогии.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E:/Users/Fedor/Downloads/Telegram Desktop/SINGLE_REP_pred_mice_rats.xlsx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antagonist_pk.dose_mg_per_kg</w:t>
            </w:r>
          </w:p>
        </w:tc>
        <w:tc>
          <w:tcPr>
            <w:tcW w:w="9600" w:type="dxa"/>
          </w:tcPr>
          <w:p>
            <w:r>
              <w:rPr/>
              <w:t xml:space="preserve">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tissue_overrides.skin.formalin_profile.profile_shape</w:t>
            </w:r>
          </w:p>
        </w:tc>
        <w:tc>
          <w:tcPr>
            <w:tcW w:w="9600" w:type="dxa"/>
          </w:tcPr>
          <w:p>
            <w:r>
              <w:rPr/>
              <w:t xml:space="preserve">gaussian_sum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990.0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tissue_overrides.skin.formalin_profile.phase1.center_min</w:t>
            </w:r>
          </w:p>
        </w:tc>
        <w:tc>
          <w:tcPr>
            <w:tcW w:w="9600" w:type="dxa"/>
          </w:tcPr>
          <w:p>
            <w:r>
              <w:rPr/>
              <w:t xml:space="preserve">5.0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7.6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390.0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tissue_overrides.skin.formalin_profile.phase2.center_min</w:t>
            </w:r>
          </w:p>
        </w:tc>
        <w:tc>
          <w:tcPr>
            <w:tcW w:w="9600" w:type="dxa"/>
          </w:tcPr>
          <w:p>
            <w:r>
              <w:rPr/>
              <w:t xml:space="preserve">40.0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tissue_overrides.skin.formalin_profile.phase2.sigma_min</w:t>
            </w:r>
          </w:p>
        </w:tc>
        <w:tc>
          <w:tcPr>
            <w:tcW w:w="9600" w:type="dxa"/>
          </w:tcPr>
          <w:p>
            <w:r>
              <w:rPr/>
              <w:t xml:space="preserve">25.0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tissue_overrides.spinal_coord.formalin_profile.profile_shape</w:t>
            </w:r>
          </w:p>
        </w:tc>
        <w:tc>
          <w:tcPr>
            <w:tcW w:w="9600" w:type="dxa"/>
          </w:tcPr>
          <w:p>
            <w:r>
              <w:rPr/>
              <w:t xml:space="preserve">gaussian_sum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0.246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tissue_overrides.spinal_coord.formalin_profile.phase1.center_min</w:t>
            </w:r>
          </w:p>
        </w:tc>
        <w:tc>
          <w:tcPr>
            <w:tcW w:w="9600" w:type="dxa"/>
          </w:tcPr>
          <w:p>
            <w:r>
              <w:rPr/>
              <w:t xml:space="preserve">30.0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73.9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7.883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tissue_overrides.spinal_coord.formalin_profile.phase2.center_min</w:t>
            </w:r>
          </w:p>
        </w:tc>
        <w:tc>
          <w:tcPr>
            <w:tcW w:w="9600" w:type="dxa"/>
          </w:tcPr>
          <w:p>
            <w:r>
              <w:rPr/>
              <w:t xml:space="preserve">120.0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tissue_overrides.spinal_coord.formalin_profile.phase2.sigma_min</w:t>
            </w:r>
          </w:p>
        </w:tc>
        <w:tc>
          <w:tcPr>
            <w:tcW w:w="9600" w:type="dxa"/>
          </w:tcPr>
          <w:p>
            <w:r>
              <w:rPr/>
              <w:t xml:space="preserve">73.9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tissue_overrides.brain.formalin_profile.profile_shape</w:t>
            </w:r>
          </w:p>
        </w:tc>
        <w:tc>
          <w:tcPr>
            <w:tcW w:w="9600" w:type="dxa"/>
          </w:tcPr>
          <w:p>
            <w:r>
              <w:rPr/>
              <w:t xml:space="preserve">gaussian_sum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0.246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tissue_overrides.brain.formalin_profile.phase1.center_min</w:t>
            </w:r>
          </w:p>
        </w:tc>
        <w:tc>
          <w:tcPr>
            <w:tcW w:w="9600" w:type="dxa"/>
          </w:tcPr>
          <w:p>
            <w:r>
              <w:rPr/>
              <w:t xml:space="preserve">30.0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73.9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7.883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tissue_overrides.brain.formalin_profile.phase2.center_min</w:t>
            </w:r>
          </w:p>
        </w:tc>
        <w:tc>
          <w:tcPr>
            <w:tcW w:w="9600" w:type="dxa"/>
          </w:tcPr>
          <w:p>
            <w:r>
              <w:rPr/>
              <w:t xml:space="preserve">120.0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tissue_overrides.brain.formalin_profile.phase2.sigma_min</w:t>
            </w:r>
          </w:p>
        </w:tc>
        <w:tc>
          <w:tcPr>
            <w:tcW w:w="9600" w:type="dxa"/>
          </w:tcPr>
          <w:p>
            <w:r>
              <w:rPr/>
              <w:t xml:space="preserve">73.9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1500.0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tissue_overrides.ganglia.formalin_profile.profile_shape</w:t>
            </w:r>
          </w:p>
        </w:tc>
        <w:tc>
          <w:tcPr>
            <w:tcW w:w="9600" w:type="dxa"/>
          </w:tcPr>
          <w:p>
            <w:r>
              <w:rPr/>
              <w:t xml:space="preserve">gaussian_sum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3.426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tissue_overrides.ganglia.formalin_profile.phase1.center_min</w:t>
            </w:r>
          </w:p>
        </w:tc>
        <w:tc>
          <w:tcPr>
            <w:tcW w:w="9600" w:type="dxa"/>
          </w:tcPr>
          <w:p>
            <w:r>
              <w:rPr/>
              <w:t xml:space="preserve">15.0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23.8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9.428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tissue_overrides.ganglia.formalin_profile.phase2.center_min</w:t>
            </w:r>
          </w:p>
        </w:tc>
        <w:tc>
          <w:tcPr>
            <w:tcW w:w="9600" w:type="dxa"/>
          </w:tcPr>
          <w:p>
            <w:r>
              <w:rPr/>
              <w:t xml:space="preserve">60.0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tissue_overrides.ganglia.formalin_profile.phase2.sigma_min</w:t>
            </w:r>
          </w:p>
        </w:tc>
        <w:tc>
          <w:tcPr>
            <w:tcW w:w="9600" w:type="dxa"/>
          </w:tcPr>
          <w:p>
            <w:r>
              <w:rPr/>
              <w:t xml:space="preserve">23.8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formalin_pkpd_v1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rat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formalin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formalin is used directly", "shared/common trafficking and top-level formalin_profile act as deterministic defaults before tissue_overrides, including tissue-specific profile_shape, are applied", "brain is included as a mandatory CNS tissue and currently uses a spinal_coord proxy profile until a source-backed brain profile is introduced", "formalin skin phase-1 half-life of 9 min is approximated as gaussian sigma_min=7.6", "phase-2 skin peak is encoded via formalin_profile amplitude override to reach 400 nM on a 50 nM baseline", "spinal_coord and ganglia phase centers are fixed at 30/120 min and 15/60 min respectively because the source table specifies peaks and t1/2 but not phase timing"]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formalin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formalin_profile.phase1.amplitude_nm</w:t>
            </w:r>
          </w:p>
        </w:tc>
        <w:tc>
          <w:tcPr>
            <w:tcW w:w="9600" w:type="dxa"/>
          </w:tcPr>
          <w:p>
            <w:r>
              <w:rPr/>
              <w:t xml:space="preserve">990.0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formalin_profile.phase1.sigma_min</w:t>
            </w:r>
          </w:p>
        </w:tc>
        <w:tc>
          <w:tcPr>
            <w:tcW w:w="9600" w:type="dxa"/>
          </w:tcPr>
          <w:p>
            <w:r>
              <w:rPr/>
              <w:t xml:space="preserve">7.6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formalin_profile.phase2.amplitude_nm</w:t>
            </w:r>
          </w:p>
        </w:tc>
        <w:tc>
          <w:tcPr>
            <w:tcW w:w="9600" w:type="dxa"/>
          </w:tcPr>
          <w:p>
            <w:r>
              <w:rPr/>
              <w:t xml:space="preserve">390.0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["skin",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Figures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4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1.4 Figures. Fig1 4 Formalin Xc7 Concentration.</w:t>
      </w:r>
    </w:p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Compound 48/80.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2.1 Модель болевого синдрома, индуцированная введением Compound 48/80. Изменение концентрации гистамина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19610"/>
            <wp:docPr id="6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2.2 Модель болевого синдрома, индуцированная введением Compound 48/80. Интернализация H3 рецепторов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118"/>
            <wp:docPr id="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2.3 Модель болевого синдрома, индуцированная введением Compound 48/80. Уровень функциональной активности H3 рецепторов после индукции паталогии.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E:/Users/Fedor/Downloads/Telegram Desktop/SINGLE_REP_pred_mice_rats.xlsx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antagonist_pk.dose_mg_per_kg</w:t>
            </w:r>
          </w:p>
        </w:tc>
        <w:tc>
          <w:tcPr>
            <w:tcW w:w="9600" w:type="dxa"/>
          </w:tcPr>
          <w:p>
            <w:r>
              <w:rPr/>
              <w:t xml:space="preserve">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1500.0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compound_48_80_pkpd_v1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mouse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compound 48/80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compound_48_80 is used directly", "skin two-phase profile and CNS profiles are taken from scenario_registry as the source of truth", "brain is included as a mandatory CNS tissue and currently uses a spinal_coord proxy profile until a source-backed brain profile is introduced", "top-level trafficking acts as deterministic defaults before tissue_overrides are applied", "legacy file examples/configs/compound48_80.yaml is retained only as a compatibility example"]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compound_48_80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["skin",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Figures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8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2.4 Figures. Fig2 4 Compound 48 80 Xc7 Concentration.</w:t>
      </w:r>
    </w:p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капсаицина.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3.1 Модель болевого синдрома, индуцированная введением капсаицина. Изменение концентрации гистамина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19610"/>
            <wp:docPr id="10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3.2 Модель болевого синдрома, индуцированная введением капсаицина. Интернализация H3 рецепторов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118"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3.3 Модель болевого синдрома, индуцированная введением капсаицина. Уровень функциональной активности H3 рецепторов после индукции паталогии.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E:/Users/Fedor/Downloads/Telegram Desktop/SINGLE_REP_pred_mice_rats.xlsx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antagonist_pk.dose_mg_per_kg</w:t>
            </w:r>
          </w:p>
        </w:tc>
        <w:tc>
          <w:tcPr>
            <w:tcW w:w="9600" w:type="dxa"/>
          </w:tcPr>
          <w:p>
            <w:r>
              <w:rPr/>
              <w:t xml:space="preserve">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50.0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1500.0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capsaicin_pkpd_v1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rat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capsaicin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capsaicin is used directly", "skin, spinal_coord, and ganglia H(t) profiles are taken from scenario_registry as the source of truth", "brain is included as a mandatory CNS tissue and currently uses a spinal_coord proxy profile until a source-backed brain profile is introduced", "top-level trafficking acts as deterministic defaults before tissue_overrides are applied", "skin h_base_nm is overridden to 50 nM so the marker-tissue H(t) peak matches the tabulated 227 nM at 15 min"]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capsaicin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["skin",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1430, 1435, 1440] (len=289)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Figures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12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3.4 Figures. Fig3 4 Capsaicin Xc7 Concentration.</w:t>
      </w:r>
    </w:p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карагенина.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4.1 Модель болевого синдрома, индуцированная введением карагенина. Изменение концентрации гистамина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19610"/>
            <wp:docPr id="14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4.2 Модель болевого синдрома, индуцированная введением карагенина. Интернализация H3 рецепторов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118"/>
            <wp:docPr id="1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4.3 Модель болевого синдрома, индуцированная введением карагенина. Уровень функциональной активности H3 рецепторов после индукции паталогии.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E:/Users/Fedor/Downloads/Telegram Desktop/SINGLE_REP_pred_mice_rats.xlsx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antagonist_pk.dose_mg_per_kg</w:t>
            </w:r>
          </w:p>
        </w:tc>
        <w:tc>
          <w:tcPr>
            <w:tcW w:w="9600" w:type="dxa"/>
          </w:tcPr>
          <w:p>
            <w:r>
              <w:rPr/>
              <w:t xml:space="preserve">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1500.0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carrageenan_pkpd_v1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rat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carrageenan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carrageenan is used directly", "muscle is used as the marker tissue because the source table points to m. gastrocnemius", "early and late muscle phases are taken from scenario_registry as the source of truth", "brain is included as a mandatory CNS tissue and currently uses a spinal_coord proxy profile until a source-backed brain profile is introduced", "top-level trafficking acts as deterministic defaults before tissue_overrides are applied"]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carrageenan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["muscle",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Figures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16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4.4 Figures. Fig4 4 Carrageenan Xc7 Concentration.</w:t>
      </w:r>
    </w:p>
    <w:p>
      <w:r>
        <w:br w:type="page"/>
      </w:r>
    </w:p>
    <w:p>
      <w:pPr>
        <w:pStyle w:val="Heading1"/>
      </w:pPr>
      <w:r>
        <w:t xml:space="preserve">Модель болевого синдрома, индуцированная термическим воздействием в тесте «Горячая пластина».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image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5.1 Модель болевого синдрома, индуцированная термическим воздействием в тесте «Горячая пластина». Изменение концентрации гистамина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19610"/>
            <wp:docPr id="18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5.2 Модель болевого синдрома, индуцированная термическим воздействием в тесте «Горячая пластина». Интернализация H3 рецепторов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118"/>
            <wp:docPr id="1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image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5.3 Модель болевого синдрома, индуцированная термическим воздействием в тесте «Горячая пластина». Уровень функциональной активности H3 рецепторов после индукции паталогии.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E:/Users/Fedor/Downloads/Telegram Desktop/SINGLE_REP_pred_mice_rats.xlsx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single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antagonist_pk.dose_mg_per_kg</w:t>
            </w:r>
          </w:p>
        </w:tc>
        <w:tc>
          <w:tcPr>
            <w:tcW w:w="9600" w:type="dxa"/>
          </w:tcPr>
          <w:p>
            <w:r>
              <w:rPr/>
              <w:t xml:space="preserve">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50.0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1500.0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hot_plate_pkpd_v1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mouse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hot plate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hot_plate is used directly", "runtime registry is treated as the source of truth for skin, spinal_coord, and ganglia H(t)", "brain is included as a mandatory CNS tissue and currently uses a spinal_coord proxy profile until a source-backed brain profile is introduced", "skin h_base_nm is overridden to 50 nM so the marker-tissue H(t) peak matches the primary 262 nM text value at 1 min", "top-level trafficking acts as deterministic defaults before tissue_overrides are applied"]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hot_plate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["skin",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1, 5, 10, 15, 20, ..., 710, 715, 720] (len=146)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Figures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20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5.4 Figures. Fig5 4 Hot Plate Xc7 Concentration.</w:t>
      </w:r>
    </w:p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уксусной кислоты.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2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6.1 Модель болевого синдрома, индуцированная введением уксусной кислоты. Изменение концентрации гистамина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19610"/>
            <wp:docPr id="22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6.2 Модель болевого синдрома, индуцированная введением уксусной кислоты. Интернализация H3 рецепторов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118"/>
            <wp:docPr id="2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image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6.3 Модель болевого синдрома, индуцированная введением уксусной кислоты. Уровень функциональной активности H3 рецепторов после индукции паталогии.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E:/Users/Fedor/Downloads/Telegram Desktop/SINGLE_REP_pred_mice_rats.xlsx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repeated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antagonist_pk.dose_mg_per_kg</w:t>
            </w:r>
          </w:p>
        </w:tc>
        <w:tc>
          <w:tcPr>
            <w:tcW w:w="9600" w:type="dxa"/>
          </w:tcPr>
          <w:p>
            <w:r>
              <w:rPr/>
              <w:t xml:space="preserve">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antagonist_pk.tissue_map.peritoneum</w:t>
            </w:r>
          </w:p>
        </w:tc>
        <w:tc>
          <w:tcPr>
            <w:tcW w:w="9600" w:type="dxa"/>
          </w:tcPr>
          <w:p>
            <w:r>
              <w:rPr/>
              <w:t xml:space="preserve">bladder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1500.0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tissue_overrides.peritoneum.trafficking.h_base_nm</w:t>
            </w:r>
          </w:p>
        </w:tc>
        <w:tc>
          <w:tcPr>
            <w:tcW w:w="9600" w:type="dxa"/>
          </w:tcPr>
          <w:p>
            <w:r>
              <w:rPr/>
              <w:t xml:space="preserve">50.0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acetic_writhing_pkpd_v1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mouse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acetic writhing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acetic_writhing is used directly", "runtime tissue peritoneum is used as a proxy for peritoneal wall/lavage marker measurements", "XC7 antagonist PK for peritoneum is proxied by bladder using the repeated-regimen rows because the single-regimen source omits bladder", "peritoneum, spinal_coord, and ganglia H(t) profiles are taken from scenario_registry as the source of truth", "brain is included as a mandatory CNS tissue and currently uses a spinal_coord proxy profile until a source-backed brain profile is introduced", "peritoneum h_base_nm is overridden to 50 nM so the marker-tissue H(t) peak matches the tabulated 550 nM range at 5-10 min", "top-level trafficking acts as deterministic defaults before tissue_overrides are applied"]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acetic_writhing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["peritoneum",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Figures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118"/>
            <wp:docPr id="24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6.4 Figures. Fig6 4 Acetic Writhing Xc7 Concentration.</w:t>
      </w:r>
    </w:p>
    <w:p>
      <w:r>
        <w:br w:type="page"/>
      </w:r>
    </w:p>
    <w:p>
      <w:pPr>
        <w:pStyle w:val="Heading1"/>
      </w:pPr>
      <w:r>
        <w:t xml:space="preserve">Модель болевого синдрома, индуцированная введением зимозана.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626"/>
            <wp:docPr id="2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image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7.1 Модель болевого синдрома, индуцированная введением зимозана. Изменение концентрации гистамина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19610"/>
            <wp:docPr id="26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7.2 Модель болевого синдрома, индуцированная введением зимозана. Интернализация H3 рецепторов после индукции паталогии.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118"/>
            <wp:docPr id="2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2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7.3 Модель болевого синдрома, индуцированная введением зимозана. Уровень функциональной активности H3 рецепторов после индукции паталогии.</w:t>
      </w:r>
    </w:p>
    <w:p>
      <w:pPr>
        <w:pStyle w:val="Heading2"/>
      </w:pPr>
      <w:r>
        <w:t xml:space="preserve">Параметры конфигурации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9600"/>
      </w:tblGrid>
      <w:tr>
        <w:tc>
          <w:tcPr>
            <w:tcW w:w="42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96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0.28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0.12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antagonist_pk.enabled</w:t>
            </w:r>
          </w:p>
        </w:tc>
        <w:tc>
          <w:tcPr>
            <w:tcW w:w="96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antagonist_pk.source_xlsx</w:t>
            </w:r>
          </w:p>
        </w:tc>
        <w:tc>
          <w:tcPr>
            <w:tcW w:w="9600" w:type="dxa"/>
          </w:tcPr>
          <w:p>
            <w:r>
              <w:rPr/>
              <w:t xml:space="preserve">E:/Users/Fedor/Downloads/Telegram Desktop/SINGLE_REP_pred_mice_rats.xlsx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antagonist_pk.regimen</w:t>
            </w:r>
          </w:p>
        </w:tc>
        <w:tc>
          <w:tcPr>
            <w:tcW w:w="9600" w:type="dxa"/>
          </w:tcPr>
          <w:p>
            <w:r>
              <w:rPr/>
              <w:t xml:space="preserve">repeated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antagonist_pk.dose_mg_per_kg</w:t>
            </w:r>
          </w:p>
        </w:tc>
        <w:tc>
          <w:tcPr>
            <w:tcW w:w="9600" w:type="dxa"/>
          </w:tcPr>
          <w:p>
            <w:r>
              <w:rPr/>
              <w:t xml:space="preserve">90.0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antagonist_pk.concentration_column</w:t>
            </w:r>
          </w:p>
        </w:tc>
        <w:tc>
          <w:tcPr>
            <w:tcW w:w="9600" w:type="dxa"/>
          </w:tcPr>
          <w:p>
            <w:r>
              <w:rPr/>
              <w:t xml:space="preserve">C_nM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antagonist_pk.method_time</w:t>
            </w:r>
          </w:p>
        </w:tc>
        <w:tc>
          <w:tcPr>
            <w:tcW w:w="9600" w:type="dxa"/>
          </w:tcPr>
          <w:p>
            <w:r>
              <w:rPr/>
              <w:t xml:space="preserve">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antagonist_pk.method_dose</w:t>
            </w:r>
          </w:p>
        </w:tc>
        <w:tc>
          <w:tcPr>
            <w:tcW w:w="9600" w:type="dxa"/>
          </w:tcPr>
          <w:p>
            <w:r>
              <w:rPr/>
              <w:t xml:space="preserve">log-linear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antagonist_pk.extrapolation</w:t>
            </w:r>
          </w:p>
        </w:tc>
        <w:tc>
          <w:tcPr>
            <w:tcW w:w="9600" w:type="dxa"/>
          </w:tcPr>
          <w:p>
            <w:r>
              <w:rPr/>
              <w:t xml:space="preserve">clip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antagonist_pk.tissue_map.skin</w:t>
            </w:r>
          </w:p>
        </w:tc>
        <w:tc>
          <w:tcPr>
            <w:tcW w:w="9600" w:type="dxa"/>
          </w:tcPr>
          <w:p>
            <w:r>
              <w:rPr/>
              <w:t xml:space="preserve">skin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antagonist_pk.tissue_map.muscle</w:t>
            </w:r>
          </w:p>
        </w:tc>
        <w:tc>
          <w:tcPr>
            <w:tcW w:w="9600" w:type="dxa"/>
          </w:tcPr>
          <w:p>
            <w:r>
              <w:rPr/>
              <w:t xml:space="preserve">muscles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antagonist_pk.tissue_map.spinal_coord</w:t>
            </w:r>
          </w:p>
        </w:tc>
        <w:tc>
          <w:tcPr>
            <w:tcW w:w="9600" w:type="dxa"/>
          </w:tcPr>
          <w:p>
            <w:r>
              <w:rPr/>
              <w:t xml:space="preserve">spinal cord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antagonist_pk.tissue_map.brain</w:t>
            </w:r>
          </w:p>
        </w:tc>
        <w:tc>
          <w:tcPr>
            <w:tcW w:w="9600" w:type="dxa"/>
          </w:tcPr>
          <w:p>
            <w:r>
              <w:rPr/>
              <w:t xml:space="preserve">brain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antagonist_pk.tissue_map.ganglia</w:t>
            </w:r>
          </w:p>
        </w:tc>
        <w:tc>
          <w:tcPr>
            <w:tcW w:w="9600" w:type="dxa"/>
          </w:tcPr>
          <w:p>
            <w:r>
              <w:rPr/>
              <w:t xml:space="preserve">sympathetic ganglia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antagonist_pk.tissue_map.peritoneum</w:t>
            </w:r>
          </w:p>
        </w:tc>
        <w:tc>
          <w:tcPr>
            <w:tcW w:w="9600" w:type="dxa"/>
          </w:tcPr>
          <w:p>
            <w:r>
              <w:rPr/>
              <w:t xml:space="preserve">bladder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tissue_overrides.skin.trafficking.h_base_nm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tissue_overrides.muscle.trafficking.h_base_nm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tissue_overrides.spinal_coord.trafficking.h_base_nm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1.4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0.25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tissue_overrides.brain.trafficking.h_base_nm</w:t>
            </w:r>
          </w:p>
        </w:tc>
        <w:tc>
          <w:tcPr>
            <w:tcW w:w="9600" w:type="dxa"/>
          </w:tcPr>
          <w:p>
            <w:r>
              <w:rPr/>
              <w:t xml:space="preserve">2.0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tissue_overrides.ganglia.trafficking.k_int_max_per_h</w:t>
            </w:r>
          </w:p>
        </w:tc>
        <w:tc>
          <w:tcPr>
            <w:tcW w:w="9600" w:type="dxa"/>
          </w:tcPr>
          <w:p>
            <w:r>
              <w:rPr/>
              <w:t xml:space="preserve">1.8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tissue_overrides.ganglia.trafficking.k_rec_per_h</w:t>
            </w:r>
          </w:p>
        </w:tc>
        <w:tc>
          <w:tcPr>
            <w:tcW w:w="9600" w:type="dxa"/>
          </w:tcPr>
          <w:p>
            <w:r>
              <w:rPr/>
              <w:t xml:space="preserve">0.7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tissue_overrides.ganglia.trafficking.k_synth_per_h</w:t>
            </w:r>
          </w:p>
        </w:tc>
        <w:tc>
          <w:tcPr>
            <w:tcW w:w="9600" w:type="dxa"/>
          </w:tcPr>
          <w:p>
            <w:r>
              <w:rPr/>
              <w:t xml:space="preserve">0.05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tissue_overrides.ganglia.trafficking.ec50_barr_nm</w:t>
            </w:r>
          </w:p>
        </w:tc>
        <w:tc>
          <w:tcPr>
            <w:tcW w:w="9600" w:type="dxa"/>
          </w:tcPr>
          <w:p>
            <w:r>
              <w:rPr/>
              <w:t xml:space="preserve">1500.0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tissue_overrides.ganglia.trafficking.hill_n</w:t>
            </w:r>
          </w:p>
        </w:tc>
        <w:tc>
          <w:tcPr>
            <w:tcW w:w="96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tissue_overrides.ganglia.trafficking.ec50_g_nm</w:t>
            </w:r>
          </w:p>
        </w:tc>
        <w:tc>
          <w:tcPr>
            <w:tcW w:w="9600" w:type="dxa"/>
          </w:tcPr>
          <w:p>
            <w:r>
              <w:rPr/>
              <w:t xml:space="preserve">20.0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tissue_overrides.ganglia.trafficking.constitutive_activity</w:t>
            </w:r>
          </w:p>
        </w:tc>
        <w:tc>
          <w:tcPr>
            <w:tcW w:w="96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tissue_overrides.ganglia.trafficking.h_base_nm</w:t>
            </w:r>
          </w:p>
        </w:tc>
        <w:tc>
          <w:tcPr>
            <w:tcW w:w="9600" w:type="dxa"/>
          </w:tcPr>
          <w:p>
            <w:r>
              <w:rPr/>
              <w:t xml:space="preserve">10.0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tissue_overrides.peritoneum.trafficking.h_base_nm</w:t>
            </w:r>
          </w:p>
        </w:tc>
        <w:tc>
          <w:tcPr>
            <w:tcW w:w="9600" w:type="dxa"/>
          </w:tcPr>
          <w:p>
            <w:r>
              <w:rPr/>
              <w:t xml:space="preserve">50.0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model_id</w:t>
            </w:r>
          </w:p>
        </w:tc>
        <w:tc>
          <w:tcPr>
            <w:tcW w:w="9600" w:type="dxa"/>
          </w:tcPr>
          <w:p>
            <w:r>
              <w:rPr/>
              <w:t xml:space="preserve">zymosan_pkpd_v1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compound</w:t>
            </w:r>
          </w:p>
        </w:tc>
        <w:tc>
          <w:tcPr>
            <w:tcW w:w="9600" w:type="dxa"/>
          </w:tcPr>
          <w:p>
            <w:r>
              <w:rPr/>
              <w:t xml:space="preserve">xc7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species</w:t>
            </w:r>
          </w:p>
        </w:tc>
        <w:tc>
          <w:tcPr>
            <w:tcW w:w="9600" w:type="dxa"/>
          </w:tcPr>
          <w:p>
            <w:r>
              <w:rPr/>
              <w:t xml:space="preserve">mouse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loss_mode</w:t>
            </w:r>
          </w:p>
        </w:tc>
        <w:tc>
          <w:tcPr>
            <w:tcW w:w="9600" w:type="dxa"/>
          </w:tcPr>
          <w:p>
            <w:r>
              <w:rPr/>
              <w:t xml:space="preserve">mse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traceability.source_in_report</w:t>
            </w:r>
          </w:p>
        </w:tc>
        <w:tc>
          <w:tcPr>
            <w:tcW w:w="9600" w:type="dxa"/>
          </w:tcPr>
          <w:p>
            <w:r>
              <w:rPr/>
              <w:t xml:space="preserve">Scenario matrix row: zymosan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traceability.source_reference</w:t>
            </w:r>
          </w:p>
        </w:tc>
        <w:tc>
          <w:tcPr>
            <w:tcW w:w="9600" w:type="dxa"/>
          </w:tcPr>
          <w:p>
            <w:r>
              <w:rPr/>
              <w:t xml:space="preserve"/>
            </w:r>
          </w:p>
        </w:tc>
      </w:tr>
      <w:tr>
        <w:tc>
          <w:tcPr>
            <w:tcW w:w="4200" w:type="dxa"/>
          </w:tcPr>
          <w:p>
            <w:r>
              <w:rPr/>
              <w:t xml:space="preserve">traceability.source_version</w:t>
            </w:r>
          </w:p>
        </w:tc>
        <w:tc>
          <w:tcPr>
            <w:tcW w:w="9600" w:type="dxa"/>
          </w:tcPr>
          <w:p>
            <w:r>
              <w:rPr/>
              <w:t xml:space="preserve">2026-04-06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assumptions</w:t>
            </w:r>
          </w:p>
        </w:tc>
        <w:tc>
          <w:tcPr>
            <w:tcW w:w="9600" w:type="dxa"/>
          </w:tcPr>
          <w:p>
            <w:r>
              <w:rPr/>
              <w:t xml:space="preserve">["canonical scenario_id zymosan is used directly", "runtime tissue peritoneum is used as a proxy for peritoneal exudate marker measurements", "XC7 antagonist PK for peritoneum is proxied by bladder using the repeated-regimen rows because the single-regimen source omits bladder", "zymosan uses the current gaussian_sum MVP approximation from scenario_registry until a dedicated delayed profile is implemented", "brain is included as a mandatory CNS tissue and currently uses a spinal_coord proxy profile until a source-backed brain profile is introduced", "peritoneum h_base_nm is overridden to 50 nM so the marker-tissue H(t) peak matches the primary tabulated 350 nM value", "marker-oriented trafficking values k_int_max=0.28 and k_rec=0.12 act as deterministic defaults before tissue_overrides are applied"]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driver.driver_type</w:t>
            </w:r>
          </w:p>
        </w:tc>
        <w:tc>
          <w:tcPr>
            <w:tcW w:w="9600" w:type="dxa"/>
          </w:tcPr>
          <w:p>
            <w:r>
              <w:rPr/>
              <w:t xml:space="preserve">scenario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driver.scenario_id</w:t>
            </w:r>
          </w:p>
        </w:tc>
        <w:tc>
          <w:tcPr>
            <w:tcW w:w="9600" w:type="dxa"/>
          </w:tcPr>
          <w:p>
            <w:r>
              <w:rPr/>
              <w:t xml:space="preserve">zymosan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tissues</w:t>
            </w:r>
          </w:p>
        </w:tc>
        <w:tc>
          <w:tcPr>
            <w:tcW w:w="9600" w:type="dxa"/>
          </w:tcPr>
          <w:p>
            <w:r>
              <w:rPr/>
              <w:t xml:space="preserve">["peritoneum", "spinal_coord", "ganglia", "brain"]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time_grid</w:t>
            </w:r>
          </w:p>
        </w:tc>
        <w:tc>
          <w:tcPr>
            <w:tcW w:w="9600" w:type="dxa"/>
          </w:tcPr>
          <w:p>
            <w:r>
              <w:rPr/>
              <w:t xml:space="preserve">[0, 5, 10, 15, 20, 25, ..., 710, 715, 720] (len=145)</w:t>
            </w:r>
          </w:p>
        </w:tc>
      </w:tr>
      <w:tr>
        <w:tc>
          <w:tcPr>
            <w:tcW w:w="4200" w:type="dxa"/>
          </w:tcPr>
          <w:p>
            <w:r>
              <w:rPr/>
              <w:t xml:space="preserve">time_unit</w:t>
            </w:r>
          </w:p>
        </w:tc>
        <w:tc>
          <w:tcPr>
            <w:tcW w:w="9600" w:type="dxa"/>
          </w:tcPr>
          <w:p>
            <w:r>
              <w:rPr/>
              <w:t xml:space="preserve">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Figures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8229600" cy="1820118"/>
            <wp:docPr id="28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Рисунок 7.4 Figures. Fig7 4 Zymosan Xc7 Concentration.</w:t>
      </w:r>
    </w:p>
    <w:sectPr>
      <w:pgSz w:w="15840" w:h="12240" w:orient="landscape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pkpd-model-xc7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PKPD Figures</dc:title>
  <dc:creator>pkpd-model-xc7</dc:creator>
  <cp:lastModifiedBy>pkpd-model-xc7</cp:lastModifiedBy>
</cp:coreProperties>
</file>