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ructuralHeading"/>
      </w:pPr>
      <w:r>
        <w:t>ИННОВАЦИОННАЯ ТЕРАПИЯ нейропатической боли и Хронического болевого синдрома смешанной этиологии</w:t>
      </w:r>
    </w:p>
    <w:p>
      <w:pPr>
        <w:pStyle w:val="Heading1"/>
      </w:pPr>
      <w:r>
        <w:t>1 социально-экономическое бремя Хронического болевого синдрома</w:t>
      </w:r>
    </w:p>
    <w:p>
      <w:pPr>
        <w:pStyle w:val="Heading2"/>
      </w:pPr>
      <w:r>
        <w:t>1.1 Эпидемиология хронического болевого синдрома</w:t>
      </w:r>
    </w:p>
    <w:p>
      <w:pPr>
        <w:pStyle w:val="Heading2"/>
      </w:pPr>
      <w:r>
        <w:t>1.2 Хронизация боли: роль периферической и центральной сенситизации</w:t>
      </w:r>
    </w:p>
    <w:p>
      <w:pPr>
        <w:pStyle w:val="Heading2"/>
      </w:pPr>
      <w:r>
        <w:t>1.3 Ограничения существующей терапии (standard of care)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pStyle w:val="TableHeader"/>
              <w:spacing w:before="60" w:after="60"/>
            </w:pPr>
            <w:r/>
            <w:r>
              <w:t>Класс препаратов</w:t>
            </w:r>
          </w:p>
        </w:tc>
        <w:tc>
          <w:tcPr>
            <w:tcW w:type="dxa" w:w="3118"/>
          </w:tcPr>
          <w:p>
            <w:pPr>
              <w:pStyle w:val="TableHeader"/>
              <w:spacing w:before="60" w:after="60"/>
            </w:pPr>
            <w:r/>
            <w:r>
              <w:t>Механизм действия</w:t>
            </w:r>
          </w:p>
        </w:tc>
        <w:tc>
          <w:tcPr>
            <w:tcW w:type="dxa" w:w="3118"/>
          </w:tcPr>
          <w:p>
            <w:pPr>
              <w:pStyle w:val="TableHeader"/>
              <w:spacing w:before="60" w:after="60"/>
            </w:pPr>
            <w:r/>
            <w:r>
              <w:t>Ключевые ограничения</w:t>
            </w:r>
          </w:p>
        </w:tc>
      </w:tr>
      <w:tr>
        <w:tc>
          <w:tcPr>
            <w:tcW w:type="dxa" w:w="3118"/>
          </w:tcPr>
          <w:p>
            <w:pPr>
              <w:pStyle w:val="TableCell"/>
              <w:spacing w:before="60" w:after="60"/>
            </w:pPr>
            <w:r/>
            <w:r>
              <w:t>НПВС</w:t>
            </w:r>
          </w:p>
        </w:tc>
        <w:tc>
          <w:tcPr>
            <w:tcW w:type="dxa" w:w="3118"/>
          </w:tcPr>
          <w:p>
            <w:pPr>
              <w:pStyle w:val="TableCell"/>
              <w:spacing w:before="60" w:after="60"/>
            </w:pPr>
            <w:r/>
            <w:r>
              <w:t>Ингибирование ЦОГ-1/ЦОГ-2, снижение синтеза простагландинов</w:t>
            </w:r>
          </w:p>
        </w:tc>
        <w:tc>
          <w:tcPr>
            <w:tcW w:type="dxa" w:w="3118"/>
          </w:tcPr>
          <w:p>
            <w:pPr>
              <w:pStyle w:val="TableCell"/>
              <w:spacing w:before="60" w:after="60"/>
            </w:pPr>
            <w:r/>
            <w:r>
              <w:t>Потолочный эффект; ЖКТ- и кардиотоксичность; НПВС преимущественно эффективны при воспалительном и ноцицептивном компоненте боли; при изолированной нейропатической боли их эффективность ограничена и обычно недостаточна для монотерапии.</w:t>
            </w:r>
          </w:p>
        </w:tc>
      </w:tr>
      <w:tr>
        <w:tc>
          <w:tcPr>
            <w:tcW w:type="dxa" w:w="3118"/>
          </w:tcPr>
          <w:p>
            <w:pPr>
              <w:pStyle w:val="TableCell"/>
              <w:spacing w:before="60" w:after="60"/>
            </w:pPr>
            <w:r/>
            <w:r>
              <w:t>Опиоиды</w:t>
            </w:r>
          </w:p>
        </w:tc>
        <w:tc>
          <w:tcPr>
            <w:tcW w:type="dxa" w:w="3118"/>
          </w:tcPr>
          <w:p>
            <w:pPr>
              <w:pStyle w:val="TableCell"/>
              <w:spacing w:before="60" w:after="60"/>
            </w:pPr>
            <w:r/>
            <w:r>
              <w:t>Агонизм μ-опиоидных рецепторов</w:t>
            </w:r>
          </w:p>
        </w:tc>
        <w:tc>
          <w:tcPr>
            <w:tcW w:type="dxa" w:w="3118"/>
          </w:tcPr>
          <w:p>
            <w:pPr>
              <w:pStyle w:val="TableCell"/>
              <w:spacing w:before="60" w:after="60"/>
            </w:pPr>
            <w:r/>
            <w:r>
              <w:t>Толерантность, зависимость, OIH, угнетение дыхания</w:t>
            </w:r>
          </w:p>
        </w:tc>
      </w:tr>
      <w:tr>
        <w:tc>
          <w:tcPr>
            <w:tcW w:type="dxa" w:w="3118"/>
          </w:tcPr>
          <w:p>
            <w:pPr>
              <w:pStyle w:val="TableCell"/>
              <w:spacing w:before="60" w:after="60"/>
            </w:pPr>
            <w:r/>
            <w:r>
              <w:t>Габапентиноиды</w:t>
            </w:r>
          </w:p>
        </w:tc>
        <w:tc>
          <w:tcPr>
            <w:tcW w:type="dxa" w:w="3118"/>
          </w:tcPr>
          <w:p>
            <w:pPr>
              <w:pStyle w:val="TableCell"/>
              <w:spacing w:before="60" w:after="60"/>
            </w:pPr>
            <w:r/>
            <w:r>
              <w:t>Блокада α2δ-субъединицы VGCC</w:t>
            </w:r>
          </w:p>
        </w:tc>
        <w:tc>
          <w:tcPr>
            <w:tcW w:type="dxa" w:w="3118"/>
          </w:tcPr>
          <w:p>
            <w:pPr>
              <w:pStyle w:val="TableCell"/>
              <w:spacing w:before="60" w:after="60"/>
            </w:pPr>
            <w:r/>
            <w:r>
              <w:t>Сонливость, головокружение, когнитивные нарушения</w:t>
            </w:r>
          </w:p>
        </w:tc>
      </w:tr>
      <w:tr>
        <w:tc>
          <w:tcPr>
            <w:tcW w:type="dxa" w:w="3118"/>
          </w:tcPr>
          <w:p>
            <w:pPr>
              <w:pStyle w:val="TableCell"/>
              <w:spacing w:before="60" w:after="60"/>
            </w:pPr>
            <w:r/>
            <w:r>
              <w:t>СИОЗСН</w:t>
            </w:r>
          </w:p>
        </w:tc>
        <w:tc>
          <w:tcPr>
            <w:tcW w:type="dxa" w:w="3118"/>
          </w:tcPr>
          <w:p>
            <w:pPr>
              <w:pStyle w:val="TableCell"/>
              <w:spacing w:before="60" w:after="60"/>
            </w:pPr>
            <w:r/>
            <w:r>
              <w:t>Ингибирование обратного захвата серотонина и норадреналина</w:t>
            </w:r>
          </w:p>
        </w:tc>
        <w:tc>
          <w:tcPr>
            <w:tcW w:type="dxa" w:w="3118"/>
          </w:tcPr>
          <w:p>
            <w:pPr>
              <w:pStyle w:val="TableCell"/>
              <w:spacing w:before="60" w:after="60"/>
            </w:pPr>
            <w:r/>
            <w:r>
              <w:t>Тошнота, кардиотоксичность, синдром отмены</w:t>
            </w:r>
          </w:p>
        </w:tc>
      </w:tr>
    </w:tbl>
    <w:p>
      <w:pPr>
        <w:spacing w:before="0" w:after="0" w:line="240" w:lineRule="auto"/>
        <w:ind w:firstLine="0" w:left="0"/>
      </w:pPr>
    </w:p>
    <w:p>
      <w:pPr>
        <w:pStyle w:val="Heading2"/>
      </w:pPr>
      <w:r>
        <w:t>1.4 Перспективы комбинированной терапии</w:t>
      </w:r>
    </w:p>
    <w:p>
      <w:pPr/>
      <w:r>
        <w:t>Ингибиторы QPCT могут выступать в роли disease-modifying адъюванта, устраняющего ключевое ограничение существующих анальгетиков — неспособность воздействовать на механизмы хронизации боли — и позволяющего снизить дозы сопутствующих препаратов, тем самым уменьшая их токсичность при сохранении или усилении анальгетического эффекта.</w:t>
      </w:r>
    </w:p>
    <w:p>
      <w:pPr>
        <w:pStyle w:val="Heading2"/>
      </w:pPr>
      <w:r>
        <w:t>1.5 Неудовлетворенная медицинская потребность в терапии хронического болевого синдрома</w:t>
      </w:r>
    </w:p>
    <w:p>
      <w:pPr/>
      <w:r>
        <w:t>На основе анализа эпидемиологии, патофизиологии и ограничений терапии сформулированы ключевые аспекты неудовлетворенной медицинской потребности. Во-первых, это потребность в препаратах с новым механизмом действия для преодоления рефрактерности. Во-вторых, необходимы модифицирующие течение заболевания (disease-modifying) анальгетики, способные предотвращать или обращать вспять сенситизацию и нейровоспаление. В-третьих, требуются безопасные средства для длительного применения без системной органотоксичности (НПВС), риска зависимости (опиоиды) или когнитивных нарушений (габапентиноиды). Наконец, критически важно создание превентивных стратегий, способных блокировать механизмы центральной сенситизации в ранний постповреждающий период; длительность потенциального терапевтического окна зависит от типа повреждения, ткани, интенсивности воспаления и исходной уязвимости пациента [7].</w:t>
      </w:r>
    </w:p>
    <w:sectPr w:rsidR="00FC693F" w:rsidRPr="0006063C" w:rsidSect="00034616"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pageBreakBefore w:val="0"/>
      <w:spacing w:before="0" w:after="0" w:line="360" w:lineRule="auto"/>
      <w:ind w:left="0" w:firstLine="851" w:right="0"/>
      <w:jc w:val="both"/>
    </w:pPr>
    <w:rPr>
      <w:rFonts w:ascii="Times New Roman" w:hAnsi="Times New Roman" w:cs="Times New Roman" w:eastAsia="Times New Roman"/>
      <w:b w:val="0"/>
      <w:i w:val="0"/>
      <w:caps w:val="0"/>
      <w:sz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pageBreakBefore w:val="0"/>
      <w:tabs>
        <w:tab w:val="center" w:pos="4680"/>
        <w:tab w:val="right" w:pos="9360"/>
      </w:tabs>
      <w:spacing w:after="0" w:line="240" w:lineRule="auto" w:before="0"/>
      <w:ind w:firstLine="0" w:left="0" w:right="0"/>
      <w:jc w:val="center"/>
    </w:pPr>
    <w:rPr>
      <w:rFonts w:ascii="Times New Roman" w:hAnsi="Times New Roman" w:cs="Times New Roman" w:eastAsia="Times New Roman"/>
      <w:b w:val="0"/>
      <w:i w:val="0"/>
      <w:caps w:val="0"/>
      <w:sz w:val="24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0" w:line="360" w:lineRule="auto"/>
      <w:ind w:left="0" w:firstLine="720" w:right="0"/>
      <w:jc w:val="left"/>
      <w:outlineLvl w:val="0"/>
    </w:pPr>
    <w:rPr>
      <w:rFonts w:ascii="Times New Roman" w:hAnsi="Times New Roman" w:cs="Times New Roman" w:eastAsia="Times New Roman"/>
      <w:b w:val="0"/>
      <w:bCs/>
      <w:i w:val="0"/>
      <w:caps/>
      <w:sz w:val="28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360" w:after="0" w:line="300" w:lineRule="auto"/>
      <w:ind w:left="1560" w:hanging="709" w:right="0"/>
      <w:jc w:val="left"/>
      <w:outlineLvl w:val="1"/>
    </w:pPr>
    <w:rPr>
      <w:rFonts w:ascii="Times New Roman" w:hAnsi="Times New Roman" w:cs="Times New Roman" w:eastAsia="Times New Roman"/>
      <w:b w:val="0"/>
      <w:bCs/>
      <w:i w:val="0"/>
      <w:caps w:val="0"/>
      <w:sz w:val="28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360" w:after="0" w:line="300" w:lineRule="auto"/>
      <w:ind w:left="1560" w:hanging="709" w:right="0"/>
      <w:jc w:val="left"/>
      <w:outlineLvl w:val="2"/>
    </w:pPr>
    <w:rPr>
      <w:rFonts w:ascii="Times New Roman" w:hAnsi="Times New Roman" w:cs="Times New Roman" w:eastAsia="Times New Roman"/>
      <w:b/>
      <w:bCs/>
      <w:i/>
      <w:caps w:val="0"/>
      <w:sz w:val="24"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keepNext w:val="0"/>
      <w:pageBreakBefore w:val="0"/>
      <w:spacing w:before="0" w:after="0" w:line="360" w:lineRule="auto"/>
      <w:ind w:left="0" w:firstLine="851" w:right="0"/>
      <w:jc w:val="both"/>
    </w:pPr>
    <w:rPr>
      <w:rFonts w:ascii="Times New Roman" w:hAnsi="Times New Roman" w:cs="Times New Roman" w:eastAsia="Times New Roman"/>
      <w:b w:val="0"/>
      <w:i/>
      <w:iCs/>
      <w:caps w:val="0"/>
      <w:sz w:val="24"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ructuralHeading">
    <w:name w:val="StructuralHeading"/>
    <w:basedOn w:val="Normal"/>
    <w:qFormat/>
    <w:pPr>
      <w:keepNext/>
      <w:pageBreakBefore/>
      <w:spacing w:before="0" w:after="0" w:line="300" w:lineRule="auto"/>
      <w:ind w:firstLine="0" w:left="0" w:right="0"/>
      <w:jc w:val="center"/>
      <w:outlineLvl w:val="0"/>
    </w:pPr>
    <w:rPr>
      <w:rFonts w:ascii="Times New Roman" w:hAnsi="Times New Roman" w:cs="Times New Roman" w:eastAsia="Times New Roman"/>
      <w:b w:val="0"/>
      <w:i w:val="0"/>
      <w:caps/>
      <w:sz w:val="32"/>
      <w:color w:val="000000"/>
    </w:rPr>
  </w:style>
  <w:style w:type="paragraph" w:customStyle="1" w:styleId="CaptionTable">
    <w:name w:val="CaptionTable"/>
    <w:basedOn w:val="Normal"/>
    <w:pPr>
      <w:keepNext/>
      <w:pageBreakBefore w:val="0"/>
      <w:spacing w:before="360" w:after="0" w:line="30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aps w:val="0"/>
      <w:sz w:val="24"/>
      <w:color w:val="000000"/>
    </w:rPr>
  </w:style>
  <w:style w:type="paragraph" w:customStyle="1" w:styleId="CaptionFigure">
    <w:name w:val="CaptionFigure"/>
    <w:basedOn w:val="Normal"/>
    <w:pPr>
      <w:keepNext w:val="0"/>
      <w:pageBreakBefore w:val="0"/>
      <w:spacing w:before="360" w:after="360" w:line="30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 w:val="0"/>
      <w:caps w:val="0"/>
      <w:sz w:val="24"/>
      <w:color w:val="000000"/>
    </w:rPr>
  </w:style>
  <w:style w:type="paragraph" w:customStyle="1" w:styleId="TableCell">
    <w:name w:val="TableCell"/>
    <w:basedOn w:val="Normal"/>
    <w:pPr>
      <w:keepNext w:val="0"/>
      <w:pageBreakBefore w:val="0"/>
      <w:spacing w:before="60" w:after="60" w:line="24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 w:val="0"/>
      <w:caps w:val="0"/>
      <w:sz w:val="20"/>
      <w:color w:val="000000"/>
    </w:rPr>
  </w:style>
  <w:style w:type="paragraph" w:customStyle="1" w:styleId="TableHeader">
    <w:name w:val="TableHeader"/>
    <w:basedOn w:val="Normal"/>
    <w:pPr>
      <w:keepNext/>
      <w:pageBreakBefore w:val="0"/>
      <w:spacing w:before="60" w:after="60" w:line="24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 w:val="0"/>
      <w:caps w:val="0"/>
      <w:sz w:val="20"/>
      <w:color w:val="000000"/>
    </w:rPr>
  </w:style>
  <w:style w:type="paragraph" w:customStyle="1" w:styleId="TableHeaderLeft">
    <w:name w:val="TableHeaderLeft"/>
    <w:basedOn w:val="Normal"/>
    <w:pPr>
      <w:keepNext/>
      <w:pageBreakBefore w:val="0"/>
      <w:spacing w:before="60" w:after="60" w:line="240" w:lineRule="auto"/>
      <w:ind w:left="113" w:firstLine="0" w:right="0"/>
      <w:jc w:val="left"/>
    </w:pPr>
    <w:rPr>
      <w:rFonts w:ascii="Times New Roman" w:hAnsi="Times New Roman" w:cs="Times New Roman" w:eastAsia="Times New Roman"/>
      <w:b w:val="0"/>
      <w:i w:val="0"/>
      <w:caps w:val="0"/>
      <w:sz w:val="20"/>
      <w:color w:val="000000"/>
    </w:rPr>
  </w:style>
  <w:style w:type="paragraph" w:customStyle="1" w:styleId="Formula">
    <w:name w:val="Formula"/>
    <w:basedOn w:val="Normal"/>
    <w:pPr>
      <w:keepNext w:val="0"/>
      <w:pageBreakBefore w:val="0"/>
      <w:tabs>
        <w:tab w:pos="9354" w:val="right"/>
      </w:tabs>
      <w:spacing w:before="120" w:after="120" w:line="36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 w:val="0"/>
      <w:caps w:val="0"/>
      <w:sz w:val="24"/>
      <w:color w:val="000000"/>
    </w:rPr>
  </w:style>
  <w:style w:type="paragraph" w:customStyle="1" w:styleId="GostListDash">
    <w:name w:val="ГОСТ список (тире)"/>
    <w:basedOn w:val="Normal"/>
    <w:pPr>
      <w:keepNext w:val="0"/>
      <w:pageBreakBefore w:val="0"/>
      <w:tabs>
        <w:tab w:pos="720" w:val="left"/>
      </w:tabs>
      <w:spacing w:before="0" w:after="0" w:line="360" w:lineRule="auto"/>
      <w:ind w:left="720" w:hanging="360" w:right="0"/>
      <w:jc w:val="both"/>
    </w:pPr>
    <w:rPr>
      <w:rFonts w:ascii="Times New Roman" w:hAnsi="Times New Roman" w:cs="Times New Roman" w:eastAsia="Times New Roman"/>
      <w:b w:val="0"/>
      <w:i w:val="0"/>
      <w:caps w:val="0"/>
      <w:sz w:val="24"/>
      <w:color w:val="000000"/>
    </w:rPr>
  </w:style>
  <w:style w:type="paragraph" w:customStyle="1" w:styleId="GostListNumber">
    <w:name w:val="ГОСТ список (нумерация)"/>
    <w:basedOn w:val="Normal"/>
    <w:pPr>
      <w:keepNext w:val="0"/>
      <w:pageBreakBefore w:val="0"/>
      <w:spacing w:before="0" w:after="0" w:line="360" w:lineRule="auto"/>
      <w:ind w:left="720" w:hanging="360" w:right="0"/>
      <w:jc w:val="both"/>
    </w:pPr>
    <w:rPr>
      <w:rFonts w:ascii="Times New Roman" w:hAnsi="Times New Roman" w:cs="Times New Roman" w:eastAsia="Times New Roman"/>
      <w:b w:val="0"/>
      <w:i w:val="0"/>
      <w:caps w:val="0"/>
      <w:sz w:val="24"/>
      <w:color w:val="000000"/>
    </w:rPr>
  </w:style>
  <w:style w:type="paragraph" w:customStyle="1" w:styleId="Bibliography">
    <w:name w:val="Bibliography"/>
    <w:basedOn w:val="Normal"/>
    <w:pPr>
      <w:keepNext w:val="0"/>
      <w:pageBreakBefore w:val="0"/>
      <w:spacing w:before="40" w:after="40" w:line="240" w:lineRule="auto"/>
      <w:ind w:firstLine="0" w:left="0" w:right="0"/>
      <w:jc w:val="both"/>
    </w:pPr>
    <w:rPr>
      <w:rFonts w:ascii="Times New Roman" w:hAnsi="Times New Roman" w:cs="Times New Roman" w:eastAsia="Times New Roman"/>
      <w:b w:val="0"/>
      <w:i w:val="0"/>
      <w:caps w:val="0"/>
      <w:sz w:val="24"/>
      <w:color w:val="000000"/>
    </w:rPr>
  </w:style>
  <w:style w:type="paragraph" w:customStyle="1" w:styleId="FootnoteText">
    <w:name w:val="FootnoteText"/>
    <w:basedOn w:val="Normal"/>
    <w:pPr>
      <w:keepNext w:val="0"/>
      <w:pageBreakBefore w:val="0"/>
      <w:spacing w:before="0" w:after="0" w:line="24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aps w:val="0"/>
      <w:sz w:val="20"/>
      <w:color w:val="000000"/>
    </w:rPr>
  </w:style>
  <w:style w:type="paragraph" w:customStyle="1" w:styleId="toc1">
    <w:name w:val="toc 1"/>
    <w:basedOn w:val="Normal"/>
    <w:pPr>
      <w:keepNext w:val="0"/>
      <w:pageBreakBefore w:val="0"/>
      <w:spacing w:before="0" w:after="10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aps w:val="0"/>
      <w:sz w:val="24"/>
      <w:color w:val="000000"/>
    </w:rPr>
  </w:style>
  <w:style w:type="paragraph" w:customStyle="1" w:styleId="toc2">
    <w:name w:val="toc 2"/>
    <w:basedOn w:val="Normal"/>
    <w:pPr>
      <w:keepNext w:val="0"/>
      <w:pageBreakBefore w:val="0"/>
      <w:spacing w:before="200" w:after="80" w:line="360" w:lineRule="auto"/>
      <w:ind w:left="1418" w:hanging="851" w:right="0"/>
      <w:jc w:val="left"/>
    </w:pPr>
    <w:rPr>
      <w:rFonts w:ascii="Times New Roman" w:hAnsi="Times New Roman" w:cs="Times New Roman" w:eastAsia="Times New Roman"/>
      <w:b w:val="0"/>
      <w:i w:val="0"/>
      <w:caps/>
      <w:sz w:val="24"/>
      <w:color w:val="000000"/>
    </w:rPr>
  </w:style>
  <w:style w:type="paragraph" w:customStyle="1" w:styleId="toc3">
    <w:name w:val="toc 3"/>
    <w:basedOn w:val="Normal"/>
    <w:pPr>
      <w:keepNext w:val="0"/>
      <w:pageBreakBefore w:val="0"/>
      <w:spacing w:before="60" w:after="20" w:line="300" w:lineRule="auto"/>
      <w:ind w:left="2410" w:hanging="974" w:right="0"/>
      <w:jc w:val="left"/>
    </w:pPr>
    <w:rPr>
      <w:rFonts w:ascii="Times New Roman" w:hAnsi="Times New Roman" w:cs="Times New Roman" w:eastAsia="Times New Roman"/>
      <w:b w:val="0"/>
      <w:i w:val="0"/>
      <w:caps w:val="0"/>
      <w:sz w:val="24"/>
      <w:color w:val="000000"/>
    </w:rPr>
  </w:style>
  <w:style w:type="paragraph" w:customStyle="1" w:styleId="FooterPageNumber">
    <w:name w:val="FooterPageNumber"/>
    <w:basedOn w:val="Normal"/>
    <w:pPr>
      <w:keepNext w:val="0"/>
      <w:pageBreakBefore w:val="0"/>
      <w:spacing w:before="0" w:after="0" w:line="24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 w:val="0"/>
      <w:caps w:val="0"/>
      <w:sz w:val="24"/>
      <w:color w:val="000000"/>
    </w:rPr>
  </w:style>
  <w:style w:type="paragraph" w:customStyle="1" w:styleId="TitleOrg">
    <w:name w:val="TitleOrg"/>
    <w:basedOn w:val="Normal"/>
    <w:pPr>
      <w:keepNext w:val="0"/>
      <w:pageBreakBefore w:val="0"/>
      <w:spacing w:before="0" w:after="0" w:line="36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 w:val="0"/>
      <w:caps/>
      <w:sz w:val="24"/>
      <w:color w:val="000000"/>
    </w:rPr>
  </w:style>
  <w:style w:type="paragraph" w:customStyle="1" w:styleId="TitleDocType">
    <w:name w:val="TitleDocType"/>
    <w:basedOn w:val="Normal"/>
    <w:pPr>
      <w:keepNext w:val="0"/>
      <w:pageBreakBefore w:val="0"/>
      <w:spacing w:before="480" w:after="240" w:line="360" w:lineRule="auto"/>
      <w:ind w:firstLine="0" w:left="0" w:right="0"/>
      <w:jc w:val="center"/>
    </w:pPr>
    <w:rPr>
      <w:rFonts w:ascii="Times New Roman" w:hAnsi="Times New Roman" w:cs="Times New Roman" w:eastAsia="Times New Roman"/>
      <w:b/>
      <w:i w:val="0"/>
      <w:caps/>
      <w:sz w:val="24"/>
      <w:color w:val="000000"/>
    </w:rPr>
  </w:style>
  <w:style w:type="paragraph" w:customStyle="1" w:styleId="TitleTopic">
    <w:name w:val="TitleTopic"/>
    <w:basedOn w:val="Normal"/>
    <w:pPr>
      <w:keepNext w:val="0"/>
      <w:pageBreakBefore w:val="0"/>
      <w:spacing w:before="240" w:after="240" w:line="360" w:lineRule="auto"/>
      <w:ind w:firstLine="0" w:left="0" w:right="0"/>
      <w:jc w:val="center"/>
    </w:pPr>
    <w:rPr>
      <w:rFonts w:ascii="Times New Roman" w:hAnsi="Times New Roman" w:cs="Times New Roman" w:eastAsia="Times New Roman"/>
      <w:b/>
      <w:i w:val="0"/>
      <w:caps w:val="0"/>
      <w:sz w:val="24"/>
      <w:color w:val="000000"/>
    </w:rPr>
  </w:style>
  <w:style w:type="paragraph" w:customStyle="1" w:styleId="TitleMeta">
    <w:name w:val="TitleMeta"/>
    <w:basedOn w:val="Normal"/>
    <w:pPr>
      <w:keepNext w:val="0"/>
      <w:pageBreakBefore w:val="0"/>
      <w:spacing w:before="0" w:after="0" w:line="360" w:lineRule="auto"/>
      <w:ind w:firstLine="0" w:left="0" w:right="0"/>
      <w:jc w:val="left"/>
    </w:pPr>
    <w:rPr>
      <w:rFonts w:ascii="Times New Roman" w:hAnsi="Times New Roman" w:cs="Times New Roman" w:eastAsia="Times New Roman"/>
      <w:b w:val="0"/>
      <w:i w:val="0"/>
      <w:caps w:val="0"/>
      <w:sz w:val="24"/>
      <w:color w:val="000000"/>
    </w:rPr>
  </w:style>
  <w:style w:type="paragraph" w:customStyle="1" w:styleId="TitleCityYear">
    <w:name w:val="TitleCityYear"/>
    <w:basedOn w:val="Normal"/>
    <w:pPr>
      <w:keepNext w:val="0"/>
      <w:pageBreakBefore w:val="0"/>
      <w:spacing w:before="0" w:after="0" w:line="360" w:lineRule="auto"/>
      <w:ind w:firstLine="0" w:left="0" w:right="0"/>
      <w:jc w:val="center"/>
    </w:pPr>
    <w:rPr>
      <w:rFonts w:ascii="Times New Roman" w:hAnsi="Times New Roman" w:cs="Times New Roman" w:eastAsia="Times New Roman"/>
      <w:b w:val="0"/>
      <w:i w:val="0"/>
      <w:caps w:val="0"/>
      <w:sz w:val="24"/>
      <w:color w:val="000000"/>
    </w:rPr>
  </w:style>
  <w:style w:type="paragraph" w:customStyle="1" w:styleId="CodeBlock">
    <w:name w:val="CodeBlock"/>
    <w:basedOn w:val="Normal"/>
    <w:pPr>
      <w:keepNext w:val="0"/>
      <w:pageBreakBefore w:val="0"/>
      <w:spacing w:before="120" w:after="120" w:line="240" w:lineRule="auto"/>
      <w:ind w:firstLine="0" w:left="0" w:right="0"/>
      <w:jc w:val="left"/>
    </w:pPr>
    <w:rPr>
      <w:rFonts w:ascii="Courier New" w:hAnsi="Courier New" w:cs="Courier New" w:eastAsia="Courier New"/>
      <w:b w:val="0"/>
      <w:i w:val="0"/>
      <w:caps w:val="0"/>
      <w:sz w:val="24"/>
      <w:color w:val="0000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