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0" w:after="80"/>
        <w:jc w:val="center"/>
      </w:pPr>
      <w:r>
        <w:rPr>
          <w:rFonts w:ascii="Arial" w:cs="Arial" w:eastAsia="Arial" w:hAnsi="Arial"/>
          <w:b/>
          <w:bCs/>
          <w:color w:val="2E4057"/>
          <w:sz w:val="36"/>
          <w:szCs w:val="36"/>
        </w:rPr>
        <w:t xml:space="preserve">TEMPORAL PROJECTION &amp; THE MULTIVERSE</w:t>
      </w:r>
    </w:p>
    <w:p>
      <w:pPr>
        <w:spacing w:before="0" w:after="80"/>
        <w:jc w:val="center"/>
      </w:pPr>
      <w:r>
        <w:rPr>
          <w:rFonts w:ascii="Arial" w:cs="Arial" w:eastAsia="Arial" w:hAnsi="Arial"/>
          <w:b/>
          <w:bCs/>
          <w:color w:val="3D5A80"/>
          <w:sz w:val="28"/>
          <w:szCs w:val="28"/>
        </w:rPr>
        <w:t xml:space="preserve">Addendum A: The Continuous Sub-Phase Window</w:t>
      </w:r>
    </w:p>
    <w:p>
      <w:pPr>
        <w:spacing w:before="0" w:after="80"/>
        <w:jc w:val="center"/>
      </w:pPr>
      <w:r>
        <w:rPr>
          <w:rFonts w:ascii="Arial" w:cs="Arial" w:eastAsia="Arial" w:hAnsi="Arial"/>
          <w:i/>
          <w:iCs/>
          <w:color w:val="555555"/>
          <w:sz w:val="24"/>
          <w:szCs w:val="24"/>
        </w:rPr>
        <w:t xml:space="preserve">Reformulation of the Fork Mechanism</w:t>
      </w:r>
    </w:p>
    <w:p>
      <w:pPr>
        <w:spacing w:before="0" w:after="240"/>
        <w:jc w:val="center"/>
      </w:pPr>
      <w:r>
        <w:rPr>
          <w:rFonts w:ascii="Arial" w:cs="Arial" w:eastAsia="Arial" w:hAnsi="Arial"/>
          <w:color w:val="777777"/>
          <w:sz w:val="20"/>
          <w:szCs w:val="20"/>
        </w:rPr>
        <w:t xml:space="preserve">James Squire  |  March 2026  |  Derived from the Qubit Universe Framework</w:t>
      </w:r>
    </w:p>
    <w:p>
      <w:pPr>
        <w:spacing w:before="0" w:after="240"/>
        <w:jc w:val="center"/>
      </w:pPr>
      <w:r>
        <w:rPr>
          <w:rFonts w:ascii="Arial" w:cs="Arial" w:eastAsia="Arial" w:hAnsi="Arial"/>
          <w:b/>
          <w:bCs/>
          <w:color w:val="2E4057"/>
          <w:sz w:val="32"/>
          <w:szCs w:val="32"/>
        </w:rPr>
        <w:t xml:space="preserve">+|× = U</w:t>
      </w:r>
    </w:p>
    <w:p>
      <w:pPr>
        <w:pBdr>
          <w:bottom w:val="single" w:color="2E4057" w:sz="6" w:space="1"/>
        </w:pBdr>
        <w:spacing w:before="240" w:after="240"/>
      </w:pPr>
    </w:p>
    <w:p>
      <w:pPr>
        <w:spacing w:before="200" w:after="120"/>
      </w:pPr>
      <w:r>
        <w:rPr>
          <w:rFonts w:ascii="Arial" w:cs="Arial" w:eastAsia="Arial" w:hAnsi="Arial"/>
          <w:b/>
          <w:bCs/>
          <w:color w:val="2E4057"/>
          <w:sz w:val="24"/>
          <w:szCs w:val="24"/>
        </w:rPr>
        <w:t xml:space="preserve">Preamble</w:t>
      </w:r>
    </w:p>
    <w:p>
      <w:pPr>
        <w:spacing w:before="100" w:after="160" w:line="276"/>
        <w:jc w:val="both"/>
      </w:pPr>
      <w:r>
        <w:rPr>
          <w:rFonts w:ascii="Arial" w:cs="Arial" w:eastAsia="Arial" w:hAnsi="Arial"/>
          <w:sz w:val="22"/>
          <w:szCs w:val="22"/>
        </w:rPr>
        <w:t xml:space="preserve">This addendum refines the fork mechanism proposed in the primary document. The original proposal correctly identified unitarity preservation, entanglement continuity, and causal consistency as structural consequences of the Qubit Universe Framework. It located the fork mechanism as a re-indexing of prior bitstream states — accessing the conserved archive at an earlier index.</w:t>
      </w:r>
    </w:p>
    <w:p>
      <w:pPr>
        <w:spacing w:before="100" w:after="160" w:line="276"/>
        <w:jc w:val="both"/>
      </w:pPr>
      <w:r>
        <w:rPr>
          <w:rFonts w:ascii="Arial" w:cs="Arial" w:eastAsia="Arial" w:hAnsi="Arial"/>
          <w:sz w:val="22"/>
          <w:szCs w:val="22"/>
        </w:rPr>
        <w:t xml:space="preserve">A subsequent dialogue identified a more precise formulation: the fork does not require access to the primary bitstream archive at all. The accessible sequencing is located in the continuous sub-phase window between ρ_c(ent) and ρ_proj — the interval that is perpetually present at the leading edge of projection depth. This reformulation strengthens the proposal: the fork mechanism requires no special conditions beyond those structurally guaranteed at every moment of the projection process.</w:t>
      </w:r>
    </w:p>
    <w:p>
      <w:pPr>
        <w:spacing w:before="100" w:after="160" w:line="276"/>
        <w:jc w:val="both"/>
      </w:pPr>
      <w:r>
        <w:rPr>
          <w:rFonts w:ascii="Arial" w:cs="Arial" w:eastAsia="Arial" w:hAnsi="Arial"/>
          <w:sz w:val="22"/>
          <w:szCs w:val="22"/>
        </w:rPr>
        <w:t xml:space="preserve">No claims in the primary document are retracted. The conservation law, the unitarity argument, the entanglement argument, and the causal paradox dissolution all stand. This addendum specifies more precisely where in the framework architecture the fork occurs.</w:t>
      </w:r>
    </w:p>
    <w:p>
      <w:pPr>
        <w:pBdr>
          <w:bottom w:val="single" w:color="2E4057" w:sz="6" w:space="1"/>
        </w:pBdr>
        <w:spacing w:before="240" w:after="240"/>
      </w:pPr>
    </w:p>
    <w:p>
      <w:pPr>
        <w:pStyle w:val="Heading1"/>
        <w:spacing w:before="360" w:after="200"/>
      </w:pPr>
      <w:r>
        <w:rPr>
          <w:rFonts w:ascii="Arial" w:cs="Arial" w:eastAsia="Arial" w:hAnsi="Arial"/>
          <w:b/>
          <w:bCs/>
          <w:color w:val="2E4057"/>
          <w:sz w:val="28"/>
          <w:szCs w:val="28"/>
        </w:rPr>
        <w:t xml:space="preserve">A.1  The Original Formulation and Its Gap</w:t>
      </w:r>
    </w:p>
    <w:p>
      <w:pPr>
        <w:spacing w:before="100" w:after="160" w:line="276"/>
        <w:jc w:val="both"/>
      </w:pPr>
      <w:r>
        <w:rPr>
          <w:rFonts w:ascii="Arial" w:cs="Arial" w:eastAsia="Arial" w:hAnsi="Arial"/>
          <w:sz w:val="22"/>
          <w:szCs w:val="22"/>
        </w:rPr>
        <w:t xml:space="preserve">The primary document proposed that time travel within the framework takes the form of a closed projection loop: the receiver re-indexes to an earlier position in the bitstream, generating a new forward projection from that index. This formulation correctly identified that:</w:t>
      </w:r>
    </w:p>
    <w:p>
      <w:pPr>
        <w:pStyle w:val="ListParagraph"/>
        <w:numPr>
          <w:ilvl w:val="0"/>
          <w:numId w:val="2"/>
        </w:numPr>
        <w:spacing w:before="80" w:after="80" w:line="276"/>
      </w:pPr>
      <w:r>
        <w:rPr>
          <w:rFonts w:ascii="Arial" w:cs="Arial" w:eastAsia="Arial" w:hAnsi="Arial"/>
          <w:b w:val="false"/>
          <w:bCs w:val="false"/>
          <w:sz w:val="22"/>
          <w:szCs w:val="22"/>
        </w:rPr>
        <w:t xml:space="preserve">The bitstream is a conserved archive, not a consuming tape.</w:t>
      </w:r>
    </w:p>
    <w:p>
      <w:pPr>
        <w:pStyle w:val="ListParagraph"/>
        <w:numPr>
          <w:ilvl w:val="0"/>
          <w:numId w:val="2"/>
        </w:numPr>
        <w:spacing w:before="80" w:after="80" w:line="276"/>
      </w:pPr>
      <w:r>
        <w:rPr>
          <w:rFonts w:ascii="Arial" w:cs="Arial" w:eastAsia="Arial" w:hAnsi="Arial"/>
          <w:b w:val="false"/>
          <w:bCs w:val="false"/>
          <w:sz w:val="22"/>
          <w:szCs w:val="22"/>
        </w:rPr>
        <w:t xml:space="preserve">Re-reading an earlier segment does not duplicate or destroy information.</w:t>
      </w:r>
    </w:p>
    <w:p>
      <w:pPr>
        <w:pStyle w:val="ListParagraph"/>
        <w:numPr>
          <w:ilvl w:val="0"/>
          <w:numId w:val="2"/>
        </w:numPr>
        <w:spacing w:before="80" w:after="80" w:line="276"/>
      </w:pPr>
      <w:r>
        <w:rPr>
          <w:rFonts w:ascii="Arial" w:cs="Arial" w:eastAsia="Arial" w:hAnsi="Arial"/>
          <w:b w:val="false"/>
          <w:bCs w:val="false"/>
          <w:sz w:val="22"/>
          <w:szCs w:val="22"/>
        </w:rPr>
        <w:t xml:space="preserve">The original projection continues unchanged; the re-projection is a new branch, not an overwrite.</w:t>
      </w:r>
    </w:p>
    <w:p>
      <w:pPr>
        <w:pStyle w:val="ListParagraph"/>
        <w:numPr>
          <w:ilvl w:val="0"/>
          <w:numId w:val="2"/>
        </w:numPr>
        <w:spacing w:before="80" w:after="80" w:line="276"/>
      </w:pPr>
      <w:r>
        <w:rPr>
          <w:rFonts w:ascii="Arial" w:cs="Arial" w:eastAsia="Arial" w:hAnsi="Arial"/>
          <w:b w:val="false"/>
          <w:bCs w:val="false"/>
          <w:sz w:val="22"/>
          <w:szCs w:val="22"/>
        </w:rPr>
        <w:t xml:space="preserve">Causal paradoxes do not arise because the original projection branch continues independently.</w:t>
      </w:r>
    </w:p>
    <w:p>
      <w:pPr>
        <w:spacing w:before="80" w:after="80"/>
      </w:pPr>
    </w:p>
    <w:p>
      <w:pPr>
        <w:spacing w:before="100" w:after="160" w:line="276"/>
        <w:jc w:val="both"/>
      </w:pPr>
      <w:r>
        <w:rPr>
          <w:rFonts w:ascii="Arial" w:cs="Arial" w:eastAsia="Arial" w:hAnsi="Arial"/>
          <w:sz w:val="22"/>
          <w:szCs w:val="22"/>
        </w:rPr>
        <w:t xml:space="preserve">The gap in this formulation was mechanical: while the impossibility of reversal is rigorously derived from the topological asymmetry of the receiver/projector architecture (the projector has no read-back channel), the positive claim — that the receiver can access an earlier bitstream index — was asserted on the basis of the archive premise without specifying the architectural mechanism by which the read-head would seek backwards rather than continuing forward.</w:t>
      </w:r>
    </w:p>
    <w:p>
      <w:pPr>
        <w:spacing w:before="100" w:after="160" w:line="276"/>
        <w:jc w:val="both"/>
      </w:pPr>
      <w:r>
        <w:rPr>
          <w:rFonts w:ascii="Arial" w:cs="Arial" w:eastAsia="Arial" w:hAnsi="Arial"/>
          <w:sz w:val="22"/>
          <w:szCs w:val="22"/>
        </w:rPr>
        <w:t xml:space="preserve">This addendum resolves that gap by identifying where the accessible sequencing actually sits.</w:t>
      </w:r>
    </w:p>
    <w:p>
      <w:pPr>
        <w:pBdr>
          <w:bottom w:val="single" w:color="2E4057" w:sz="6" w:space="1"/>
        </w:pBdr>
        <w:spacing w:before="240" w:after="240"/>
      </w:pPr>
    </w:p>
    <w:p>
      <w:pPr>
        <w:pStyle w:val="Heading1"/>
        <w:spacing w:before="360" w:after="200"/>
      </w:pPr>
      <w:r>
        <w:rPr>
          <w:rFonts w:ascii="Arial" w:cs="Arial" w:eastAsia="Arial" w:hAnsi="Arial"/>
          <w:b/>
          <w:bCs/>
          <w:color w:val="2E4057"/>
          <w:sz w:val="28"/>
          <w:szCs w:val="28"/>
        </w:rPr>
        <w:t xml:space="preserve">A.2  The Sub-Phase Window as the Fork Architecture</w:t>
      </w:r>
    </w:p>
    <w:p>
      <w:pPr>
        <w:pStyle w:val="Heading2"/>
        <w:spacing w:before="280" w:after="160"/>
      </w:pPr>
      <w:r>
        <w:rPr>
          <w:rFonts w:ascii="Arial" w:cs="Arial" w:eastAsia="Arial" w:hAnsi="Arial"/>
          <w:b/>
          <w:bCs/>
          <w:color w:val="2E4057"/>
          <w:sz w:val="24"/>
          <w:szCs w:val="24"/>
        </w:rPr>
        <w:t xml:space="preserve">A.2.1  The Structure of the Leading Edge</w:t>
      </w:r>
    </w:p>
    <w:p>
      <w:pPr>
        <w:spacing w:before="100" w:after="160" w:line="276"/>
        <w:jc w:val="both"/>
      </w:pPr>
      <w:r>
        <w:rPr>
          <w:rFonts w:ascii="Arial" w:cs="Arial" w:eastAsia="Arial" w:hAnsi="Arial"/>
          <w:sz w:val="22"/>
          <w:szCs w:val="22"/>
        </w:rPr>
        <w:t xml:space="preserve">Section 24 of the foundational framework (The p_c Sub-Phase and Projector Activation) establishes that at any projection depth, the leading edge of projection is not a single point but a structured interval — the p_c sub-phase — between two causally ordered thresholds:</w:t>
      </w:r>
    </w:p>
    <w:p>
      <w:pPr>
        <w:spacing w:before="80" w:after="80"/>
      </w:pPr>
    </w:p>
    <w:p>
      <w:pPr>
        <w:spacing w:before="140" w:after="140"/>
        <w:jc w:val="center"/>
      </w:pPr>
      <w:r>
        <w:rPr>
          <w:rFonts w:ascii="Courier New" w:cs="Courier New" w:eastAsia="Courier New" w:hAnsi="Courier New"/>
          <w:b/>
          <w:bCs/>
          <w:color w:val="1a1a2e"/>
          <w:sz w:val="22"/>
          <w:szCs w:val="22"/>
        </w:rPr>
        <w:t xml:space="preserve">ρ_c(ent)  →  [p_c sub-phase]  →  ρ_proj</w:t>
      </w:r>
    </w:p>
    <w:p>
      <w:pPr>
        <w:spacing w:before="80" w:after="80"/>
      </w:pPr>
    </w:p>
    <w:p>
      <w:pPr>
        <w:spacing w:before="100" w:after="160" w:line="276"/>
        <w:jc w:val="both"/>
      </w:pPr>
      <w:r>
        <w:rPr>
          <w:rFonts w:ascii="Arial" w:cs="Arial" w:eastAsia="Arial" w:hAnsi="Arial"/>
          <w:sz w:val="22"/>
          <w:szCs w:val="22"/>
        </w:rPr>
        <w:t xml:space="preserve">At ρ_c(ent): the percolation threshold is crossed. Loops close, two-sidedness is established, and the receiver face activates. The surface exists topologically.</w:t>
      </w:r>
    </w:p>
    <w:p>
      <w:pPr>
        <w:spacing w:before="100" w:after="160" w:line="276"/>
        <w:jc w:val="both"/>
      </w:pPr>
      <w:r>
        <w:rPr>
          <w:rFonts w:ascii="Arial" w:cs="Arial" w:eastAsia="Arial" w:hAnsi="Arial"/>
          <w:sz w:val="22"/>
          <w:szCs w:val="22"/>
        </w:rPr>
        <w:t xml:space="preserve">At ρ_proj: the projector activates globally. Entanglement coherence spreads uniformly across the surface. The holographic entropy formula S ≈ A/4G + c·log(A) becomes operational. Indices are committed to 3D geometry. The spectral index chain locks in.</w:t>
      </w:r>
    </w:p>
    <w:p>
      <w:pPr>
        <w:spacing w:before="100" w:after="160" w:line="276"/>
        <w:jc w:val="both"/>
      </w:pPr>
      <w:r>
        <w:rPr>
          <w:rFonts w:ascii="Arial" w:cs="Arial" w:eastAsia="Arial" w:hAnsi="Arial"/>
          <w:sz w:val="22"/>
          <w:szCs w:val="22"/>
        </w:rPr>
        <w:t xml:space="preserve">Between these two thresholds: the receiver is active and reading. The projector has not yet committed the received indices to 3D geometric form. The entanglement is locally distributed but not yet globally coherent. The indices in this window are received-but-unrendered.</w:t>
      </w:r>
    </w:p>
    <w:p>
      <w:pPr>
        <w:pStyle w:val="Heading2"/>
        <w:spacing w:before="280" w:after="160"/>
      </w:pPr>
      <w:r>
        <w:rPr>
          <w:rFonts w:ascii="Arial" w:cs="Arial" w:eastAsia="Arial" w:hAnsi="Arial"/>
          <w:b/>
          <w:bCs/>
          <w:color w:val="2E4057"/>
          <w:sz w:val="24"/>
          <w:szCs w:val="24"/>
        </w:rPr>
        <w:t xml:space="preserve">A.2.2  The Received-but-Uncommitted Indices</w:t>
      </w:r>
    </w:p>
    <w:p>
      <w:pPr>
        <w:spacing w:before="100" w:after="160" w:line="276"/>
        <w:jc w:val="both"/>
      </w:pPr>
      <w:r>
        <w:rPr>
          <w:rFonts w:ascii="Arial" w:cs="Arial" w:eastAsia="Arial" w:hAnsi="Arial"/>
          <w:sz w:val="22"/>
          <w:szCs w:val="22"/>
        </w:rPr>
        <w:t xml:space="preserve">The critical property of the sub-phase window is that the indices it contains have passed through the receiver face — they are fully encoded, fully conserved, |α|² + |β|² = 1 holds at every node — but they have not yet been committed to 3D geometry by the projector. They exist in the entanglement network in the representational language of tension, not yet translated into the language of geometry.</w:t>
      </w:r>
    </w:p>
    <w:p>
      <w:pPr>
        <w:spacing w:before="100" w:after="160" w:line="276"/>
        <w:jc w:val="both"/>
      </w:pPr>
      <w:r>
        <w:rPr>
          <w:rFonts w:ascii="Arial" w:cs="Arial" w:eastAsia="Arial" w:hAnsi="Arial"/>
          <w:sz w:val="22"/>
          <w:szCs w:val="22"/>
        </w:rPr>
        <w:t xml:space="preserve">These are not historical bitstream states. They are not archived indices from a prior projection depth. They are indices at the current leading edge of the projection process, in the transitional state between reception and rendering.</w:t>
      </w:r>
    </w:p>
    <w:p>
      <w:pPr>
        <w:spacing w:before="100" w:after="160" w:line="276"/>
        <w:jc w:val="both"/>
      </w:pPr>
      <w:r>
        <w:rPr>
          <w:rFonts w:ascii="Arial" w:cs="Arial" w:eastAsia="Arial" w:hAnsi="Arial"/>
          <w:sz w:val="22"/>
          <w:szCs w:val="22"/>
        </w:rPr>
        <w:t xml:space="preserve">This distinction dissolves the mechanical gap in the original formulation. The fork does not require the read-head to seek backwards. The accessible sequencing is already present — perpetually, structurally — in the uncommitted layer at the projection frontier.</w:t>
      </w:r>
    </w:p>
    <w:p>
      <w:pPr>
        <w:pStyle w:val="Heading2"/>
        <w:spacing w:before="280" w:after="160"/>
      </w:pPr>
      <w:r>
        <w:rPr>
          <w:rFonts w:ascii="Arial" w:cs="Arial" w:eastAsia="Arial" w:hAnsi="Arial"/>
          <w:b/>
          <w:bCs/>
          <w:color w:val="2E4057"/>
          <w:sz w:val="24"/>
          <w:szCs w:val="24"/>
        </w:rPr>
        <w:t xml:space="preserve">A.2.3  The Fork as a Lateral Branch</w:t>
      </w:r>
    </w:p>
    <w:p>
      <w:pPr>
        <w:spacing w:before="100" w:after="160" w:line="276"/>
        <w:jc w:val="both"/>
      </w:pPr>
      <w:r>
        <w:rPr>
          <w:rFonts w:ascii="Arial" w:cs="Arial" w:eastAsia="Arial" w:hAnsi="Arial"/>
          <w:sz w:val="22"/>
          <w:szCs w:val="22"/>
        </w:rPr>
        <w:t xml:space="preserve">Under this reformulation, the fork mechanism is precisely characterised as follows:</w:t>
      </w:r>
    </w:p>
    <w:p>
      <w:pPr>
        <w:spacing w:before="80" w:after="80"/>
      </w:pPr>
    </w:p>
    <w:p>
      <w:pPr>
        <w:pBdr>
          <w:left w:val="single" w:color="3D5A80" w:sz="12" w:space="10"/>
        </w:pBdr>
        <w:spacing w:before="160" w:after="160" w:line="276"/>
        <w:ind w:left="720" w:right="720"/>
      </w:pPr>
      <w:r>
        <w:rPr>
          <w:rFonts w:ascii="Arial" w:cs="Arial" w:eastAsia="Arial" w:hAnsi="Arial"/>
          <w:i/>
          <w:iCs/>
          <w:color w:val="333333"/>
          <w:sz w:val="22"/>
          <w:szCs w:val="22"/>
        </w:rPr>
        <w:t xml:space="preserve">The fork does not reach backward into the rendered past. It branches laterally — within the sub-phase window that is always present at the projection frontier. The fork initiates a second coherent projection from indices that are simultaneously available in the received-but-uncommitted layer, without disturbing the original projection's continued commitment of those same indices.</w:t>
      </w:r>
    </w:p>
    <w:p>
      <w:pPr>
        <w:spacing w:before="80" w:after="80"/>
      </w:pPr>
    </w:p>
    <w:p>
      <w:pPr>
        <w:spacing w:before="100" w:after="160" w:line="276"/>
        <w:jc w:val="both"/>
      </w:pPr>
      <w:r>
        <w:rPr>
          <w:rFonts w:ascii="Arial" w:cs="Arial" w:eastAsia="Arial" w:hAnsi="Arial"/>
          <w:sz w:val="22"/>
          <w:szCs w:val="22"/>
        </w:rPr>
        <w:t xml:space="preserve">This is structurally analogous to the Type II branching (sub-phase branches) identified in the primary document, but operating at the continuous leading edge of any projection depth rather than only at the cosmological inception event. Type I branches are now understood as lateral forks from the continuous sub-phase window, not re-indexing operations on the deep archive.</w:t>
      </w:r>
    </w:p>
    <w:p>
      <w:pPr>
        <w:pBdr>
          <w:bottom w:val="single" w:color="2E4057" w:sz="6" w:space="1"/>
        </w:pBdr>
        <w:spacing w:before="240" w:after="240"/>
      </w:pPr>
    </w:p>
    <w:p>
      <w:pPr>
        <w:pStyle w:val="Heading1"/>
        <w:spacing w:before="360" w:after="200"/>
      </w:pPr>
      <w:r>
        <w:rPr>
          <w:rFonts w:ascii="Arial" w:cs="Arial" w:eastAsia="Arial" w:hAnsi="Arial"/>
          <w:b/>
          <w:bCs/>
          <w:color w:val="2E4057"/>
          <w:sz w:val="28"/>
          <w:szCs w:val="28"/>
        </w:rPr>
        <w:t xml:space="preserve">A.3  The Sub-Phase Window is a Continuous Feature</w:t>
      </w:r>
    </w:p>
    <w:p>
      <w:pPr>
        <w:spacing w:before="100" w:after="160" w:line="276"/>
        <w:jc w:val="both"/>
      </w:pPr>
      <w:r>
        <w:rPr>
          <w:rFonts w:ascii="Arial" w:cs="Arial" w:eastAsia="Arial" w:hAnsi="Arial"/>
          <w:sz w:val="22"/>
          <w:szCs w:val="22"/>
        </w:rPr>
        <w:t xml:space="preserve">This is the central clarification. The p_c sub-phase is not a one-time cosmological event that occurred at the inception of the 3D projection. It is a continuous structural feature of how the projection process operates at every moment of decoding depth.</w:t>
      </w:r>
    </w:p>
    <w:p>
      <w:pPr>
        <w:spacing w:before="100" w:after="160" w:line="276"/>
        <w:jc w:val="both"/>
      </w:pPr>
      <w:r>
        <w:rPr>
          <w:rFonts w:ascii="Arial" w:cs="Arial" w:eastAsia="Arial" w:hAnsi="Arial"/>
          <w:sz w:val="22"/>
          <w:szCs w:val="22"/>
        </w:rPr>
        <w:t xml:space="preserve">At every projection depth, the receiver is reading ahead of the projector. The gap between reception and geometric commitment — the sub-phase interval — is always open. It is the perpetual frontier of the projection process. The fork window is not a historical relic. It is present now, at the leading edge of whatever projection depth constitutes the present moment.</w:t>
      </w:r>
    </w:p>
    <w:p>
      <w:pPr>
        <w:spacing w:before="100" w:after="160" w:line="276"/>
        <w:jc w:val="both"/>
      </w:pPr>
      <w:r>
        <w:rPr>
          <w:rFonts w:ascii="Arial" w:cs="Arial" w:eastAsia="Arial" w:hAnsi="Arial"/>
          <w:sz w:val="22"/>
          <w:szCs w:val="22"/>
        </w:rPr>
        <w:t xml:space="preserve">This has a direct consequence for the accessibility of branching:</w:t>
      </w:r>
    </w:p>
    <w:p>
      <w:pPr>
        <w:spacing w:before="80" w:after="80"/>
      </w:pPr>
    </w:p>
    <w:p>
      <w:pPr>
        <w:pStyle w:val="ListParagraph"/>
        <w:numPr>
          <w:ilvl w:val="0"/>
          <w:numId w:val="2"/>
        </w:numPr>
        <w:spacing w:before="80" w:after="80" w:line="276"/>
      </w:pPr>
      <w:r>
        <w:rPr>
          <w:rFonts w:ascii="Arial" w:cs="Arial" w:eastAsia="Arial" w:hAnsi="Arial"/>
          <w:b w:val="false"/>
          <w:bCs w:val="false"/>
          <w:sz w:val="22"/>
          <w:szCs w:val="22"/>
        </w:rPr>
        <w:t xml:space="preserve">Branching does not require access to extraordinary or historical conditions.</w:t>
      </w:r>
    </w:p>
    <w:p>
      <w:pPr>
        <w:pStyle w:val="ListParagraph"/>
        <w:numPr>
          <w:ilvl w:val="0"/>
          <w:numId w:val="2"/>
        </w:numPr>
        <w:spacing w:before="80" w:after="80" w:line="276"/>
      </w:pPr>
      <w:r>
        <w:rPr>
          <w:rFonts w:ascii="Arial" w:cs="Arial" w:eastAsia="Arial" w:hAnsi="Arial"/>
          <w:b w:val="false"/>
          <w:bCs w:val="false"/>
          <w:sz w:val="22"/>
          <w:szCs w:val="22"/>
        </w:rPr>
        <w:t xml:space="preserve">The fork window is structurally guaranteed at every moment of projection depth by the same architecture that produces the projection itself.</w:t>
      </w:r>
    </w:p>
    <w:p>
      <w:pPr>
        <w:pStyle w:val="ListParagraph"/>
        <w:numPr>
          <w:ilvl w:val="0"/>
          <w:numId w:val="2"/>
        </w:numPr>
        <w:spacing w:before="80" w:after="80" w:line="276"/>
      </w:pPr>
      <w:r>
        <w:rPr>
          <w:rFonts w:ascii="Arial" w:cs="Arial" w:eastAsia="Arial" w:hAnsi="Arial"/>
          <w:b w:val="false"/>
          <w:bCs w:val="false"/>
          <w:sz w:val="22"/>
          <w:szCs w:val="22"/>
        </w:rPr>
        <w:t xml:space="preserve">The sub-phase window is as fundamental to ongoing projection as ρ_c and ρ_proj are to its inception.</w:t>
      </w:r>
    </w:p>
    <w:p>
      <w:pPr>
        <w:spacing w:before="80" w:after="80"/>
      </w:pPr>
    </w:p>
    <w:p>
      <w:pPr>
        <w:spacing w:before="100" w:after="160" w:line="276"/>
        <w:jc w:val="both"/>
      </w:pPr>
      <w:r>
        <w:rPr>
          <w:rFonts w:ascii="Arial" w:cs="Arial" w:eastAsia="Arial" w:hAnsi="Arial"/>
          <w:sz w:val="22"/>
          <w:szCs w:val="22"/>
        </w:rPr>
        <w:t xml:space="preserve">The branching capacity at any given moment remains finite and Hamiltonian-gated — it cannot exceed the entanglement budget available in the sub-phase window at that projection depth. But the window itself is never absent.</w:t>
      </w:r>
    </w:p>
    <w:p>
      <w:pPr>
        <w:pBdr>
          <w:bottom w:val="single" w:color="2E4057" w:sz="6" w:space="1"/>
        </w:pBdr>
        <w:spacing w:before="240" w:after="240"/>
      </w:pPr>
    </w:p>
    <w:p>
      <w:pPr>
        <w:pStyle w:val="Heading1"/>
        <w:spacing w:before="360" w:after="200"/>
      </w:pPr>
      <w:r>
        <w:rPr>
          <w:rFonts w:ascii="Arial" w:cs="Arial" w:eastAsia="Arial" w:hAnsi="Arial"/>
          <w:b/>
          <w:bCs/>
          <w:color w:val="2E4057"/>
          <w:sz w:val="28"/>
          <w:szCs w:val="28"/>
        </w:rPr>
        <w:t xml:space="preserve">A.4  Conservation Laws: Why Nothing is Violated</w:t>
      </w:r>
    </w:p>
    <w:p>
      <w:pPr>
        <w:spacing w:before="100" w:after="160" w:line="276"/>
        <w:jc w:val="both"/>
      </w:pPr>
      <w:r>
        <w:rPr>
          <w:rFonts w:ascii="Arial" w:cs="Arial" w:eastAsia="Arial" w:hAnsi="Arial"/>
          <w:sz w:val="22"/>
          <w:szCs w:val="22"/>
        </w:rPr>
        <w:t xml:space="preserve">The reformulation does not introduce new mechanisms. Each conservation law identified in the primary document holds, and holds more cleanly under the revised formulation because the fork now operates entirely within the sub-phase window's own structural properties.</w:t>
      </w:r>
    </w:p>
    <w:p>
      <w:pPr>
        <w:pStyle w:val="Heading2"/>
        <w:spacing w:before="280" w:after="160"/>
      </w:pPr>
      <w:r>
        <w:rPr>
          <w:rFonts w:ascii="Arial" w:cs="Arial" w:eastAsia="Arial" w:hAnsi="Arial"/>
          <w:b/>
          <w:bCs/>
          <w:color w:val="2E4057"/>
          <w:sz w:val="24"/>
          <w:szCs w:val="24"/>
        </w:rPr>
        <w:t xml:space="preserve">A.4.1  Unitarity</w:t>
      </w:r>
    </w:p>
    <w:p>
      <w:pPr>
        <w:spacing w:before="100" w:after="160" w:line="276"/>
        <w:jc w:val="both"/>
      </w:pPr>
      <w:r>
        <w:rPr>
          <w:rFonts w:ascii="Arial" w:cs="Arial" w:eastAsia="Arial" w:hAnsi="Arial"/>
          <w:sz w:val="22"/>
          <w:szCs w:val="22"/>
        </w:rPr>
        <w:t xml:space="preserve">The fork operates on indices that are already received and fully encoded. |α|² + |β|² = 1 holds at every node of the entanglement network in the sub-phase window. The fork routes already-received information into a second coherent projection. No new tension bonds are created. No existing bonds are annihilated. The total information content across all projection branches remains governed by the same conservation law.</w:t>
      </w:r>
    </w:p>
    <w:p>
      <w:pPr>
        <w:spacing w:before="100" w:after="160" w:line="276"/>
        <w:jc w:val="both"/>
      </w:pPr>
      <w:r>
        <w:rPr>
          <w:rFonts w:ascii="Arial" w:cs="Arial" w:eastAsia="Arial" w:hAnsi="Arial"/>
          <w:sz w:val="22"/>
          <w:szCs w:val="22"/>
        </w:rPr>
        <w:t xml:space="preserve">The bifurcation of the sub-phase window into two coherent forward projections is a projection operation — a change of representational form from tension-language to geometry-language — not an information-creation operation. Unitarity is not threatened because the information being projected already exists in the network.</w:t>
      </w:r>
    </w:p>
    <w:p>
      <w:pPr>
        <w:pStyle w:val="Heading2"/>
        <w:spacing w:before="280" w:after="160"/>
      </w:pPr>
      <w:r>
        <w:rPr>
          <w:rFonts w:ascii="Arial" w:cs="Arial" w:eastAsia="Arial" w:hAnsi="Arial"/>
          <w:b/>
          <w:bCs/>
          <w:color w:val="2E4057"/>
          <w:sz w:val="24"/>
          <w:szCs w:val="24"/>
        </w:rPr>
        <w:t xml:space="preserve">A.4.2  Entanglement</w:t>
      </w:r>
    </w:p>
    <w:p>
      <w:pPr>
        <w:spacing w:before="100" w:after="160" w:line="276"/>
        <w:jc w:val="both"/>
      </w:pPr>
      <w:r>
        <w:rPr>
          <w:rFonts w:ascii="Arial" w:cs="Arial" w:eastAsia="Arial" w:hAnsi="Arial"/>
          <w:sz w:val="22"/>
          <w:szCs w:val="22"/>
        </w:rPr>
        <w:t xml:space="preserve">The fork operates at the level of the entanglement network — upstream of the level at which particle correlations in 3D spacetime exist. Entanglement monogamy applies to particles in 3D spacetime. It does not apply at the substrate level from which spacetime is projected.</w:t>
      </w:r>
    </w:p>
    <w:p>
      <w:pPr>
        <w:spacing w:before="100" w:after="160" w:line="276"/>
        <w:jc w:val="both"/>
      </w:pPr>
      <w:r>
        <w:rPr>
          <w:rFonts w:ascii="Arial" w:cs="Arial" w:eastAsia="Arial" w:hAnsi="Arial"/>
          <w:sz w:val="22"/>
          <w:szCs w:val="22"/>
        </w:rPr>
        <w:t xml:space="preserve">The sub-phase window contains entanglement in its constitutive form — not as correlations between particles, but as the tension-bond configuration that, once projected, generates particle correlations. Forking at this level does not place a particle in two conflicting entanglement states. It generates two 3D projections, each carrying a self-consistent entanglement structure derived from the same sub-phase window.</w:t>
      </w:r>
    </w:p>
    <w:p>
      <w:pPr>
        <w:pStyle w:val="Heading2"/>
        <w:spacing w:before="280" w:after="160"/>
      </w:pPr>
      <w:r>
        <w:rPr>
          <w:rFonts w:ascii="Arial" w:cs="Arial" w:eastAsia="Arial" w:hAnsi="Arial"/>
          <w:b/>
          <w:bCs/>
          <w:color w:val="2E4057"/>
          <w:sz w:val="24"/>
          <w:szCs w:val="24"/>
        </w:rPr>
        <w:t xml:space="preserve">A.4.3  The Arrow of Time</w:t>
      </w:r>
    </w:p>
    <w:p>
      <w:pPr>
        <w:spacing w:before="100" w:after="160" w:line="276"/>
        <w:jc w:val="both"/>
      </w:pPr>
      <w:r>
        <w:rPr>
          <w:rFonts w:ascii="Arial" w:cs="Arial" w:eastAsia="Arial" w:hAnsi="Arial"/>
          <w:sz w:val="22"/>
          <w:szCs w:val="22"/>
        </w:rPr>
        <w:t xml:space="preserve">The receiver continues reading forward in both branches. The fork does not reverse the directionality of reception. The arrow of time — the directionality of the bitstream reader — is preserved in every branch because reception is a one-way operation and the fork is a projection operation, not a reception operation.</w:t>
      </w:r>
    </w:p>
    <w:p>
      <w:pPr>
        <w:spacing w:before="100" w:after="160" w:line="276"/>
        <w:jc w:val="both"/>
      </w:pPr>
      <w:r>
        <w:rPr>
          <w:rFonts w:ascii="Arial" w:cs="Arial" w:eastAsia="Arial" w:hAnsi="Arial"/>
          <w:sz w:val="22"/>
          <w:szCs w:val="22"/>
        </w:rPr>
        <w:t xml:space="preserve">The projector in each branch reads forward from the sub-phase window. The topological asymmetry of the receiver/projector architecture — the absence of a read-back channel — applies equally in both branches. Neither branch has a mechanism for reversal. Both inherit the same directed arrow of time from the same receiver.</w:t>
      </w:r>
    </w:p>
    <w:p>
      <w:pPr>
        <w:pStyle w:val="Heading2"/>
        <w:spacing w:before="280" w:after="160"/>
      </w:pPr>
      <w:r>
        <w:rPr>
          <w:rFonts w:ascii="Arial" w:cs="Arial" w:eastAsia="Arial" w:hAnsi="Arial"/>
          <w:b/>
          <w:bCs/>
          <w:color w:val="2E4057"/>
          <w:sz w:val="24"/>
          <w:szCs w:val="24"/>
        </w:rPr>
        <w:t xml:space="preserve">A.4.4  Causal Consistency</w:t>
      </w:r>
    </w:p>
    <w:p>
      <w:pPr>
        <w:spacing w:before="100" w:after="160" w:line="276"/>
        <w:jc w:val="both"/>
      </w:pPr>
      <w:r>
        <w:rPr>
          <w:rFonts w:ascii="Arial" w:cs="Arial" w:eastAsia="Arial" w:hAnsi="Arial"/>
          <w:sz w:val="22"/>
          <w:szCs w:val="22"/>
        </w:rPr>
        <w:t xml:space="preserve">The sub-phase indices have not yet been committed to 3D geometry. They are causally open at the moment of the fork. A fork here does not rewrite committed geometry — committed geometry is, by definition, upstream of the sub-phase window, already rendered and causally closed. The fork generates new committed geometry in its own forward projection without touching the original projection's commitment of the same indices.</w:t>
      </w:r>
    </w:p>
    <w:p>
      <w:pPr>
        <w:spacing w:before="100" w:after="160" w:line="276"/>
        <w:jc w:val="both"/>
      </w:pPr>
      <w:r>
        <w:rPr>
          <w:rFonts w:ascii="Arial" w:cs="Arial" w:eastAsia="Arial" w:hAnsi="Arial"/>
          <w:sz w:val="22"/>
          <w:szCs w:val="22"/>
        </w:rPr>
        <w:t xml:space="preserve">The Novikov self-consistency constraint follows directly: any fork is constrained by the entanglement state present in the sub-phase window at the moment of branching. A branch that would require tension bonds not already received at that projection depth violates |α|² + |β|² = 1 and is architecturally unexecutable. The sub-phase window is the consistency gate.</w:t>
      </w:r>
    </w:p>
    <w:p>
      <w:pPr>
        <w:pBdr>
          <w:bottom w:val="single" w:color="2E4057" w:sz="6" w:space="1"/>
        </w:pBdr>
        <w:spacing w:before="240" w:after="240"/>
      </w:pPr>
    </w:p>
    <w:p>
      <w:pPr>
        <w:pStyle w:val="Heading1"/>
        <w:spacing w:before="360" w:after="200"/>
      </w:pPr>
      <w:r>
        <w:rPr>
          <w:rFonts w:ascii="Arial" w:cs="Arial" w:eastAsia="Arial" w:hAnsi="Arial"/>
          <w:b/>
          <w:bCs/>
          <w:color w:val="2E4057"/>
          <w:sz w:val="28"/>
          <w:szCs w:val="28"/>
        </w:rPr>
        <w:t xml:space="preserve">A.5  Revised Architecture Map</w:t>
      </w:r>
    </w:p>
    <w:p>
      <w:pPr>
        <w:spacing w:before="100" w:after="160" w:line="276"/>
        <w:jc w:val="both"/>
      </w:pPr>
      <w:r>
        <w:rPr>
          <w:rFonts w:ascii="Arial" w:cs="Arial" w:eastAsia="Arial" w:hAnsi="Arial"/>
          <w:sz w:val="22"/>
          <w:szCs w:val="22"/>
        </w:rPr>
        <w:t xml:space="preserve">The following table integrates the continuous sub-phase window reformulation with the original architecture map. The phase structure from Section 6 of the primary document is preserved; the fork mechanism column is revised.</w:t>
      </w:r>
    </w:p>
    <w:p>
      <w:pPr>
        <w:spacing w:before="80"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60"/>
        <w:gridCol w:w="1560"/>
        <w:gridCol w:w="1560"/>
        <w:gridCol w:w="1560"/>
        <w:gridCol w:w="1560"/>
        <w:gridCol w:w="1560"/>
      </w:tblGrid>
      <w:tr>
        <w:tc>
          <w:tcPr>
            <w:tcW w:type="dxa" w:w="1560"/>
            <w:tcBorders>
              <w:top w:val="single" w:color="2E4057" w:sz="1"/>
              <w:left w:val="single" w:color="2E4057" w:sz="1"/>
              <w:bottom w:val="single" w:color="2E4057" w:sz="1"/>
              <w:right w:val="single" w:color="2E4057" w:sz="1"/>
            </w:tcBorders>
            <w:shd w:fill="2E4057" w:val="clear"/>
            <w:tcMar>
              <w:top w:type="dxa" w:w="80"/>
              <w:left w:type="dxa" w:w="100"/>
              <w:bottom w:type="dxa" w:w="80"/>
              <w:right w:type="dxa" w:w="100"/>
            </w:tcMar>
          </w:tcPr>
          <w:p>
            <w:pPr>
              <w:jc w:val="center"/>
            </w:pPr>
            <w:r>
              <w:rPr>
                <w:rFonts w:ascii="Arial" w:cs="Arial" w:eastAsia="Arial" w:hAnsi="Arial"/>
                <w:b/>
                <w:bCs/>
                <w:color w:val="FFFFFF"/>
                <w:sz w:val="18"/>
                <w:szCs w:val="18"/>
              </w:rPr>
              <w:t xml:space="preserve">Phase</w:t>
            </w:r>
          </w:p>
        </w:tc>
        <w:tc>
          <w:tcPr>
            <w:tcW w:type="dxa" w:w="1560"/>
            <w:tcBorders>
              <w:top w:val="single" w:color="2E4057" w:sz="1"/>
              <w:left w:val="single" w:color="2E4057" w:sz="1"/>
              <w:bottom w:val="single" w:color="2E4057" w:sz="1"/>
              <w:right w:val="single" w:color="2E4057" w:sz="1"/>
            </w:tcBorders>
            <w:shd w:fill="2E4057" w:val="clear"/>
            <w:tcMar>
              <w:top w:type="dxa" w:w="80"/>
              <w:left w:type="dxa" w:w="100"/>
              <w:bottom w:type="dxa" w:w="80"/>
              <w:right w:type="dxa" w:w="100"/>
            </w:tcMar>
          </w:tcPr>
          <w:p>
            <w:pPr>
              <w:jc w:val="center"/>
            </w:pPr>
            <w:r>
              <w:rPr>
                <w:rFonts w:ascii="Arial" w:cs="Arial" w:eastAsia="Arial" w:hAnsi="Arial"/>
                <w:b/>
                <w:bCs/>
                <w:color w:val="FFFFFF"/>
                <w:sz w:val="18"/>
                <w:szCs w:val="18"/>
              </w:rPr>
              <w:t xml:space="preserve">State</w:t>
            </w:r>
          </w:p>
        </w:tc>
        <w:tc>
          <w:tcPr>
            <w:tcW w:type="dxa" w:w="1560"/>
            <w:tcBorders>
              <w:top w:val="single" w:color="2E4057" w:sz="1"/>
              <w:left w:val="single" w:color="2E4057" w:sz="1"/>
              <w:bottom w:val="single" w:color="2E4057" w:sz="1"/>
              <w:right w:val="single" w:color="2E4057" w:sz="1"/>
            </w:tcBorders>
            <w:shd w:fill="2E4057" w:val="clear"/>
            <w:tcMar>
              <w:top w:type="dxa" w:w="80"/>
              <w:left w:type="dxa" w:w="100"/>
              <w:bottom w:type="dxa" w:w="80"/>
              <w:right w:type="dxa" w:w="100"/>
            </w:tcMar>
          </w:tcPr>
          <w:p>
            <w:pPr>
              <w:jc w:val="center"/>
            </w:pPr>
            <w:r>
              <w:rPr>
                <w:rFonts w:ascii="Arial" w:cs="Arial" w:eastAsia="Arial" w:hAnsi="Arial"/>
                <w:b/>
                <w:bCs/>
                <w:color w:val="FFFFFF"/>
                <w:sz w:val="18"/>
                <w:szCs w:val="18"/>
              </w:rPr>
              <w:t xml:space="preserve">Fork Available?</w:t>
            </w:r>
          </w:p>
        </w:tc>
        <w:tc>
          <w:tcPr>
            <w:tcW w:type="dxa" w:w="1560"/>
            <w:tcBorders>
              <w:top w:val="single" w:color="2E4057" w:sz="1"/>
              <w:left w:val="single" w:color="2E4057" w:sz="1"/>
              <w:bottom w:val="single" w:color="2E4057" w:sz="1"/>
              <w:right w:val="single" w:color="2E4057" w:sz="1"/>
            </w:tcBorders>
            <w:shd w:fill="2E4057" w:val="clear"/>
            <w:tcMar>
              <w:top w:type="dxa" w:w="80"/>
              <w:left w:type="dxa" w:w="100"/>
              <w:bottom w:type="dxa" w:w="80"/>
              <w:right w:type="dxa" w:w="100"/>
            </w:tcMar>
          </w:tcPr>
          <w:p>
            <w:pPr>
              <w:jc w:val="center"/>
            </w:pPr>
            <w:r>
              <w:rPr>
                <w:rFonts w:ascii="Arial" w:cs="Arial" w:eastAsia="Arial" w:hAnsi="Arial"/>
                <w:b/>
                <w:bCs/>
                <w:color w:val="FFFFFF"/>
                <w:sz w:val="18"/>
                <w:szCs w:val="18"/>
              </w:rPr>
              <w:t xml:space="preserve">Mechanism</w:t>
            </w:r>
          </w:p>
        </w:tc>
        <w:tc>
          <w:tcPr>
            <w:tcW w:type="dxa" w:w="1560"/>
            <w:tcBorders>
              <w:top w:val="single" w:color="2E4057" w:sz="1"/>
              <w:left w:val="single" w:color="2E4057" w:sz="1"/>
              <w:bottom w:val="single" w:color="2E4057" w:sz="1"/>
              <w:right w:val="single" w:color="2E4057" w:sz="1"/>
            </w:tcBorders>
            <w:shd w:fill="2E4057" w:val="clear"/>
            <w:tcMar>
              <w:top w:type="dxa" w:w="80"/>
              <w:left w:type="dxa" w:w="100"/>
              <w:bottom w:type="dxa" w:w="80"/>
              <w:right w:type="dxa" w:w="100"/>
            </w:tcMar>
          </w:tcPr>
          <w:p>
            <w:pPr>
              <w:jc w:val="center"/>
            </w:pPr>
            <w:r>
              <w:rPr>
                <w:rFonts w:ascii="Arial" w:cs="Arial" w:eastAsia="Arial" w:hAnsi="Arial"/>
                <w:b/>
                <w:bCs/>
                <w:color w:val="FFFFFF"/>
                <w:sz w:val="18"/>
                <w:szCs w:val="18"/>
              </w:rPr>
              <w:t xml:space="preserve">Constraint</w:t>
            </w:r>
          </w:p>
        </w:tc>
        <w:tc>
          <w:tcPr>
            <w:tcW w:type="dxa" w:w="1560"/>
            <w:tcBorders>
              <w:top w:val="single" w:color="2E4057" w:sz="1"/>
              <w:left w:val="single" w:color="2E4057" w:sz="1"/>
              <w:bottom w:val="single" w:color="2E4057" w:sz="1"/>
              <w:right w:val="single" w:color="2E4057" w:sz="1"/>
            </w:tcBorders>
            <w:shd w:fill="2E4057" w:val="clear"/>
            <w:tcMar>
              <w:top w:type="dxa" w:w="80"/>
              <w:left w:type="dxa" w:w="100"/>
              <w:bottom w:type="dxa" w:w="80"/>
              <w:right w:type="dxa" w:w="100"/>
            </w:tcMar>
          </w:tcPr>
          <w:p>
            <w:pPr>
              <w:jc w:val="center"/>
            </w:pPr>
            <w:r>
              <w:rPr>
                <w:rFonts w:ascii="Arial" w:cs="Arial" w:eastAsia="Arial" w:hAnsi="Arial"/>
                <w:b/>
                <w:bCs/>
                <w:color w:val="FFFFFF"/>
                <w:sz w:val="18"/>
                <w:szCs w:val="18"/>
              </w:rPr>
              <w:t xml:space="preserve">Branch Type</w:t>
            </w:r>
          </w:p>
        </w:tc>
      </w:tr>
      <w:tr>
        <w:tc>
          <w:tcPr>
            <w:tcW w:type="dxa" w:w="156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pPr>
              <w:jc w:val="center"/>
            </w:pPr>
            <w:r>
              <w:rPr>
                <w:rFonts w:ascii="Arial" w:cs="Arial" w:eastAsia="Arial" w:hAnsi="Arial"/>
                <w:sz w:val="18"/>
                <w:szCs w:val="18"/>
              </w:rPr>
              <w:t xml:space="preserve">1D Cascade</w:t>
            </w:r>
          </w:p>
        </w:tc>
        <w:tc>
          <w:tcPr>
            <w:tcW w:type="dxa" w:w="156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pPr>
              <w:jc w:val="center"/>
            </w:pPr>
            <w:r>
              <w:rPr>
                <w:rFonts w:ascii="Arial" w:cs="Arial" w:eastAsia="Arial" w:hAnsi="Arial"/>
                <w:sz w:val="18"/>
                <w:szCs w:val="18"/>
              </w:rPr>
              <w:t xml:space="preserve">Linear growth
ρ_ent &lt; ρ_c</w:t>
            </w:r>
          </w:p>
        </w:tc>
        <w:tc>
          <w:tcPr>
            <w:tcW w:type="dxa" w:w="1560"/>
            <w:tcBorders>
              <w:top w:val="single" w:color="CCCCCC" w:sz="1"/>
              <w:left w:val="single" w:color="CCCCCC" w:sz="1"/>
              <w:bottom w:val="single" w:color="CCCCCC" w:sz="1"/>
              <w:right w:val="single" w:color="CCCCCC" w:sz="1"/>
            </w:tcBorders>
            <w:shd w:fill="FFF3E0" w:val="clear"/>
            <w:tcMar>
              <w:top w:type="dxa" w:w="80"/>
              <w:left w:type="dxa" w:w="100"/>
              <w:bottom w:type="dxa" w:w="80"/>
              <w:right w:type="dxa" w:w="100"/>
            </w:tcMar>
          </w:tcPr>
          <w:p>
            <w:pPr>
              <w:jc w:val="center"/>
            </w:pPr>
            <w:r>
              <w:rPr>
                <w:rFonts w:ascii="Arial" w:cs="Arial" w:eastAsia="Arial" w:hAnsi="Arial"/>
                <w:sz w:val="18"/>
                <w:szCs w:val="18"/>
              </w:rPr>
              <w:t xml:space="preserve">No</w:t>
            </w:r>
          </w:p>
        </w:tc>
        <w:tc>
          <w:tcPr>
            <w:tcW w:type="dxa" w:w="156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pPr>
              <w:jc w:val="center"/>
            </w:pPr>
            <w:r>
              <w:rPr>
                <w:rFonts w:ascii="Arial" w:cs="Arial" w:eastAsia="Arial" w:hAnsi="Arial"/>
                <w:sz w:val="18"/>
                <w:szCs w:val="18"/>
              </w:rPr>
              <w:t xml:space="preserve">—</w:t>
            </w:r>
          </w:p>
        </w:tc>
        <w:tc>
          <w:tcPr>
            <w:tcW w:type="dxa" w:w="156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pPr>
              <w:jc w:val="center"/>
            </w:pPr>
            <w:r>
              <w:rPr>
                <w:rFonts w:ascii="Arial" w:cs="Arial" w:eastAsia="Arial" w:hAnsi="Arial"/>
                <w:sz w:val="18"/>
                <w:szCs w:val="18"/>
              </w:rPr>
              <w:t xml:space="preserve">—</w:t>
            </w:r>
          </w:p>
        </w:tc>
        <w:tc>
          <w:tcPr>
            <w:tcW w:type="dxa" w:w="156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pPr>
              <w:jc w:val="center"/>
            </w:pPr>
            <w:r>
              <w:rPr>
                <w:rFonts w:ascii="Arial" w:cs="Arial" w:eastAsia="Arial" w:hAnsi="Arial"/>
                <w:sz w:val="18"/>
                <w:szCs w:val="18"/>
              </w:rPr>
              <w:t xml:space="preserve">—</w:t>
            </w:r>
          </w:p>
        </w:tc>
      </w:tr>
      <w:tr>
        <w:tc>
          <w:tcPr>
            <w:tcW w:type="dxa" w:w="1560"/>
            <w:tcBorders>
              <w:top w:val="single" w:color="CCCCCC" w:sz="1"/>
              <w:left w:val="single" w:color="CCCCCC" w:sz="1"/>
              <w:bottom w:val="single" w:color="CCCCCC" w:sz="1"/>
              <w:right w:val="single" w:color="CCCCCC" w:sz="1"/>
            </w:tcBorders>
            <w:shd w:fill="EEF2FF" w:val="clear"/>
            <w:tcMar>
              <w:top w:type="dxa" w:w="80"/>
              <w:left w:type="dxa" w:w="100"/>
              <w:bottom w:type="dxa" w:w="80"/>
              <w:right w:type="dxa" w:w="100"/>
            </w:tcMar>
          </w:tcPr>
          <w:p>
            <w:pPr>
              <w:jc w:val="center"/>
            </w:pPr>
            <w:r>
              <w:rPr>
                <w:rFonts w:ascii="Arial" w:cs="Arial" w:eastAsia="Arial" w:hAnsi="Arial"/>
                <w:sz w:val="18"/>
                <w:szCs w:val="18"/>
              </w:rPr>
              <w:t xml:space="preserve">p_c Sub-Phase
(ρ_c to ρ_proj)</w:t>
            </w:r>
          </w:p>
        </w:tc>
        <w:tc>
          <w:tcPr>
            <w:tcW w:type="dxa" w:w="1560"/>
            <w:tcBorders>
              <w:top w:val="single" w:color="CCCCCC" w:sz="1"/>
              <w:left w:val="single" w:color="CCCCCC" w:sz="1"/>
              <w:bottom w:val="single" w:color="CCCCCC" w:sz="1"/>
              <w:right w:val="single" w:color="CCCCCC" w:sz="1"/>
            </w:tcBorders>
            <w:shd w:fill="EEF2FF" w:val="clear"/>
            <w:tcMar>
              <w:top w:type="dxa" w:w="80"/>
              <w:left w:type="dxa" w:w="100"/>
              <w:bottom w:type="dxa" w:w="80"/>
              <w:right w:type="dxa" w:w="100"/>
            </w:tcMar>
          </w:tcPr>
          <w:p>
            <w:pPr>
              <w:jc w:val="center"/>
            </w:pPr>
            <w:r>
              <w:rPr>
                <w:rFonts w:ascii="Arial" w:cs="Arial" w:eastAsia="Arial" w:hAnsi="Arial"/>
                <w:sz w:val="18"/>
                <w:szCs w:val="18"/>
              </w:rPr>
              <w:t xml:space="preserve">Receiver active.
Projector not
yet committed.</w:t>
            </w:r>
          </w:p>
        </w:tc>
        <w:tc>
          <w:tcPr>
            <w:tcW w:type="dxa" w:w="1560"/>
            <w:tcBorders>
              <w:top w:val="single" w:color="CCCCCC" w:sz="1"/>
              <w:left w:val="single" w:color="CCCCCC" w:sz="1"/>
              <w:bottom w:val="single" w:color="CCCCCC" w:sz="1"/>
              <w:right w:val="single" w:color="CCCCCC" w:sz="1"/>
            </w:tcBorders>
            <w:shd w:fill="E8F5E9" w:val="clear"/>
            <w:tcMar>
              <w:top w:type="dxa" w:w="80"/>
              <w:left w:type="dxa" w:w="100"/>
              <w:bottom w:type="dxa" w:w="80"/>
              <w:right w:type="dxa" w:w="100"/>
            </w:tcMar>
          </w:tcPr>
          <w:p>
            <w:pPr>
              <w:jc w:val="center"/>
            </w:pPr>
            <w:r>
              <w:rPr>
                <w:rFonts w:ascii="Arial" w:cs="Arial" w:eastAsia="Arial" w:hAnsi="Arial"/>
                <w:sz w:val="18"/>
                <w:szCs w:val="18"/>
              </w:rPr>
              <w:t xml:space="preserve">YES —
continuous
fork window</w:t>
            </w:r>
          </w:p>
        </w:tc>
        <w:tc>
          <w:tcPr>
            <w:tcW w:type="dxa" w:w="1560"/>
            <w:tcBorders>
              <w:top w:val="single" w:color="CCCCCC" w:sz="1"/>
              <w:left w:val="single" w:color="CCCCCC" w:sz="1"/>
              <w:bottom w:val="single" w:color="CCCCCC" w:sz="1"/>
              <w:right w:val="single" w:color="CCCCCC" w:sz="1"/>
            </w:tcBorders>
            <w:shd w:fill="EEF2FF" w:val="clear"/>
            <w:tcMar>
              <w:top w:type="dxa" w:w="80"/>
              <w:left w:type="dxa" w:w="100"/>
              <w:bottom w:type="dxa" w:w="80"/>
              <w:right w:type="dxa" w:w="100"/>
            </w:tcMar>
          </w:tcPr>
          <w:p>
            <w:pPr>
              <w:jc w:val="center"/>
            </w:pPr>
            <w:r>
              <w:rPr>
                <w:rFonts w:ascii="Arial" w:cs="Arial" w:eastAsia="Arial" w:hAnsi="Arial"/>
                <w:sz w:val="18"/>
                <w:szCs w:val="18"/>
              </w:rPr>
              <w:t xml:space="preserve">Lateral branch
from uncommitted
indices</w:t>
            </w:r>
          </w:p>
        </w:tc>
        <w:tc>
          <w:tcPr>
            <w:tcW w:type="dxa" w:w="1560"/>
            <w:tcBorders>
              <w:top w:val="single" w:color="CCCCCC" w:sz="1"/>
              <w:left w:val="single" w:color="CCCCCC" w:sz="1"/>
              <w:bottom w:val="single" w:color="CCCCCC" w:sz="1"/>
              <w:right w:val="single" w:color="CCCCCC" w:sz="1"/>
            </w:tcBorders>
            <w:shd w:fill="EEF2FF" w:val="clear"/>
            <w:tcMar>
              <w:top w:type="dxa" w:w="80"/>
              <w:left w:type="dxa" w:w="100"/>
              <w:bottom w:type="dxa" w:w="80"/>
              <w:right w:type="dxa" w:w="100"/>
            </w:tcMar>
          </w:tcPr>
          <w:p>
            <w:pPr>
              <w:jc w:val="center"/>
            </w:pPr>
            <w:r>
              <w:rPr>
                <w:rFonts w:ascii="Arial" w:cs="Arial" w:eastAsia="Arial" w:hAnsi="Arial"/>
                <w:sz w:val="18"/>
                <w:szCs w:val="18"/>
              </w:rPr>
              <w:t xml:space="preserve">|α|² + |β|² = 1
Entanglement
budget of
sub-phase</w:t>
            </w:r>
          </w:p>
        </w:tc>
        <w:tc>
          <w:tcPr>
            <w:tcW w:type="dxa" w:w="1560"/>
            <w:tcBorders>
              <w:top w:val="single" w:color="CCCCCC" w:sz="1"/>
              <w:left w:val="single" w:color="CCCCCC" w:sz="1"/>
              <w:bottom w:val="single" w:color="CCCCCC" w:sz="1"/>
              <w:right w:val="single" w:color="CCCCCC" w:sz="1"/>
            </w:tcBorders>
            <w:shd w:fill="EEF2FF" w:val="clear"/>
            <w:tcMar>
              <w:top w:type="dxa" w:w="80"/>
              <w:left w:type="dxa" w:w="100"/>
              <w:bottom w:type="dxa" w:w="80"/>
              <w:right w:type="dxa" w:w="100"/>
            </w:tcMar>
          </w:tcPr>
          <w:p>
            <w:pPr>
              <w:jc w:val="center"/>
            </w:pPr>
            <w:r>
              <w:rPr>
                <w:rFonts w:ascii="Arial" w:cs="Arial" w:eastAsia="Arial" w:hAnsi="Arial"/>
                <w:sz w:val="18"/>
                <w:szCs w:val="18"/>
              </w:rPr>
              <w:t xml:space="preserve">Type I
(primarily)</w:t>
            </w:r>
          </w:p>
        </w:tc>
      </w:tr>
      <w:tr>
        <w:tc>
          <w:tcPr>
            <w:tcW w:type="dxa" w:w="156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pPr>
              <w:jc w:val="center"/>
            </w:pPr>
            <w:r>
              <w:rPr>
                <w:rFonts w:ascii="Arial" w:cs="Arial" w:eastAsia="Arial" w:hAnsi="Arial"/>
                <w:sz w:val="18"/>
                <w:szCs w:val="18"/>
              </w:rPr>
              <w:t xml:space="preserve">ρ_proj</w:t>
            </w:r>
          </w:p>
        </w:tc>
        <w:tc>
          <w:tcPr>
            <w:tcW w:type="dxa" w:w="156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pPr>
              <w:jc w:val="center"/>
            </w:pPr>
            <w:r>
              <w:rPr>
                <w:rFonts w:ascii="Arial" w:cs="Arial" w:eastAsia="Arial" w:hAnsi="Arial"/>
                <w:sz w:val="18"/>
                <w:szCs w:val="18"/>
              </w:rPr>
              <w:t xml:space="preserve">Projector
globally
activates</w:t>
            </w:r>
          </w:p>
        </w:tc>
        <w:tc>
          <w:tcPr>
            <w:tcW w:type="dxa" w:w="156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pPr>
              <w:jc w:val="center"/>
            </w:pPr>
            <w:r>
              <w:rPr>
                <w:rFonts w:ascii="Arial" w:cs="Arial" w:eastAsia="Arial" w:hAnsi="Arial"/>
                <w:sz w:val="18"/>
                <w:szCs w:val="18"/>
              </w:rPr>
              <w:t xml:space="preserve">Window
closes for
this depth</w:t>
            </w:r>
          </w:p>
        </w:tc>
        <w:tc>
          <w:tcPr>
            <w:tcW w:type="dxa" w:w="156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pPr>
              <w:jc w:val="center"/>
            </w:pPr>
            <w:r>
              <w:rPr>
                <w:rFonts w:ascii="Arial" w:cs="Arial" w:eastAsia="Arial" w:hAnsi="Arial"/>
                <w:sz w:val="18"/>
                <w:szCs w:val="18"/>
              </w:rPr>
              <w:t xml:space="preserve">Indices
committed to
3D geometry</w:t>
            </w:r>
          </w:p>
        </w:tc>
        <w:tc>
          <w:tcPr>
            <w:tcW w:type="dxa" w:w="156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pPr>
              <w:jc w:val="center"/>
            </w:pPr>
            <w:r>
              <w:rPr>
                <w:rFonts w:ascii="Arial" w:cs="Arial" w:eastAsia="Arial" w:hAnsi="Arial"/>
                <w:sz w:val="18"/>
                <w:szCs w:val="18"/>
              </w:rPr>
              <w:t xml:space="preserve">Geometry
locked</w:t>
            </w:r>
          </w:p>
        </w:tc>
        <w:tc>
          <w:tcPr>
            <w:tcW w:type="dxa" w:w="156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pPr>
              <w:jc w:val="center"/>
            </w:pPr>
            <w:r>
              <w:rPr>
                <w:rFonts w:ascii="Arial" w:cs="Arial" w:eastAsia="Arial" w:hAnsi="Arial"/>
                <w:sz w:val="18"/>
                <w:szCs w:val="18"/>
              </w:rPr>
              <w:t xml:space="preserve">Type II
(sub-phase
variant)</w:t>
            </w:r>
          </w:p>
        </w:tc>
      </w:tr>
      <w:tr>
        <w:tc>
          <w:tcPr>
            <w:tcW w:type="dxa" w:w="1560"/>
            <w:tcBorders>
              <w:top w:val="single" w:color="CCCCCC" w:sz="1"/>
              <w:left w:val="single" w:color="CCCCCC" w:sz="1"/>
              <w:bottom w:val="single" w:color="CCCCCC" w:sz="1"/>
              <w:right w:val="single" w:color="CCCCCC" w:sz="1"/>
            </w:tcBorders>
            <w:shd w:fill="F3F4F6" w:val="clear"/>
            <w:tcMar>
              <w:top w:type="dxa" w:w="80"/>
              <w:left w:type="dxa" w:w="100"/>
              <w:bottom w:type="dxa" w:w="80"/>
              <w:right w:type="dxa" w:w="100"/>
            </w:tcMar>
          </w:tcPr>
          <w:p>
            <w:pPr>
              <w:jc w:val="center"/>
            </w:pPr>
            <w:r>
              <w:rPr>
                <w:rFonts w:ascii="Arial" w:cs="Arial" w:eastAsia="Arial" w:hAnsi="Arial"/>
                <w:sz w:val="18"/>
                <w:szCs w:val="18"/>
              </w:rPr>
              <w:t xml:space="preserve">3D Projection
(active)</w:t>
            </w:r>
          </w:p>
        </w:tc>
        <w:tc>
          <w:tcPr>
            <w:tcW w:type="dxa" w:w="1560"/>
            <w:tcBorders>
              <w:top w:val="single" w:color="CCCCCC" w:sz="1"/>
              <w:left w:val="single" w:color="CCCCCC" w:sz="1"/>
              <w:bottom w:val="single" w:color="CCCCCC" w:sz="1"/>
              <w:right w:val="single" w:color="CCCCCC" w:sz="1"/>
            </w:tcBorders>
            <w:shd w:fill="F3F4F6" w:val="clear"/>
            <w:tcMar>
              <w:top w:type="dxa" w:w="80"/>
              <w:left w:type="dxa" w:w="100"/>
              <w:bottom w:type="dxa" w:w="80"/>
              <w:right w:type="dxa" w:w="100"/>
            </w:tcMar>
          </w:tcPr>
          <w:p>
            <w:pPr>
              <w:jc w:val="center"/>
            </w:pPr>
            <w:r>
              <w:rPr>
                <w:rFonts w:ascii="Arial" w:cs="Arial" w:eastAsia="Arial" w:hAnsi="Arial"/>
                <w:sz w:val="18"/>
                <w:szCs w:val="18"/>
              </w:rPr>
              <w:t xml:space="preserve">Observable
expanding
universe</w:t>
            </w:r>
          </w:p>
        </w:tc>
        <w:tc>
          <w:tcPr>
            <w:tcW w:type="dxa" w:w="1560"/>
            <w:tcBorders>
              <w:top w:val="single" w:color="CCCCCC" w:sz="1"/>
              <w:left w:val="single" w:color="CCCCCC" w:sz="1"/>
              <w:bottom w:val="single" w:color="CCCCCC" w:sz="1"/>
              <w:right w:val="single" w:color="CCCCCC" w:sz="1"/>
            </w:tcBorders>
            <w:shd w:fill="E8F5E9" w:val="clear"/>
            <w:tcMar>
              <w:top w:type="dxa" w:w="80"/>
              <w:left w:type="dxa" w:w="100"/>
              <w:bottom w:type="dxa" w:w="80"/>
              <w:right w:type="dxa" w:w="100"/>
            </w:tcMar>
          </w:tcPr>
          <w:p>
            <w:pPr>
              <w:jc w:val="center"/>
            </w:pPr>
            <w:r>
              <w:rPr>
                <w:rFonts w:ascii="Arial" w:cs="Arial" w:eastAsia="Arial" w:hAnsi="Arial"/>
                <w:sz w:val="18"/>
                <w:szCs w:val="18"/>
              </w:rPr>
              <w:t xml:space="preserve">Sub-phase
window always
present at
leading edge</w:t>
            </w:r>
          </w:p>
        </w:tc>
        <w:tc>
          <w:tcPr>
            <w:tcW w:type="dxa" w:w="1560"/>
            <w:tcBorders>
              <w:top w:val="single" w:color="CCCCCC" w:sz="1"/>
              <w:left w:val="single" w:color="CCCCCC" w:sz="1"/>
              <w:bottom w:val="single" w:color="CCCCCC" w:sz="1"/>
              <w:right w:val="single" w:color="CCCCCC" w:sz="1"/>
            </w:tcBorders>
            <w:shd w:fill="F3F4F6" w:val="clear"/>
            <w:tcMar>
              <w:top w:type="dxa" w:w="80"/>
              <w:left w:type="dxa" w:w="100"/>
              <w:bottom w:type="dxa" w:w="80"/>
              <w:right w:type="dxa" w:w="100"/>
            </w:tcMar>
          </w:tcPr>
          <w:p>
            <w:pPr>
              <w:jc w:val="center"/>
            </w:pPr>
            <w:r>
              <w:rPr>
                <w:rFonts w:ascii="Arial" w:cs="Arial" w:eastAsia="Arial" w:hAnsi="Arial"/>
                <w:sz w:val="18"/>
                <w:szCs w:val="18"/>
              </w:rPr>
              <w:t xml:space="preserve">New sub-phase
opens at each
projection
depth</w:t>
            </w:r>
          </w:p>
        </w:tc>
        <w:tc>
          <w:tcPr>
            <w:tcW w:type="dxa" w:w="1560"/>
            <w:tcBorders>
              <w:top w:val="single" w:color="CCCCCC" w:sz="1"/>
              <w:left w:val="single" w:color="CCCCCC" w:sz="1"/>
              <w:bottom w:val="single" w:color="CCCCCC" w:sz="1"/>
              <w:right w:val="single" w:color="CCCCCC" w:sz="1"/>
            </w:tcBorders>
            <w:shd w:fill="F3F4F6" w:val="clear"/>
            <w:tcMar>
              <w:top w:type="dxa" w:w="80"/>
              <w:left w:type="dxa" w:w="100"/>
              <w:bottom w:type="dxa" w:w="80"/>
              <w:right w:type="dxa" w:w="100"/>
            </w:tcMar>
          </w:tcPr>
          <w:p>
            <w:pPr>
              <w:jc w:val="center"/>
            </w:pPr>
            <w:r>
              <w:rPr>
                <w:rFonts w:ascii="Arial" w:cs="Arial" w:eastAsia="Arial" w:hAnsi="Arial"/>
                <w:sz w:val="18"/>
                <w:szCs w:val="18"/>
              </w:rPr>
              <w:t xml:space="preserve">Entanglement
state at
current
leading edge</w:t>
            </w:r>
          </w:p>
        </w:tc>
        <w:tc>
          <w:tcPr>
            <w:tcW w:type="dxa" w:w="1560"/>
            <w:tcBorders>
              <w:top w:val="single" w:color="CCCCCC" w:sz="1"/>
              <w:left w:val="single" w:color="CCCCCC" w:sz="1"/>
              <w:bottom w:val="single" w:color="CCCCCC" w:sz="1"/>
              <w:right w:val="single" w:color="CCCCCC" w:sz="1"/>
            </w:tcBorders>
            <w:shd w:fill="F3F4F6" w:val="clear"/>
            <w:tcMar>
              <w:top w:type="dxa" w:w="80"/>
              <w:left w:type="dxa" w:w="100"/>
              <w:bottom w:type="dxa" w:w="80"/>
              <w:right w:type="dxa" w:w="100"/>
            </w:tcMar>
          </w:tcPr>
          <w:p>
            <w:pPr>
              <w:jc w:val="center"/>
            </w:pPr>
            <w:r>
              <w:rPr>
                <w:rFonts w:ascii="Arial" w:cs="Arial" w:eastAsia="Arial" w:hAnsi="Arial"/>
                <w:sz w:val="18"/>
                <w:szCs w:val="18"/>
              </w:rPr>
              <w:t xml:space="preserve">Type I
(ongoing)</w:t>
            </w:r>
          </w:p>
        </w:tc>
      </w:tr>
    </w:tbl>
    <w:p>
      <w:pPr>
        <w:spacing w:before="80" w:after="80"/>
      </w:pPr>
    </w:p>
    <w:p>
      <w:pPr>
        <w:pBdr>
          <w:bottom w:val="single" w:color="2E4057" w:sz="6" w:space="1"/>
        </w:pBdr>
        <w:spacing w:before="240" w:after="240"/>
      </w:pPr>
    </w:p>
    <w:p>
      <w:pPr>
        <w:pStyle w:val="Heading1"/>
        <w:spacing w:before="360" w:after="200"/>
      </w:pPr>
      <w:r>
        <w:rPr>
          <w:rFonts w:ascii="Arial" w:cs="Arial" w:eastAsia="Arial" w:hAnsi="Arial"/>
          <w:b/>
          <w:bCs/>
          <w:color w:val="2E4057"/>
          <w:sz w:val="28"/>
          <w:szCs w:val="28"/>
        </w:rPr>
        <w:t xml:space="preserve">A.6  Revised Branch Type Characterisation</w:t>
      </w:r>
    </w:p>
    <w:p>
      <w:pPr>
        <w:spacing w:before="100" w:after="160" w:line="276"/>
        <w:jc w:val="both"/>
      </w:pPr>
      <w:r>
        <w:rPr>
          <w:rFonts w:ascii="Arial" w:cs="Arial" w:eastAsia="Arial" w:hAnsi="Arial"/>
          <w:sz w:val="22"/>
          <w:szCs w:val="22"/>
        </w:rPr>
        <w:t xml:space="preserve">Under the reformulation, the three branch types identified in Section 3.3 of the primary document are refined as follows. All structural distinctions are preserved. The origin characterisation of Type I is revised.</w:t>
      </w:r>
    </w:p>
    <w:p>
      <w:pPr>
        <w:spacing w:before="80" w:after="80"/>
      </w:pPr>
    </w:p>
    <w:tbl>
      <w:tblPr>
        <w:tblW w:type="dxa" w:w="8960"/>
        <w:tblBorders>
          <w:top w:val="single" w:color="auto" w:sz="4"/>
          <w:left w:val="single" w:color="auto" w:sz="4"/>
          <w:bottom w:val="single" w:color="auto" w:sz="4"/>
          <w:right w:val="single" w:color="auto" w:sz="4"/>
          <w:insideH w:val="single" w:color="auto" w:sz="4"/>
          <w:insideV w:val="single" w:color="auto" w:sz="4"/>
        </w:tblBorders>
      </w:tblPr>
      <w:tblGrid>
        <w:gridCol w:w="1400"/>
        <w:gridCol w:w="1560"/>
        <w:gridCol w:w="1560"/>
        <w:gridCol w:w="1560"/>
        <w:gridCol w:w="1560"/>
        <w:gridCol w:w="1320"/>
      </w:tblGrid>
      <w:tr>
        <w:tc>
          <w:tcPr>
            <w:tcW w:type="dxa" w:w="1400"/>
            <w:tcBorders>
              <w:top w:val="single" w:color="2E4057" w:sz="1"/>
              <w:left w:val="single" w:color="2E4057" w:sz="1"/>
              <w:bottom w:val="single" w:color="2E4057" w:sz="1"/>
              <w:right w:val="single" w:color="2E4057" w:sz="1"/>
            </w:tcBorders>
            <w:shd w:fill="3D5A80" w:val="clear"/>
            <w:tcMar>
              <w:top w:type="dxa" w:w="80"/>
              <w:left w:type="dxa" w:w="100"/>
              <w:bottom w:type="dxa" w:w="80"/>
              <w:right w:type="dxa" w:w="100"/>
            </w:tcMar>
          </w:tcPr>
          <w:p>
            <w:pPr>
              <w:jc w:val="center"/>
            </w:pPr>
            <w:r>
              <w:rPr>
                <w:rFonts w:ascii="Arial" w:cs="Arial" w:eastAsia="Arial" w:hAnsi="Arial"/>
                <w:b/>
                <w:bCs/>
                <w:color w:val="FFFFFF"/>
                <w:sz w:val="18"/>
                <w:szCs w:val="18"/>
              </w:rPr>
              <w:t xml:space="preserve">Branch Type</w:t>
            </w:r>
          </w:p>
        </w:tc>
        <w:tc>
          <w:tcPr>
            <w:tcW w:type="dxa" w:w="1560"/>
            <w:tcBorders>
              <w:top w:val="single" w:color="2E4057" w:sz="1"/>
              <w:left w:val="single" w:color="2E4057" w:sz="1"/>
              <w:bottom w:val="single" w:color="2E4057" w:sz="1"/>
              <w:right w:val="single" w:color="2E4057" w:sz="1"/>
            </w:tcBorders>
            <w:shd w:fill="3D5A80" w:val="clear"/>
            <w:tcMar>
              <w:top w:type="dxa" w:w="80"/>
              <w:left w:type="dxa" w:w="100"/>
              <w:bottom w:type="dxa" w:w="80"/>
              <w:right w:type="dxa" w:w="100"/>
            </w:tcMar>
          </w:tcPr>
          <w:p>
            <w:pPr>
              <w:jc w:val="center"/>
            </w:pPr>
            <w:r>
              <w:rPr>
                <w:rFonts w:ascii="Arial" w:cs="Arial" w:eastAsia="Arial" w:hAnsi="Arial"/>
                <w:b/>
                <w:bCs/>
                <w:color w:val="FFFFFF"/>
                <w:sz w:val="18"/>
                <w:szCs w:val="18"/>
              </w:rPr>
              <w:t xml:space="preserve">Origin Phase</w:t>
            </w:r>
          </w:p>
        </w:tc>
        <w:tc>
          <w:tcPr>
            <w:tcW w:type="dxa" w:w="1560"/>
            <w:tcBorders>
              <w:top w:val="single" w:color="2E4057" w:sz="1"/>
              <w:left w:val="single" w:color="2E4057" w:sz="1"/>
              <w:bottom w:val="single" w:color="2E4057" w:sz="1"/>
              <w:right w:val="single" w:color="2E4057" w:sz="1"/>
            </w:tcBorders>
            <w:shd w:fill="3D5A80" w:val="clear"/>
            <w:tcMar>
              <w:top w:type="dxa" w:w="80"/>
              <w:left w:type="dxa" w:w="100"/>
              <w:bottom w:type="dxa" w:w="80"/>
              <w:right w:type="dxa" w:w="100"/>
            </w:tcMar>
          </w:tcPr>
          <w:p>
            <w:pPr>
              <w:jc w:val="center"/>
            </w:pPr>
            <w:r>
              <w:rPr>
                <w:rFonts w:ascii="Arial" w:cs="Arial" w:eastAsia="Arial" w:hAnsi="Arial"/>
                <w:b/>
                <w:bCs/>
                <w:color w:val="FFFFFF"/>
                <w:sz w:val="18"/>
                <w:szCs w:val="18"/>
              </w:rPr>
              <w:t xml:space="preserve">Fork Mechanism
(Revised)</w:t>
            </w:r>
          </w:p>
        </w:tc>
        <w:tc>
          <w:tcPr>
            <w:tcW w:type="dxa" w:w="1560"/>
            <w:tcBorders>
              <w:top w:val="single" w:color="2E4057" w:sz="1"/>
              <w:left w:val="single" w:color="2E4057" w:sz="1"/>
              <w:bottom w:val="single" w:color="2E4057" w:sz="1"/>
              <w:right w:val="single" w:color="2E4057" w:sz="1"/>
            </w:tcBorders>
            <w:shd w:fill="3D5A80" w:val="clear"/>
            <w:tcMar>
              <w:top w:type="dxa" w:w="80"/>
              <w:left w:type="dxa" w:w="100"/>
              <w:bottom w:type="dxa" w:w="80"/>
              <w:right w:type="dxa" w:w="100"/>
            </w:tcMar>
          </w:tcPr>
          <w:p>
            <w:pPr>
              <w:jc w:val="center"/>
            </w:pPr>
            <w:r>
              <w:rPr>
                <w:rFonts w:ascii="Arial" w:cs="Arial" w:eastAsia="Arial" w:hAnsi="Arial"/>
                <w:b/>
                <w:bCs/>
                <w:color w:val="FFFFFF"/>
                <w:sz w:val="18"/>
                <w:szCs w:val="18"/>
              </w:rPr>
              <w:t xml:space="preserve">Constants</w:t>
            </w:r>
          </w:p>
        </w:tc>
        <w:tc>
          <w:tcPr>
            <w:tcW w:type="dxa" w:w="1560"/>
            <w:tcBorders>
              <w:top w:val="single" w:color="2E4057" w:sz="1"/>
              <w:left w:val="single" w:color="2E4057" w:sz="1"/>
              <w:bottom w:val="single" w:color="2E4057" w:sz="1"/>
              <w:right w:val="single" w:color="2E4057" w:sz="1"/>
            </w:tcBorders>
            <w:shd w:fill="3D5A80" w:val="clear"/>
            <w:tcMar>
              <w:top w:type="dxa" w:w="80"/>
              <w:left w:type="dxa" w:w="100"/>
              <w:bottom w:type="dxa" w:w="80"/>
              <w:right w:type="dxa" w:w="100"/>
            </w:tcMar>
          </w:tcPr>
          <w:p>
            <w:pPr>
              <w:jc w:val="center"/>
            </w:pPr>
            <w:r>
              <w:rPr>
                <w:rFonts w:ascii="Arial" w:cs="Arial" w:eastAsia="Arial" w:hAnsi="Arial"/>
                <w:b/>
                <w:bCs/>
                <w:color w:val="FFFFFF"/>
                <w:sz w:val="18"/>
                <w:szCs w:val="18"/>
              </w:rPr>
              <w:t xml:space="preserve">Event Sequence</w:t>
            </w:r>
          </w:p>
        </w:tc>
        <w:tc>
          <w:tcPr>
            <w:tcW w:type="dxa" w:w="1320"/>
            <w:tcBorders>
              <w:top w:val="single" w:color="2E4057" w:sz="1"/>
              <w:left w:val="single" w:color="2E4057" w:sz="1"/>
              <w:bottom w:val="single" w:color="2E4057" w:sz="1"/>
              <w:right w:val="single" w:color="2E4057" w:sz="1"/>
            </w:tcBorders>
            <w:shd w:fill="3D5A80" w:val="clear"/>
            <w:tcMar>
              <w:top w:type="dxa" w:w="80"/>
              <w:left w:type="dxa" w:w="100"/>
              <w:bottom w:type="dxa" w:w="80"/>
              <w:right w:type="dxa" w:w="100"/>
            </w:tcMar>
          </w:tcPr>
          <w:p>
            <w:pPr>
              <w:jc w:val="center"/>
            </w:pPr>
            <w:r>
              <w:rPr>
                <w:rFonts w:ascii="Arial" w:cs="Arial" w:eastAsia="Arial" w:hAnsi="Arial"/>
                <w:b/>
                <w:bCs/>
                <w:color w:val="FFFFFF"/>
                <w:sz w:val="18"/>
                <w:szCs w:val="18"/>
              </w:rPr>
              <w:t xml:space="preserve">Rarity</w:t>
            </w:r>
          </w:p>
        </w:tc>
      </w:tr>
      <w:tr>
        <w:tc>
          <w:tcPr>
            <w:tcW w:type="dxa" w:w="1400"/>
            <w:tcBorders>
              <w:top w:val="single" w:color="CCCCCC" w:sz="1"/>
              <w:left w:val="single" w:color="CCCCCC" w:sz="1"/>
              <w:bottom w:val="single" w:color="CCCCCC" w:sz="1"/>
              <w:right w:val="single" w:color="CCCCCC" w:sz="1"/>
            </w:tcBorders>
            <w:shd w:fill="EEF2FF" w:val="clear"/>
            <w:tcMar>
              <w:top w:type="dxa" w:w="80"/>
              <w:left w:type="dxa" w:w="100"/>
              <w:bottom w:type="dxa" w:w="80"/>
              <w:right w:type="dxa" w:w="100"/>
            </w:tcMar>
          </w:tcPr>
          <w:p>
            <w:pPr>
              <w:jc w:val="center"/>
            </w:pPr>
            <w:r>
              <w:rPr>
                <w:rFonts w:ascii="Arial" w:cs="Arial" w:eastAsia="Arial" w:hAnsi="Arial"/>
                <w:sz w:val="18"/>
                <w:szCs w:val="18"/>
              </w:rPr>
              <w:t xml:space="preserve">Type I
Re-Projection</w:t>
            </w:r>
          </w:p>
        </w:tc>
        <w:tc>
          <w:tcPr>
            <w:tcW w:type="dxa" w:w="1560"/>
            <w:tcBorders>
              <w:top w:val="single" w:color="CCCCCC" w:sz="1"/>
              <w:left w:val="single" w:color="CCCCCC" w:sz="1"/>
              <w:bottom w:val="single" w:color="CCCCCC" w:sz="1"/>
              <w:right w:val="single" w:color="CCCCCC" w:sz="1"/>
            </w:tcBorders>
            <w:shd w:fill="EEF2FF" w:val="clear"/>
            <w:tcMar>
              <w:top w:type="dxa" w:w="80"/>
              <w:left w:type="dxa" w:w="100"/>
              <w:bottom w:type="dxa" w:w="80"/>
              <w:right w:type="dxa" w:w="100"/>
            </w:tcMar>
          </w:tcPr>
          <w:p>
            <w:pPr>
              <w:jc w:val="center"/>
            </w:pPr>
            <w:r>
              <w:rPr>
                <w:rFonts w:ascii="Arial" w:cs="Arial" w:eastAsia="Arial" w:hAnsi="Arial"/>
                <w:sz w:val="18"/>
                <w:szCs w:val="18"/>
              </w:rPr>
              <w:t xml:space="preserve">Continuous
sub-phase
window at
leading edge
of projection
depth</w:t>
            </w:r>
          </w:p>
        </w:tc>
        <w:tc>
          <w:tcPr>
            <w:tcW w:type="dxa" w:w="1560"/>
            <w:tcBorders>
              <w:top w:val="single" w:color="CCCCCC" w:sz="1"/>
              <w:left w:val="single" w:color="CCCCCC" w:sz="1"/>
              <w:bottom w:val="single" w:color="CCCCCC" w:sz="1"/>
              <w:right w:val="single" w:color="CCCCCC" w:sz="1"/>
            </w:tcBorders>
            <w:shd w:fill="EEF2FF" w:val="clear"/>
            <w:tcMar>
              <w:top w:type="dxa" w:w="80"/>
              <w:left w:type="dxa" w:w="100"/>
              <w:bottom w:type="dxa" w:w="80"/>
              <w:right w:type="dxa" w:w="100"/>
            </w:tcMar>
          </w:tcPr>
          <w:p>
            <w:pPr>
              <w:jc w:val="center"/>
            </w:pPr>
            <w:r>
              <w:rPr>
                <w:rFonts w:ascii="Arial" w:cs="Arial" w:eastAsia="Arial" w:hAnsi="Arial"/>
                <w:sz w:val="18"/>
                <w:szCs w:val="18"/>
              </w:rPr>
              <w:t xml:space="preserve">Lateral fork
from received-
but-uncommitted
indices in
sub-phase</w:t>
            </w:r>
          </w:p>
        </w:tc>
        <w:tc>
          <w:tcPr>
            <w:tcW w:type="dxa" w:w="1560"/>
            <w:tcBorders>
              <w:top w:val="single" w:color="CCCCCC" w:sz="1"/>
              <w:left w:val="single" w:color="CCCCCC" w:sz="1"/>
              <w:bottom w:val="single" w:color="CCCCCC" w:sz="1"/>
              <w:right w:val="single" w:color="CCCCCC" w:sz="1"/>
            </w:tcBorders>
            <w:shd w:fill="EEF2FF" w:val="clear"/>
            <w:tcMar>
              <w:top w:type="dxa" w:w="80"/>
              <w:left w:type="dxa" w:w="100"/>
              <w:bottom w:type="dxa" w:w="80"/>
              <w:right w:type="dxa" w:w="100"/>
            </w:tcMar>
          </w:tcPr>
          <w:p>
            <w:pPr>
              <w:jc w:val="center"/>
            </w:pPr>
            <w:r>
              <w:rPr>
                <w:rFonts w:ascii="Arial" w:cs="Arial" w:eastAsia="Arial" w:hAnsi="Arial"/>
                <w:sz w:val="18"/>
                <w:szCs w:val="18"/>
              </w:rPr>
              <w:t xml:space="preserve">Identical</w:t>
            </w:r>
          </w:p>
        </w:tc>
        <w:tc>
          <w:tcPr>
            <w:tcW w:type="dxa" w:w="1560"/>
            <w:tcBorders>
              <w:top w:val="single" w:color="CCCCCC" w:sz="1"/>
              <w:left w:val="single" w:color="CCCCCC" w:sz="1"/>
              <w:bottom w:val="single" w:color="CCCCCC" w:sz="1"/>
              <w:right w:val="single" w:color="CCCCCC" w:sz="1"/>
            </w:tcBorders>
            <w:shd w:fill="EEF2FF" w:val="clear"/>
            <w:tcMar>
              <w:top w:type="dxa" w:w="80"/>
              <w:left w:type="dxa" w:w="100"/>
              <w:bottom w:type="dxa" w:w="80"/>
              <w:right w:type="dxa" w:w="100"/>
            </w:tcMar>
          </w:tcPr>
          <w:p>
            <w:pPr>
              <w:jc w:val="center"/>
            </w:pPr>
            <w:r>
              <w:rPr>
                <w:rFonts w:ascii="Arial" w:cs="Arial" w:eastAsia="Arial" w:hAnsi="Arial"/>
                <w:sz w:val="18"/>
                <w:szCs w:val="18"/>
              </w:rPr>
              <w:t xml:space="preserve">Diverges at
fork point</w:t>
            </w:r>
          </w:p>
        </w:tc>
        <w:tc>
          <w:tcPr>
            <w:tcW w:type="dxa" w:w="1320"/>
            <w:tcBorders>
              <w:top w:val="single" w:color="CCCCCC" w:sz="1"/>
              <w:left w:val="single" w:color="CCCCCC" w:sz="1"/>
              <w:bottom w:val="single" w:color="CCCCCC" w:sz="1"/>
              <w:right w:val="single" w:color="CCCCCC" w:sz="1"/>
            </w:tcBorders>
            <w:shd w:fill="EEF2FF" w:val="clear"/>
            <w:tcMar>
              <w:top w:type="dxa" w:w="80"/>
              <w:left w:type="dxa" w:w="100"/>
              <w:bottom w:type="dxa" w:w="80"/>
              <w:right w:type="dxa" w:w="100"/>
            </w:tcMar>
          </w:tcPr>
          <w:p>
            <w:pPr>
              <w:jc w:val="center"/>
            </w:pPr>
            <w:r>
              <w:rPr>
                <w:rFonts w:ascii="Arial" w:cs="Arial" w:eastAsia="Arial" w:hAnsi="Arial"/>
                <w:sz w:val="18"/>
                <w:szCs w:val="18"/>
              </w:rPr>
              <w:t xml:space="preserve">Moderate —
gated by
entanglement
budget of
sub-phase
window</w:t>
            </w:r>
          </w:p>
        </w:tc>
      </w:tr>
      <w:tr>
        <w:tc>
          <w:tcPr>
            <w:tcW w:type="dxa" w:w="14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pPr>
              <w:jc w:val="center"/>
            </w:pPr>
            <w:r>
              <w:rPr>
                <w:rFonts w:ascii="Arial" w:cs="Arial" w:eastAsia="Arial" w:hAnsi="Arial"/>
                <w:sz w:val="18"/>
                <w:szCs w:val="18"/>
              </w:rPr>
              <w:t xml:space="preserve">Type II
Sub-Phase</w:t>
            </w:r>
          </w:p>
        </w:tc>
        <w:tc>
          <w:tcPr>
            <w:tcW w:type="dxa" w:w="156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pPr>
              <w:jc w:val="center"/>
            </w:pPr>
            <w:r>
              <w:rPr>
                <w:rFonts w:ascii="Arial" w:cs="Arial" w:eastAsia="Arial" w:hAnsi="Arial"/>
                <w:sz w:val="18"/>
                <w:szCs w:val="18"/>
              </w:rPr>
              <w:t xml:space="preserve">p_c sub-phase
at cosmological
inception;
alternate
global
equilibration</w:t>
            </w:r>
          </w:p>
        </w:tc>
        <w:tc>
          <w:tcPr>
            <w:tcW w:type="dxa" w:w="156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pPr>
              <w:jc w:val="center"/>
            </w:pPr>
            <w:r>
              <w:rPr>
                <w:rFonts w:ascii="Arial" w:cs="Arial" w:eastAsia="Arial" w:hAnsi="Arial"/>
                <w:sz w:val="18"/>
                <w:szCs w:val="18"/>
              </w:rPr>
              <w:t xml:space="preserve">Different
global
equilibration
path to
ρ_proj</w:t>
            </w:r>
          </w:p>
        </w:tc>
        <w:tc>
          <w:tcPr>
            <w:tcW w:type="dxa" w:w="156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pPr>
              <w:jc w:val="center"/>
            </w:pPr>
            <w:r>
              <w:rPr>
                <w:rFonts w:ascii="Arial" w:cs="Arial" w:eastAsia="Arial" w:hAnsi="Arial"/>
                <w:sz w:val="18"/>
                <w:szCs w:val="18"/>
              </w:rPr>
              <w:t xml:space="preserve">Identical</w:t>
            </w:r>
          </w:p>
        </w:tc>
        <w:tc>
          <w:tcPr>
            <w:tcW w:type="dxa" w:w="156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pPr>
              <w:jc w:val="center"/>
            </w:pPr>
            <w:r>
              <w:rPr>
                <w:rFonts w:ascii="Arial" w:cs="Arial" w:eastAsia="Arial" w:hAnsi="Arial"/>
                <w:sz w:val="18"/>
                <w:szCs w:val="18"/>
              </w:rPr>
              <w:t xml:space="preserve">Different
from ρ_proj
onward</w:t>
            </w:r>
          </w:p>
        </w:tc>
        <w:tc>
          <w:tcPr>
            <w:tcW w:type="dxa" w:w="132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pPr>
              <w:jc w:val="center"/>
            </w:pPr>
            <w:r>
              <w:rPr>
                <w:rFonts w:ascii="Arial" w:cs="Arial" w:eastAsia="Arial" w:hAnsi="Arial"/>
                <w:sz w:val="18"/>
                <w:szCs w:val="18"/>
              </w:rPr>
              <w:t xml:space="preserve">Low — requires
alternate
global
equilibration</w:t>
            </w:r>
          </w:p>
        </w:tc>
      </w:tr>
      <w:tr>
        <w:tc>
          <w:tcPr>
            <w:tcW w:type="dxa" w:w="1400"/>
            <w:tcBorders>
              <w:top w:val="single" w:color="CCCCCC" w:sz="1"/>
              <w:left w:val="single" w:color="CCCCCC" w:sz="1"/>
              <w:bottom w:val="single" w:color="CCCCCC" w:sz="1"/>
              <w:right w:val="single" w:color="CCCCCC" w:sz="1"/>
            </w:tcBorders>
            <w:shd w:fill="FFF8E7" w:val="clear"/>
            <w:tcMar>
              <w:top w:type="dxa" w:w="80"/>
              <w:left w:type="dxa" w:w="100"/>
              <w:bottom w:type="dxa" w:w="80"/>
              <w:right w:type="dxa" w:w="100"/>
            </w:tcMar>
          </w:tcPr>
          <w:p>
            <w:pPr>
              <w:jc w:val="center"/>
            </w:pPr>
            <w:r>
              <w:rPr>
                <w:rFonts w:ascii="Arial" w:cs="Arial" w:eastAsia="Arial" w:hAnsi="Arial"/>
                <w:sz w:val="18"/>
                <w:szCs w:val="18"/>
              </w:rPr>
              <w:t xml:space="preserve">Type III
Pre-Geometric</w:t>
            </w:r>
          </w:p>
        </w:tc>
        <w:tc>
          <w:tcPr>
            <w:tcW w:type="dxa" w:w="1560"/>
            <w:tcBorders>
              <w:top w:val="single" w:color="CCCCCC" w:sz="1"/>
              <w:left w:val="single" w:color="CCCCCC" w:sz="1"/>
              <w:bottom w:val="single" w:color="CCCCCC" w:sz="1"/>
              <w:right w:val="single" w:color="CCCCCC" w:sz="1"/>
            </w:tcBorders>
            <w:shd w:fill="FFF8E7" w:val="clear"/>
            <w:tcMar>
              <w:top w:type="dxa" w:w="80"/>
              <w:left w:type="dxa" w:w="100"/>
              <w:bottom w:type="dxa" w:w="80"/>
              <w:right w:type="dxa" w:w="100"/>
            </w:tcMar>
          </w:tcPr>
          <w:p>
            <w:pPr>
              <w:jc w:val="center"/>
            </w:pPr>
            <w:r>
              <w:rPr>
                <w:rFonts w:ascii="Arial" w:cs="Arial" w:eastAsia="Arial" w:hAnsi="Arial"/>
                <w:sz w:val="18"/>
                <w:szCs w:val="18"/>
              </w:rPr>
              <w:t xml:space="preserve">Pre-ρ_c
unaddressed
bitstream</w:t>
            </w:r>
          </w:p>
        </w:tc>
        <w:tc>
          <w:tcPr>
            <w:tcW w:type="dxa" w:w="1560"/>
            <w:tcBorders>
              <w:top w:val="single" w:color="CCCCCC" w:sz="1"/>
              <w:left w:val="single" w:color="CCCCCC" w:sz="1"/>
              <w:bottom w:val="single" w:color="CCCCCC" w:sz="1"/>
              <w:right w:val="single" w:color="CCCCCC" w:sz="1"/>
            </w:tcBorders>
            <w:shd w:fill="FFF8E7" w:val="clear"/>
            <w:tcMar>
              <w:top w:type="dxa" w:w="80"/>
              <w:left w:type="dxa" w:w="100"/>
              <w:bottom w:type="dxa" w:w="80"/>
              <w:right w:type="dxa" w:w="100"/>
            </w:tcMar>
          </w:tcPr>
          <w:p>
            <w:pPr>
              <w:jc w:val="center"/>
            </w:pPr>
            <w:r>
              <w:rPr>
                <w:rFonts w:ascii="Arial" w:cs="Arial" w:eastAsia="Arial" w:hAnsi="Arial"/>
                <w:sz w:val="18"/>
                <w:szCs w:val="18"/>
              </w:rPr>
              <w:t xml:space="preserve">Alternative
surface
percolation
from same
bitstream</w:t>
            </w:r>
          </w:p>
        </w:tc>
        <w:tc>
          <w:tcPr>
            <w:tcW w:type="dxa" w:w="1560"/>
            <w:tcBorders>
              <w:top w:val="single" w:color="CCCCCC" w:sz="1"/>
              <w:left w:val="single" w:color="CCCCCC" w:sz="1"/>
              <w:bottom w:val="single" w:color="CCCCCC" w:sz="1"/>
              <w:right w:val="single" w:color="CCCCCC" w:sz="1"/>
            </w:tcBorders>
            <w:shd w:fill="FFF8E7" w:val="clear"/>
            <w:tcMar>
              <w:top w:type="dxa" w:w="80"/>
              <w:left w:type="dxa" w:w="100"/>
              <w:bottom w:type="dxa" w:w="80"/>
              <w:right w:type="dxa" w:w="100"/>
            </w:tcMar>
          </w:tcPr>
          <w:p>
            <w:pPr>
              <w:jc w:val="center"/>
            </w:pPr>
            <w:r>
              <w:rPr>
                <w:rFonts w:ascii="Arial" w:cs="Arial" w:eastAsia="Arial" w:hAnsi="Arial"/>
                <w:sz w:val="18"/>
                <w:szCs w:val="18"/>
              </w:rPr>
              <w:t xml:space="preserve">Same
Hamiltonian;
structure
may differ</w:t>
            </w:r>
          </w:p>
        </w:tc>
        <w:tc>
          <w:tcPr>
            <w:tcW w:type="dxa" w:w="1560"/>
            <w:tcBorders>
              <w:top w:val="single" w:color="CCCCCC" w:sz="1"/>
              <w:left w:val="single" w:color="CCCCCC" w:sz="1"/>
              <w:bottom w:val="single" w:color="CCCCCC" w:sz="1"/>
              <w:right w:val="single" w:color="CCCCCC" w:sz="1"/>
            </w:tcBorders>
            <w:shd w:fill="FFF8E7" w:val="clear"/>
            <w:tcMar>
              <w:top w:type="dxa" w:w="80"/>
              <w:left w:type="dxa" w:w="100"/>
              <w:bottom w:type="dxa" w:w="80"/>
              <w:right w:type="dxa" w:w="100"/>
            </w:tcMar>
          </w:tcPr>
          <w:p>
            <w:pPr>
              <w:jc w:val="center"/>
            </w:pPr>
            <w:r>
              <w:rPr>
                <w:rFonts w:ascii="Arial" w:cs="Arial" w:eastAsia="Arial" w:hAnsi="Arial"/>
                <w:sz w:val="18"/>
                <w:szCs w:val="18"/>
              </w:rPr>
              <w:t xml:space="preserve">Entirely
distinct</w:t>
            </w:r>
          </w:p>
        </w:tc>
        <w:tc>
          <w:tcPr>
            <w:tcW w:type="dxa" w:w="1320"/>
            <w:tcBorders>
              <w:top w:val="single" w:color="CCCCCC" w:sz="1"/>
              <w:left w:val="single" w:color="CCCCCC" w:sz="1"/>
              <w:bottom w:val="single" w:color="CCCCCC" w:sz="1"/>
              <w:right w:val="single" w:color="CCCCCC" w:sz="1"/>
            </w:tcBorders>
            <w:shd w:fill="FFF8E7" w:val="clear"/>
            <w:tcMar>
              <w:top w:type="dxa" w:w="80"/>
              <w:left w:type="dxa" w:w="100"/>
              <w:bottom w:type="dxa" w:w="80"/>
              <w:right w:type="dxa" w:w="100"/>
            </w:tcMar>
          </w:tcPr>
          <w:p>
            <w:pPr>
              <w:jc w:val="center"/>
            </w:pPr>
            <w:r>
              <w:rPr>
                <w:rFonts w:ascii="Arial" w:cs="Arial" w:eastAsia="Arial" w:hAnsi="Arial"/>
                <w:sz w:val="18"/>
                <w:szCs w:val="18"/>
              </w:rPr>
              <w:t xml:space="preserve">Very rare —
alternate
surface
percolation</w:t>
            </w:r>
          </w:p>
        </w:tc>
      </w:tr>
    </w:tbl>
    <w:p>
      <w:pPr>
        <w:spacing w:before="80" w:after="80"/>
      </w:pPr>
    </w:p>
    <w:p>
      <w:pPr>
        <w:spacing w:before="100" w:after="160" w:line="276"/>
        <w:jc w:val="both"/>
      </w:pPr>
      <w:r>
        <w:rPr>
          <w:rFonts w:ascii="Arial" w:cs="Arial" w:eastAsia="Arial" w:hAnsi="Arial"/>
          <w:sz w:val="22"/>
          <w:szCs w:val="22"/>
        </w:rPr>
        <w:t xml:space="preserve">The most significant revision is to Type I. In the primary document, Type I branches were described as arising from closed projection loops — re-projections from earlier bitstream indices. Under this reformulation, Type I branches arise from lateral forks within the continuous sub-phase window at the leading edge of any projection depth. The result is the same: a new forward projection that shares all physics and constants with the original, diverging only in its event sequence from the fork point. The mechanism is more precisely located.</w:t>
      </w:r>
    </w:p>
    <w:p>
      <w:pPr>
        <w:pBdr>
          <w:bottom w:val="single" w:color="2E4057" w:sz="6" w:space="1"/>
        </w:pBdr>
        <w:spacing w:before="240" w:after="240"/>
      </w:pPr>
    </w:p>
    <w:p>
      <w:pPr>
        <w:pStyle w:val="Heading1"/>
        <w:spacing w:before="360" w:after="200"/>
      </w:pPr>
      <w:r>
        <w:rPr>
          <w:rFonts w:ascii="Arial" w:cs="Arial" w:eastAsia="Arial" w:hAnsi="Arial"/>
          <w:b/>
          <w:bCs/>
          <w:color w:val="2E4057"/>
          <w:sz w:val="28"/>
          <w:szCs w:val="28"/>
        </w:rPr>
        <w:t xml:space="preserve">A.7  What This Reformulation Achieves</w:t>
      </w:r>
    </w:p>
    <w:p>
      <w:pPr>
        <w:spacing w:before="100" w:after="160" w:line="276"/>
        <w:jc w:val="both"/>
      </w:pPr>
      <w:r>
        <w:rPr>
          <w:rFonts w:ascii="Arial" w:cs="Arial" w:eastAsia="Arial" w:hAnsi="Arial"/>
          <w:sz w:val="22"/>
          <w:szCs w:val="22"/>
        </w:rPr>
        <w:t xml:space="preserve">The reformulation produces four improvements over the original proposal:</w:t>
      </w:r>
    </w:p>
    <w:p>
      <w:pPr>
        <w:spacing w:before="80" w:after="80"/>
      </w:pPr>
    </w:p>
    <w:p>
      <w:pPr>
        <w:spacing w:before="200" w:after="120"/>
      </w:pPr>
      <w:r>
        <w:rPr>
          <w:rFonts w:ascii="Arial" w:cs="Arial" w:eastAsia="Arial" w:hAnsi="Arial"/>
          <w:b/>
          <w:bCs/>
          <w:color w:val="3D5A80"/>
          <w:sz w:val="22"/>
          <w:szCs w:val="22"/>
        </w:rPr>
        <w:t xml:space="preserve">1.  The mechanical gap is closed.</w:t>
      </w:r>
    </w:p>
    <w:p>
      <w:pPr>
        <w:spacing w:before="100" w:after="160" w:line="276"/>
        <w:jc w:val="both"/>
      </w:pPr>
      <w:r>
        <w:rPr>
          <w:rFonts w:ascii="Arial" w:cs="Arial" w:eastAsia="Arial" w:hAnsi="Arial"/>
          <w:sz w:val="22"/>
          <w:szCs w:val="22"/>
        </w:rPr>
        <w:t xml:space="preserve">The original proposal asserted that re-indexing to a prior bitstream state was architecturally available without specifying the mechanism. The reformulation eliminates the need for re-indexing entirely. The fork operates on the continuous sub-phase window at the projection frontier — indices that are structurally available without any backward seek of the read-head.</w:t>
      </w:r>
    </w:p>
    <w:p>
      <w:pPr>
        <w:spacing w:before="80" w:after="80"/>
      </w:pPr>
    </w:p>
    <w:p>
      <w:pPr>
        <w:spacing w:before="200" w:after="120"/>
      </w:pPr>
      <w:r>
        <w:rPr>
          <w:rFonts w:ascii="Arial" w:cs="Arial" w:eastAsia="Arial" w:hAnsi="Arial"/>
          <w:b/>
          <w:bCs/>
          <w:color w:val="3D5A80"/>
          <w:sz w:val="22"/>
          <w:szCs w:val="22"/>
        </w:rPr>
        <w:t xml:space="preserve">2.  The fork requires no special conditions.</w:t>
      </w:r>
    </w:p>
    <w:p>
      <w:pPr>
        <w:spacing w:before="100" w:after="160" w:line="276"/>
        <w:jc w:val="both"/>
      </w:pPr>
      <w:r>
        <w:rPr>
          <w:rFonts w:ascii="Arial" w:cs="Arial" w:eastAsia="Arial" w:hAnsi="Arial"/>
          <w:sz w:val="22"/>
          <w:szCs w:val="22"/>
        </w:rPr>
        <w:t xml:space="preserve">The sub-phase window is a continuous structural feature of the projection process, not a rare or exceptional state. The fork architecture is as omnipresent as the projection itself. This strengthens the proposal: the mechanism is not contingent on accessing unusual configurations of the bitstream.</w:t>
      </w:r>
    </w:p>
    <w:p>
      <w:pPr>
        <w:spacing w:before="80" w:after="80"/>
      </w:pPr>
    </w:p>
    <w:p>
      <w:pPr>
        <w:spacing w:before="200" w:after="120"/>
      </w:pPr>
      <w:r>
        <w:rPr>
          <w:rFonts w:ascii="Arial" w:cs="Arial" w:eastAsia="Arial" w:hAnsi="Arial"/>
          <w:b/>
          <w:bCs/>
          <w:color w:val="3D5A80"/>
          <w:sz w:val="22"/>
          <w:szCs w:val="22"/>
        </w:rPr>
        <w:t xml:space="preserve">3.  The Novikov constraint is more precisely located.</w:t>
      </w:r>
    </w:p>
    <w:p>
      <w:pPr>
        <w:spacing w:before="100" w:after="160" w:line="276"/>
        <w:jc w:val="both"/>
      </w:pPr>
      <w:r>
        <w:rPr>
          <w:rFonts w:ascii="Arial" w:cs="Arial" w:eastAsia="Arial" w:hAnsi="Arial"/>
          <w:sz w:val="22"/>
          <w:szCs w:val="22"/>
        </w:rPr>
        <w:t xml:space="preserve">The consistency gate was previously described in terms of entanglement compatibility with a prior bitstream segment. It is now precisely located as the entanglement budget of the sub-phase window at the moment of branching. This is a tighter and more formally specifiable constraint.</w:t>
      </w:r>
    </w:p>
    <w:p>
      <w:pPr>
        <w:spacing w:before="80" w:after="80"/>
      </w:pPr>
    </w:p>
    <w:p>
      <w:pPr>
        <w:spacing w:before="200" w:after="120"/>
      </w:pPr>
      <w:r>
        <w:rPr>
          <w:rFonts w:ascii="Arial" w:cs="Arial" w:eastAsia="Arial" w:hAnsi="Arial"/>
          <w:b/>
          <w:bCs/>
          <w:color w:val="3D5A80"/>
          <w:sz w:val="22"/>
          <w:szCs w:val="22"/>
        </w:rPr>
        <w:t xml:space="preserve">4.  The multiverse is understood as ongoing, not historical.</w:t>
      </w:r>
    </w:p>
    <w:p>
      <w:pPr>
        <w:spacing w:before="100" w:after="160" w:line="276"/>
        <w:jc w:val="both"/>
      </w:pPr>
      <w:r>
        <w:rPr>
          <w:rFonts w:ascii="Arial" w:cs="Arial" w:eastAsia="Arial" w:hAnsi="Arial"/>
          <w:sz w:val="22"/>
          <w:szCs w:val="22"/>
        </w:rPr>
        <w:t xml:space="preserve">The three branch types were previously anchored to specific phases of cosmological evolution. Under the reformulation, Type I branching is understood as a continuous feature of the projection process — the sub-phase window is perpetually open at the leading edge of projection depth. The multiverse is not a structure that formed at inception and then closed. It is actively generated at every moment of the projection process, within the limits of the Hamiltonian-gated entanglement budget.</w:t>
      </w:r>
    </w:p>
    <w:p>
      <w:pPr>
        <w:pBdr>
          <w:bottom w:val="single" w:color="2E4057" w:sz="6" w:space="1"/>
        </w:pBdr>
        <w:spacing w:before="240" w:after="240"/>
      </w:pPr>
    </w:p>
    <w:p>
      <w:pPr>
        <w:pStyle w:val="Heading1"/>
        <w:spacing w:before="360" w:after="200"/>
      </w:pPr>
      <w:r>
        <w:rPr>
          <w:rFonts w:ascii="Arial" w:cs="Arial" w:eastAsia="Arial" w:hAnsi="Arial"/>
          <w:b/>
          <w:bCs/>
          <w:color w:val="2E4057"/>
          <w:sz w:val="28"/>
          <w:szCs w:val="28"/>
        </w:rPr>
        <w:t xml:space="preserve">Conclusions</w:t>
      </w:r>
    </w:p>
    <w:p>
      <w:pPr>
        <w:spacing w:before="100" w:after="160" w:line="276"/>
        <w:jc w:val="both"/>
      </w:pPr>
      <w:r>
        <w:rPr>
          <w:rFonts w:ascii="Arial" w:cs="Arial" w:eastAsia="Arial" w:hAnsi="Arial"/>
          <w:sz w:val="22"/>
          <w:szCs w:val="22"/>
        </w:rPr>
        <w:t xml:space="preserve">This addendum has refined the fork mechanism of the time travel proposal without retracting any of its conclusions. The refinement is architectural: the accessible sequencing for branching is located in the continuous sub-phase window between ρ_c(ent) and ρ_proj, which is perpetually present at the leading edge of projection depth. The fork is a lateral branch from received-but-uncommitted indices — not a backward seek through the primary bitstream archive.</w:t>
      </w:r>
    </w:p>
    <w:p>
      <w:pPr>
        <w:spacing w:before="100" w:after="160" w:line="276"/>
        <w:jc w:val="both"/>
      </w:pPr>
      <w:r>
        <w:rPr>
          <w:rFonts w:ascii="Arial" w:cs="Arial" w:eastAsia="Arial" w:hAnsi="Arial"/>
          <w:sz w:val="22"/>
          <w:szCs w:val="22"/>
        </w:rPr>
        <w:t xml:space="preserve">This reformulation is consistent with every conservation law implied in the foundational framework. Unitarity is preserved because the fork is a projection operation on already-received information. Entanglement is preserved because the fork operates at the substrate level upstream of 3D particle correlations. The arrow of time is preserved because reception remains unidirectional in every branch. Causal consistency is preserved because the fork operates on indices that have not yet been committed to 3D geometry.</w:t>
      </w:r>
    </w:p>
    <w:p>
      <w:pPr>
        <w:spacing w:before="100" w:after="160" w:line="276"/>
        <w:jc w:val="both"/>
      </w:pPr>
      <w:r>
        <w:rPr>
          <w:rFonts w:ascii="Arial" w:cs="Arial" w:eastAsia="Arial" w:hAnsi="Arial"/>
          <w:sz w:val="22"/>
          <w:szCs w:val="22"/>
        </w:rPr>
        <w:t xml:space="preserve">The sub-phase window is not a special condition. It is structurally guaranteed at every moment by the same receiver/projector architecture that produces the projection itself. The mechanism requires no new physics, no new operators, and no new parameters — only the continuous application of the framework's existing machinery to the structure it generates at its own leading edge.</w:t>
      </w:r>
    </w:p>
    <w:p>
      <w:pPr>
        <w:spacing w:before="80" w:after="80"/>
      </w:pPr>
    </w:p>
    <w:p>
      <w:pPr>
        <w:pBdr>
          <w:left w:val="single" w:color="3D5A80" w:sz="12" w:space="10"/>
        </w:pBdr>
        <w:spacing w:before="160" w:after="160" w:line="276"/>
        <w:ind w:left="720" w:right="720"/>
      </w:pPr>
      <w:r>
        <w:rPr>
          <w:rFonts w:ascii="Arial" w:cs="Arial" w:eastAsia="Arial" w:hAnsi="Arial"/>
          <w:i/>
          <w:iCs/>
          <w:color w:val="333333"/>
          <w:sz w:val="22"/>
          <w:szCs w:val="22"/>
        </w:rPr>
        <w:t xml:space="preserve">The fork does not reach backward. It branches laterally, at the frontier where reception has outrun rendering. The universe does not re-read itself — it reads what it has already received but not yet placed. The sub-phase window is where the future is still undecided, and it is always open.</w:t>
      </w:r>
    </w:p>
    <w:p>
      <w:pPr>
        <w:spacing w:before="80" w:after="80"/>
      </w:pPr>
    </w:p>
    <w:p>
      <w:pPr>
        <w:spacing w:before="200" w:after="200"/>
        <w:jc w:val="center"/>
      </w:pPr>
      <w:r>
        <w:rPr>
          <w:rFonts w:ascii="Arial" w:cs="Arial" w:eastAsia="Arial" w:hAnsi="Arial"/>
          <w:b/>
          <w:bCs/>
          <w:color w:val="2E4057"/>
          <w:sz w:val="28"/>
          <w:szCs w:val="28"/>
        </w:rPr>
        <w:t xml:space="preserve">+|× = U</w:t>
      </w:r>
    </w:p>
    <w:p>
      <w:pPr>
        <w:spacing w:before="0" w:after="0"/>
        <w:jc w:val="center"/>
      </w:pPr>
      <w:r>
        <w:rPr>
          <w:rFonts w:ascii="Arial" w:cs="Arial" w:eastAsia="Arial" w:hAnsi="Arial"/>
          <w:i/>
          <w:iCs/>
          <w:color w:val="555555"/>
          <w:sz w:val="20"/>
          <w:szCs w:val="20"/>
        </w:rPr>
        <w:t xml:space="preserve">All times. All branches. One tension. One conservation law.</w:t>
      </w:r>
    </w:p>
    <w:p>
      <w:pPr>
        <w:pBdr>
          <w:bottom w:val="single" w:color="2E4057" w:sz="6" w:space="1"/>
        </w:pBdr>
        <w:spacing w:before="240" w:after="240"/>
      </w:pPr>
    </w:p>
    <w:p>
      <w:pPr>
        <w:pStyle w:val="Heading1"/>
        <w:spacing w:before="360" w:after="200"/>
      </w:pPr>
      <w:r>
        <w:rPr>
          <w:rFonts w:ascii="Arial" w:cs="Arial" w:eastAsia="Arial" w:hAnsi="Arial"/>
          <w:b/>
          <w:bCs/>
          <w:color w:val="2E4057"/>
          <w:sz w:val="28"/>
          <w:szCs w:val="28"/>
        </w:rPr>
        <w:t xml:space="preserve">References</w:t>
      </w:r>
    </w:p>
    <w:p>
      <w:pPr>
        <w:spacing w:before="100" w:after="160" w:line="276"/>
        <w:jc w:val="both"/>
      </w:pPr>
      <w:r>
        <w:rPr>
          <w:rFonts w:ascii="Arial" w:cs="Arial" w:eastAsia="Arial" w:hAnsi="Arial"/>
          <w:sz w:val="22"/>
          <w:szCs w:val="22"/>
        </w:rPr>
        <w:t xml:space="preserve">Squire, J. (2026). The Qubit Universe: From Primitive Tension to Spacetime, Matter, and the Big Bang. Extended Edition. [Primary source framework for all proposals in this document and this addendum.]</w:t>
      </w:r>
    </w:p>
    <w:p>
      <w:pPr>
        <w:spacing w:before="100" w:after="160" w:line="276"/>
        <w:jc w:val="both"/>
      </w:pPr>
      <w:r>
        <w:rPr>
          <w:rFonts w:ascii="Arial" w:cs="Arial" w:eastAsia="Arial" w:hAnsi="Arial"/>
          <w:sz w:val="22"/>
          <w:szCs w:val="22"/>
        </w:rPr>
        <w:t xml:space="preserve">Squire, J. (2026). Temporal Projection &amp; the Multiverse: A Formal Proposal for Time Travel and Multiversal Branching. [Primary document to which this addendum applies.]</w:t>
      </w:r>
    </w:p>
    <w:p>
      <w:pPr>
        <w:spacing w:before="100" w:after="160" w:line="276"/>
        <w:jc w:val="both"/>
      </w:pPr>
      <w:r>
        <w:rPr>
          <w:rFonts w:ascii="Arial" w:cs="Arial" w:eastAsia="Arial" w:hAnsi="Arial"/>
          <w:sz w:val="22"/>
          <w:szCs w:val="22"/>
        </w:rPr>
        <w:t xml:space="preserve">Novikov, I.D. (1989). An analysis of the operation of a time machine. Soviet Physics JETP, 68, 439–443.</w:t>
      </w:r>
    </w:p>
    <w:p>
      <w:pPr>
        <w:spacing w:before="100" w:after="160" w:line="276"/>
        <w:jc w:val="both"/>
      </w:pPr>
      <w:r>
        <w:rPr>
          <w:rFonts w:ascii="Arial" w:cs="Arial" w:eastAsia="Arial" w:hAnsi="Arial"/>
          <w:sz w:val="22"/>
          <w:szCs w:val="22"/>
        </w:rPr>
        <w:t xml:space="preserve">Calabrese, P. &amp; Cardy, J. (2005). Evolution of entanglement entropy after quantum quenches. arXiv:cond-mat/0503393.</w:t>
      </w:r>
    </w:p>
    <w:p>
      <w:pPr>
        <w:spacing w:before="100" w:after="160" w:line="276"/>
        <w:jc w:val="both"/>
      </w:pPr>
      <w:r>
        <w:rPr>
          <w:rFonts w:ascii="Arial" w:cs="Arial" w:eastAsia="Arial" w:hAnsi="Arial"/>
          <w:sz w:val="22"/>
          <w:szCs w:val="22"/>
        </w:rPr>
        <w:t xml:space="preserve">Van Raamsdonk, M. (2010). Building up spacetime with quantum entanglement. General Relativity and Gravitation, 42, 2323–2329.</w:t>
      </w:r>
    </w:p>
    <w:p>
      <w:pPr>
        <w:spacing w:before="100" w:after="160" w:line="276"/>
        <w:jc w:val="both"/>
      </w:pPr>
      <w:r>
        <w:rPr>
          <w:rFonts w:ascii="Arial" w:cs="Arial" w:eastAsia="Arial" w:hAnsi="Arial"/>
          <w:sz w:val="22"/>
          <w:szCs w:val="22"/>
        </w:rPr>
        <w:t xml:space="preserve">Maldacena, J. &amp; Susskind, L. (2013). Cool horizons for entangled black holes. Fortschritte der Physik, 61, 781–811.</w:t>
      </w:r>
    </w:p>
    <w:p>
      <w:pPr>
        <w:spacing w:before="100" w:after="160" w:line="276"/>
        <w:jc w:val="both"/>
      </w:pPr>
      <w:r>
        <w:rPr>
          <w:rFonts w:ascii="Arial" w:cs="Arial" w:eastAsia="Arial" w:hAnsi="Arial"/>
          <w:sz w:val="22"/>
          <w:szCs w:val="22"/>
        </w:rPr>
        <w:t xml:space="preserve">Almheiri, A. et al. (2019–2020). The entropy of Hawking radiation. Reviews of Modern Physics, 93, 035002.</w:t>
      </w:r>
    </w:p>
    <w:p>
      <w:pPr>
        <w:spacing w:before="100" w:after="160" w:line="276"/>
        <w:jc w:val="both"/>
      </w:pPr>
      <w:r>
        <w:rPr>
          <w:rFonts w:ascii="Arial" w:cs="Arial" w:eastAsia="Arial" w:hAnsi="Arial"/>
          <w:sz w:val="22"/>
          <w:szCs w:val="22"/>
        </w:rPr>
        <w:t xml:space="preserve">Deutsch, D. (1991). Quantum mechanics near closed timelike lines. Physical Review D, 44, 3197.</w:t>
      </w:r>
    </w:p>
    <w:sectPr>
      <w:footerReference w:type="default" r:id="rId6"/>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888888"/>
        <w:sz w:val="18"/>
        <w:szCs w:val="18"/>
      </w:rPr>
      <w:t xml:space="preserve">Temporal Projection &amp; the Multiverse — Addendum A  |  </w:t>
    </w:r>
    <w:r>
      <w:rPr>
        <w:rFonts w:ascii="Arial" w:cs="Arial" w:eastAsia="Arial" w:hAnsi="Arial"/>
        <w:color w:val="888888"/>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60" w:after="200"/>
      <w:outlineLvl w:val="0"/>
    </w:pPr>
    <w:rPr>
      <w:rFonts w:ascii="Arial" w:cs="Arial" w:eastAsia="Arial" w:hAnsi="Arial"/>
      <w:b/>
      <w:bCs/>
      <w:color w:val="2E4057"/>
      <w:sz w:val="28"/>
      <w:szCs w:val="28"/>
    </w:rPr>
  </w:style>
  <w:style w:type="paragraph" w:styleId="Heading2">
    <w:name w:val="Heading 2"/>
    <w:basedOn w:val="Normal"/>
    <w:next w:val="Normal"/>
    <w:qFormat/>
    <w:pPr>
      <w:spacing w:before="280" w:after="160"/>
      <w:outlineLvl w:val="1"/>
    </w:pPr>
    <w:rPr>
      <w:rFonts w:ascii="Arial" w:cs="Arial" w:eastAsia="Arial" w:hAnsi="Arial"/>
      <w:b/>
      <w:bCs/>
      <w:color w:val="2E4057"/>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oter" Target="footer1.xml"/><Relationship Id="rId7"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2026-03-19T16:34:25.749Z</dcterms:created>
  <dcterms:modified xsi:type="dcterms:W3CDTF">2026-03-19T16:34:25.749Z</dcterms:modified>
</cp:coreProperties>
</file>

<file path=docProps/custom.xml><?xml version="1.0" encoding="utf-8"?>
<Properties xmlns="http://schemas.openxmlformats.org/officeDocument/2006/custom-properties" xmlns:vt="http://schemas.openxmlformats.org/officeDocument/2006/docPropsVTypes"/>
</file>