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C2C2A"/>
          <w:sz w:val="40"/>
          <w:szCs w:val="40"/>
        </w:rPr>
        <w:t xml:space="preserve">TEMPORAL PROJECTION &amp; THE MULTIVERSE</w:t>
      </w:r>
    </w:p>
    <w:p>
      <w:pPr>
        <w:spacing w:before="0" w:after="80"/>
        <w:jc w:val="center"/>
      </w:pPr>
      <w:r>
        <w:rPr>
          <w:rFonts w:ascii="Arial" w:cs="Arial" w:eastAsia="Arial" w:hAnsi="Arial"/>
          <w:i/>
          <w:iCs/>
          <w:color w:val="5F5E5A"/>
          <w:sz w:val="28"/>
          <w:szCs w:val="28"/>
        </w:rPr>
        <w:t xml:space="preserve">Addendum B — Extended Edition</w:t>
      </w:r>
    </w:p>
    <w:p>
      <w:pPr>
        <w:spacing w:before="0" w:after="80"/>
        <w:jc w:val="center"/>
      </w:pPr>
      <w:r>
        <w:rPr>
          <w:rFonts w:ascii="Arial" w:cs="Arial" w:eastAsia="Arial" w:hAnsi="Arial"/>
          <w:i/>
          <w:iCs/>
          <w:color w:val="5F5E5A"/>
          <w:sz w:val="24"/>
          <w:szCs w:val="24"/>
        </w:rPr>
        <w:t xml:space="preserve">The Topological Layer Account, the Lateral Fork,</w:t>
      </w:r>
    </w:p>
    <w:p>
      <w:pPr>
        <w:spacing w:before="0" w:after="80"/>
        <w:jc w:val="center"/>
      </w:pPr>
      <w:r>
        <w:rPr>
          <w:rFonts w:ascii="Arial" w:cs="Arial" w:eastAsia="Arial" w:hAnsi="Arial"/>
          <w:i/>
          <w:iCs/>
          <w:color w:val="5F5E5A"/>
          <w:sz w:val="24"/>
          <w:szCs w:val="24"/>
        </w:rPr>
        <w:t xml:space="preserve">and the Complete Coupling Mechanism</w:t>
      </w:r>
    </w:p>
    <w:p>
      <w:pPr>
        <w:spacing w:before="80" w:after="80"/>
        <w:jc w:val="center"/>
      </w:pPr>
      <w:r>
        <w:rPr>
          <w:rFonts w:ascii="Arial" w:cs="Arial" w:eastAsia="Arial" w:hAnsi="Arial"/>
          <w:color w:val="5F5E5A"/>
          <w:sz w:val="20"/>
          <w:szCs w:val="20"/>
        </w:rPr>
        <w:t xml:space="preserve">James Squire  |  March 2026  |  Derived from the Qubit Universe Framework</w:t>
      </w:r>
    </w:p>
    <w:p>
      <w:pPr>
        <w:spacing w:before="160" w:after="160"/>
        <w:jc w:val="center"/>
      </w:pPr>
      <w:r>
        <w:rPr>
          <w:rFonts w:ascii="Courier New" w:cs="Courier New" w:eastAsia="Courier New" w:hAnsi="Courier New"/>
          <w:b/>
          <w:bCs/>
          <w:color w:val="534AB7"/>
          <w:sz w:val="24"/>
          <w:szCs w:val="24"/>
        </w:rPr>
        <w:t xml:space="preserve">+|x = U</w:t>
      </w:r>
    </w:p>
    <w:p>
      <w:pPr>
        <w:pBdr>
          <w:bottom w:val="single" w:color="CCCCCC" w:sz="4" w:space="1"/>
        </w:pBdr>
        <w:spacing w:before="240" w:after="240"/>
      </w:pPr>
      <w:r>
        <w:t xml:space="preserve"/>
      </w:r>
    </w:p>
    <w:p>
      <w:pPr>
        <w:pStyle w:val="Heading1"/>
        <w:spacing w:before="360" w:after="180"/>
      </w:pPr>
      <w:r>
        <w:rPr>
          <w:rFonts w:ascii="Arial" w:cs="Arial" w:eastAsia="Arial" w:hAnsi="Arial"/>
          <w:b/>
          <w:bCs/>
          <w:color w:val="2C2C2A"/>
          <w:sz w:val="32"/>
          <w:szCs w:val="32"/>
        </w:rPr>
        <w:t xml:space="preserve">Preamble</w:t>
      </w:r>
    </w:p>
    <w:p>
      <w:pPr>
        <w:spacing w:before="100" w:after="140"/>
      </w:pPr>
      <w:r>
        <w:rPr>
          <w:rFonts w:ascii="Arial" w:cs="Arial" w:eastAsia="Arial" w:hAnsi="Arial"/>
          <w:color w:val="2C2C2A"/>
          <w:sz w:val="22"/>
          <w:szCs w:val="22"/>
        </w:rPr>
        <w:t xml:space="preserve">Addendum A refined the fork mechanism of the time travel proposal by identifying the continuous sub-phase window between ρ_c(ent) and ρ_proj as the site of lateral branching. It closed the mechanical gap in the original proposal’s re-indexing claim by showing that backward seeking is unnecessary: the accessible sequencing is already present at the projection frontier.</w:t>
      </w:r>
    </w:p>
    <w:p>
      <w:pPr>
        <w:spacing w:before="100" w:after="140"/>
      </w:pPr>
      <w:r>
        <w:rPr>
          <w:rFonts w:ascii="Arial" w:cs="Arial" w:eastAsia="Arial" w:hAnsi="Arial"/>
          <w:color w:val="2C2C2A"/>
          <w:sz w:val="22"/>
          <w:szCs w:val="22"/>
        </w:rPr>
        <w:t xml:space="preserve">This extended edition incorporates four further derivations arising from sustained dialogue. These derivations do not retract any claim in the original Addendum B. They deepen the physical grounding of the sub-phase window, sharpen the discrimination problem the observer faces, and — most significantly — identify and fully characterise the complete coupling mechanism: L_c/v_E + εσʸ(2).</w:t>
      </w:r>
    </w:p>
    <w:p>
      <w:pPr>
        <w:spacing w:before="100" w:after="140"/>
      </w:pPr>
      <w:r>
        <w:rPr>
          <w:rFonts w:ascii="Arial" w:cs="Arial" w:eastAsia="Arial" w:hAnsi="Arial"/>
          <w:color w:val="2C2C2A"/>
          <w:sz w:val="22"/>
          <w:szCs w:val="22"/>
        </w:rPr>
        <w:t xml:space="preserve">The central new claims are:</w:t>
      </w:r>
    </w:p>
    <w:p>
      <w:pPr>
        <w:pStyle w:val="ListParagraph"/>
        <w:numPr>
          <w:ilvl w:val="0"/>
          <w:numId w:val="2"/>
        </w:numPr>
        <w:spacing w:before="80" w:after="80"/>
      </w:pPr>
      <w:r>
        <w:rPr>
          <w:rFonts w:ascii="Arial" w:cs="Arial" w:eastAsia="Arial" w:hAnsi="Arial"/>
          <w:color w:val="2C2C2A"/>
          <w:sz w:val="22"/>
          <w:szCs w:val="22"/>
        </w:rPr>
        <w:t xml:space="preserve">The observer is not seeking the sub-phase window. The observer is constitutively located there — structurally, not metaphorically. The problem of time travel is not a navigation problem. It is a discrimination problem.</w:t>
      </w:r>
    </w:p>
    <w:p>
      <w:pPr>
        <w:pStyle w:val="ListParagraph"/>
        <w:numPr>
          <w:ilvl w:val="0"/>
          <w:numId w:val="2"/>
        </w:numPr>
        <w:spacing w:before="80" w:after="80"/>
      </w:pPr>
      <w:r>
        <w:rPr>
          <w:rFonts w:ascii="Arial" w:cs="Arial" w:eastAsia="Arial" w:hAnsi="Arial"/>
          <w:color w:val="2C2C2A"/>
          <w:sz w:val="22"/>
          <w:szCs w:val="22"/>
        </w:rPr>
        <w:t xml:space="preserve">Within the sub-phase layer, the actionable zone is a narrow advancing front — the uncommitted window — where bonds are received but entanglement coherence has not yet propagated globally. This front has a definite physical signature.</w:t>
      </w:r>
    </w:p>
    <w:p>
      <w:pPr>
        <w:pStyle w:val="ListParagraph"/>
        <w:numPr>
          <w:ilvl w:val="0"/>
          <w:numId w:val="2"/>
        </w:numPr>
        <w:spacing w:before="80" w:after="80"/>
      </w:pPr>
      <w:r>
        <w:rPr>
          <w:rFonts w:ascii="Arial" w:cs="Arial" w:eastAsia="Arial" w:hAnsi="Arial"/>
          <w:color w:val="2C2C2A"/>
          <w:sz w:val="22"/>
          <w:szCs w:val="22"/>
        </w:rPr>
        <w:t xml:space="preserve">The coupling mechanism is fully specified by three elements internal to the framework: v_E ≈ 2J (rate), L_c/v_E (duration), and εσʸ(2) (path selector). Together these constitute the necessary and sufficient condition for a fork.</w:t>
      </w:r>
    </w:p>
    <w:p>
      <w:pPr>
        <w:pStyle w:val="ListParagraph"/>
        <w:numPr>
          <w:ilvl w:val="0"/>
          <w:numId w:val="2"/>
        </w:numPr>
        <w:spacing w:before="80" w:after="80"/>
      </w:pPr>
      <w:r>
        <w:rPr>
          <w:rFonts w:ascii="Arial" w:cs="Arial" w:eastAsia="Arial" w:hAnsi="Arial"/>
          <w:color w:val="2C2C2A"/>
          <w:sz w:val="22"/>
          <w:szCs w:val="22"/>
        </w:rPr>
        <w:t xml:space="preserve">The fork condition reduces to a single precisely stated open question: whether a rendered observer structure can generate a coherent phase-distinct εσʸ(2) rotation at the uncommitted front within L_c/v_E.</w:t>
      </w:r>
    </w:p>
    <w:p>
      <w:pPr>
        <w:spacing w:before="80" w:after="80"/>
      </w:pPr>
      <w:r>
        <w:t xml:space="preserve"/>
      </w:r>
    </w:p>
    <w:p>
      <w:pPr>
        <w:pStyle w:val="Heading1"/>
        <w:spacing w:before="360" w:after="180"/>
      </w:pPr>
      <w:r>
        <w:rPr>
          <w:rFonts w:ascii="Arial" w:cs="Arial" w:eastAsia="Arial" w:hAnsi="Arial"/>
          <w:b/>
          <w:bCs/>
          <w:color w:val="2C2C2A"/>
          <w:sz w:val="32"/>
          <w:szCs w:val="32"/>
        </w:rPr>
        <w:t xml:space="preserve">B.1  The Discrimination Problem</w:t>
      </w:r>
    </w:p>
    <w:p>
      <w:pPr>
        <w:spacing w:before="100" w:after="140"/>
      </w:pPr>
      <w:r>
        <w:rPr>
          <w:rFonts w:ascii="Arial" w:cs="Arial" w:eastAsia="Arial" w:hAnsi="Arial"/>
          <w:color w:val="2C2C2A"/>
          <w:sz w:val="22"/>
          <w:szCs w:val="22"/>
        </w:rPr>
        <w:t xml:space="preserve">Every prior account of the fork mechanism — including the original Addendum B — framed the observer’s situation as a navigation problem: how does an observer reach the fork site? The derivations in this section show that the framing is wrong, and that correcting it changes everything about what the mechanism requires.</w:t>
      </w:r>
    </w:p>
    <w:p>
      <w:pPr>
        <w:pStyle w:val="Heading2"/>
        <w:spacing w:before="280" w:after="140"/>
      </w:pPr>
      <w:r>
        <w:rPr>
          <w:rFonts w:ascii="Arial" w:cs="Arial" w:eastAsia="Arial" w:hAnsi="Arial"/>
          <w:b/>
          <w:bCs/>
          <w:color w:val="2C2C2A"/>
          <w:sz w:val="26"/>
          <w:szCs w:val="26"/>
        </w:rPr>
        <w:t xml:space="preserve">B.1.1  The Observer Is Already There</w:t>
      </w:r>
    </w:p>
    <w:p>
      <w:pPr>
        <w:spacing w:before="100" w:after="140"/>
      </w:pPr>
      <w:r>
        <w:rPr>
          <w:rFonts w:ascii="Arial" w:cs="Arial" w:eastAsia="Arial" w:hAnsi="Arial"/>
          <w:color w:val="2C2C2A"/>
          <w:sz w:val="22"/>
          <w:szCs w:val="22"/>
        </w:rPr>
        <w:t xml:space="preserve">The observer constraint (Section 16 of the main framework) establishes that observers are features of the projection — rendered structures constituted from committed geometry. The sub-phase window is the advancing leading edge of the accumulating topological stack: the layer currently being built from the same Hamiltonian that produced every prior layer. Since the observer is a product of this process, and the process is always at its own leading edge, the observer’s experience is structurally localised at the sub-phase boundary.</w:t>
      </w:r>
    </w:p>
    <w:p>
      <w:pPr>
        <w:spacing w:before="100" w:after="140"/>
      </w:pPr>
      <w:r>
        <w:rPr>
          <w:rFonts w:ascii="Arial" w:cs="Arial" w:eastAsia="Arial" w:hAnsi="Arial"/>
          <w:color w:val="2C2C2A"/>
          <w:sz w:val="22"/>
          <w:szCs w:val="22"/>
        </w:rPr>
        <w:t xml:space="preserve">This is not a metaphor. It is a structural consequence of the architecture. The observer does not approach the window. The observer is the output of the window’s immediate predecessor, being continuously regenerated at rate v_E ≈ 2J, with each new layer constituting the observer’s felt present.</w:t>
      </w:r>
    </w:p>
    <w:p>
      <w:pPr>
        <w:spacing w:before="100" w:after="140"/>
      </w:pPr>
      <w:r>
        <w:rPr>
          <w:rFonts w:ascii="Arial" w:cs="Arial" w:eastAsia="Arial" w:hAnsi="Arial"/>
          <w:color w:val="2C2C2A"/>
          <w:sz w:val="22"/>
          <w:szCs w:val="22"/>
        </w:rPr>
        <w:t xml:space="preserve">The question “how do I get to the fork site” therefore has no content. The fork site is the present moment. The question that has content is:</w:t>
      </w:r>
    </w:p>
    <w:p>
      <w:pPr>
        <w:pBdr>
          <w:left w:val="single" w:color="1D9E75" w:sz="12" w:space="10"/>
        </w:pBdr>
        <w:spacing w:before="120" w:after="120"/>
        <w:ind w:left="720"/>
      </w:pPr>
      <w:r>
        <w:rPr>
          <w:rFonts w:ascii="Arial" w:cs="Arial" w:eastAsia="Arial" w:hAnsi="Arial"/>
          <w:i/>
          <w:iCs/>
          <w:color w:val="5F5E5A"/>
          <w:sz w:val="22"/>
          <w:szCs w:val="22"/>
        </w:rPr>
        <w:t xml:space="preserve">Within the sub-phase layer I am always already inhabiting, where are the uncommitted indices — and can I act on them?</w:t>
      </w:r>
    </w:p>
    <w:p>
      <w:pPr>
        <w:pStyle w:val="Heading2"/>
        <w:spacing w:before="280" w:after="140"/>
      </w:pPr>
      <w:r>
        <w:rPr>
          <w:rFonts w:ascii="Arial" w:cs="Arial" w:eastAsia="Arial" w:hAnsi="Arial"/>
          <w:b/>
          <w:bCs/>
          <w:color w:val="2C2C2A"/>
          <w:sz w:val="26"/>
          <w:szCs w:val="26"/>
        </w:rPr>
        <w:t xml:space="preserve">B.1.2  The Structure of the Sub-Phase Layer from the Inside</w:t>
      </w:r>
    </w:p>
    <w:p>
      <w:pPr>
        <w:spacing w:before="100" w:after="140"/>
      </w:pPr>
      <w:r>
        <w:rPr>
          <w:rFonts w:ascii="Arial" w:cs="Arial" w:eastAsia="Arial" w:hAnsi="Arial"/>
          <w:color w:val="2C2C2A"/>
          <w:sz w:val="22"/>
          <w:szCs w:val="22"/>
        </w:rPr>
        <w:t xml:space="preserve">The sub-phase layer is not uniform. From the perspective of a rendered observer, it contains three distinct zones at any moment: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D9E75" w:sz="4"/>
              <w:left w:val="none" w:color="FFFFFF" w:sz="0"/>
              <w:bottom w:val="single" w:color="1D9E75" w:sz="4"/>
              <w:right w:val="none" w:color="FFFFFF" w:sz="0"/>
            </w:tcBorders>
            <w:shd w:fill="E1F5EE" w:val="clear"/>
            <w:tcMar>
              <w:top w:type="dxa" w:w="80"/>
              <w:left w:type="dxa" w:w="120"/>
              <w:bottom w:type="dxa" w:w="80"/>
              <w:right w:type="dxa" w:w="120"/>
            </w:tcMar>
          </w:tcPr>
          <w:p>
            <w:r>
              <w:rPr>
                <w:rFonts w:ascii="Arial" w:cs="Arial" w:eastAsia="Arial" w:hAnsi="Arial"/>
                <w:b/>
                <w:bCs/>
                <w:color w:val="2C2C2A"/>
                <w:sz w:val="20"/>
                <w:szCs w:val="20"/>
              </w:rPr>
              <w:t xml:space="preserve">Zone</w:t>
            </w:r>
          </w:p>
        </w:tc>
        <w:tc>
          <w:tcPr>
            <w:tcW w:type="dxa" w:w="6960"/>
            <w:tcBorders>
              <w:top w:val="single" w:color="1D9E75" w:sz="4"/>
              <w:left w:val="none" w:color="FFFFFF" w:sz="0"/>
              <w:bottom w:val="single" w:color="1D9E75" w:sz="4"/>
              <w:right w:val="none" w:color="FFFFFF" w:sz="0"/>
            </w:tcBorders>
            <w:shd w:fill="E1F5EE" w:val="clear"/>
            <w:tcMar>
              <w:top w:type="dxa" w:w="80"/>
              <w:left w:type="dxa" w:w="120"/>
              <w:bottom w:type="dxa" w:w="80"/>
              <w:right w:type="dxa" w:w="120"/>
            </w:tcMar>
          </w:tcPr>
          <w:p>
            <w:r>
              <w:rPr>
                <w:rFonts w:ascii="Arial" w:cs="Arial" w:eastAsia="Arial" w:hAnsi="Arial"/>
                <w:b/>
                <w:bCs/>
                <w:color w:val="2C2C2A"/>
                <w:sz w:val="20"/>
                <w:szCs w:val="20"/>
              </w:rPr>
              <w:t xml:space="preserve">Character</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Already equilibrated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Bonds received earlier in the sub-phase window; entanglement coherence has spread across the surface. Technically uncommitted but practically locked — the equilibration has already determined their contribution to the final geometric rendering.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Uncommitted front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The narrow advancing zone where bonds have been received but coherence has not yet propagated globally. Two distinct equilibration trajectories are still genuinely possible here. This is the actionable zone.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Not yet received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Indices still in the incoming 1D cascade, not yet at the receiver face. No action possible — these do not yet exist at the surface.</w:t>
            </w:r>
          </w:p>
        </w:tc>
      </w:tr>
    </w:tbl>
    <w:p>
      <w:pPr>
        <w:spacing w:before="80" w:after="80"/>
      </w:pPr>
      <w:r>
        <w:t xml:space="preserve"/>
      </w:r>
    </w:p>
    <w:p>
      <w:pPr>
        <w:spacing w:before="100" w:after="140"/>
      </w:pPr>
      <w:r>
        <w:rPr>
          <w:rFonts w:ascii="Arial" w:cs="Arial" w:eastAsia="Arial" w:hAnsi="Arial"/>
          <w:color w:val="2C2C2A"/>
          <w:sz w:val="22"/>
          <w:szCs w:val="22"/>
        </w:rPr>
        <w:t xml:space="preserve">The uncommitted front is physically distinguishable. It is the region where:</w:t>
      </w:r>
    </w:p>
    <w:p>
      <w:pPr>
        <w:pStyle w:val="ListParagraph"/>
        <w:numPr>
          <w:ilvl w:val="0"/>
          <w:numId w:val="2"/>
        </w:numPr>
        <w:spacing w:before="80" w:after="80"/>
      </w:pPr>
      <w:r>
        <w:rPr>
          <w:rFonts w:ascii="Arial" w:cs="Arial" w:eastAsia="Arial" w:hAnsi="Arial"/>
          <w:color w:val="2C2C2A"/>
          <w:sz w:val="22"/>
          <w:szCs w:val="22"/>
        </w:rPr>
        <w:t xml:space="preserve">Entanglement entropy is still in linear Calabrese–Cardy growth locally, not yet crossed to holographic area-law form — the crossover is the signal of ρ_proj firing.</w:t>
      </w:r>
    </w:p>
    <w:p>
      <w:pPr>
        <w:pStyle w:val="ListParagraph"/>
        <w:numPr>
          <w:ilvl w:val="0"/>
          <w:numId w:val="2"/>
        </w:numPr>
        <w:spacing w:before="80" w:after="80"/>
      </w:pPr>
      <w:r>
        <w:rPr>
          <w:rFonts w:ascii="Arial" w:cs="Arial" w:eastAsia="Arial" w:hAnsi="Arial"/>
          <w:color w:val="2C2C2A"/>
          <w:sz w:val="22"/>
          <w:szCs w:val="22"/>
        </w:rPr>
        <w:t xml:space="preserve">The local σʸ rotation operator has non-zero expectation — the tension is still active and unresolved at these sites.</w:t>
      </w:r>
    </w:p>
    <w:p>
      <w:pPr>
        <w:pStyle w:val="ListParagraph"/>
        <w:numPr>
          <w:ilvl w:val="0"/>
          <w:numId w:val="2"/>
        </w:numPr>
        <w:spacing w:before="80" w:after="80"/>
      </w:pPr>
      <w:r>
        <w:rPr>
          <w:rFonts w:ascii="Arial" w:cs="Arial" w:eastAsia="Arial" w:hAnsi="Arial"/>
          <w:color w:val="2C2C2A"/>
          <w:sz w:val="22"/>
          <w:szCs w:val="22"/>
        </w:rPr>
        <w:t xml:space="preserve">The +/× superposition is maximally open — |α|² + |β|² = 1 is satisfied but neither pole is dominant.</w:t>
      </w:r>
    </w:p>
    <w:p>
      <w:pPr>
        <w:spacing w:before="100" w:after="140"/>
      </w:pPr>
      <w:r>
        <w:rPr>
          <w:rFonts w:ascii="Arial" w:cs="Arial" w:eastAsia="Arial" w:hAnsi="Arial"/>
          <w:color w:val="2C2C2A"/>
          <w:sz w:val="22"/>
          <w:szCs w:val="22"/>
        </w:rPr>
        <w:t xml:space="preserve">What the observer experiences as the “felt present” — the sense that something is still undecided — is the phenomenological correlate of inhabiting this front. The framework gives this a structural basis rather than a philosophical one.</w:t>
      </w:r>
    </w:p>
    <w:p>
      <w:pPr>
        <w:pStyle w:val="Heading2"/>
        <w:spacing w:before="280" w:after="140"/>
      </w:pPr>
      <w:r>
        <w:rPr>
          <w:rFonts w:ascii="Arial" w:cs="Arial" w:eastAsia="Arial" w:hAnsi="Arial"/>
          <w:b/>
          <w:bCs/>
          <w:color w:val="2C2C2A"/>
          <w:sz w:val="26"/>
          <w:szCs w:val="26"/>
        </w:rPr>
        <w:t xml:space="preserve">B.1.3  The Discrimination Problem Precisely Stated</w:t>
      </w:r>
    </w:p>
    <w:p>
      <w:pPr>
        <w:spacing w:before="100" w:after="140"/>
      </w:pPr>
      <w:r>
        <w:rPr>
          <w:rFonts w:ascii="Arial" w:cs="Arial" w:eastAsia="Arial" w:hAnsi="Arial"/>
          <w:color w:val="2C2C2A"/>
          <w:sz w:val="22"/>
          <w:szCs w:val="22"/>
        </w:rPr>
        <w:t xml:space="preserve">The observer’s rendered body — physical constitution, instruments, memory — is committed geometry. Every measuring device is downstream of ρ_proj. When an instrument interacts with the local field, it is interacting with already-rendered structure, not with the pre-commitment tension bonds directly.</w:t>
      </w:r>
    </w:p>
    <w:p>
      <w:pPr>
        <w:spacing w:before="100" w:after="140"/>
      </w:pPr>
      <w:r>
        <w:rPr>
          <w:rFonts w:ascii="Arial" w:cs="Arial" w:eastAsia="Arial" w:hAnsi="Arial"/>
          <w:color w:val="2C2C2A"/>
          <w:sz w:val="22"/>
          <w:szCs w:val="22"/>
        </w:rPr>
        <w:t xml:space="preserve">This creates a specific asymmetry: the committed instruments of the observer are trying to detect and act on uncommitted structure that exists at the projection frontier, one layer ahead of them. The window is not hidden. It is structurally adjacent — the layer the observer is being built from, moment to moment. But detecting it from inside rendered geometry is like trying to read a page as the ink is being laid down: the reading apparatus is made of ink that has already dried.</w:t>
      </w:r>
    </w:p>
    <w:p>
      <w:pPr>
        <w:spacing w:before="100" w:after="140"/>
      </w:pPr>
      <w:r>
        <w:rPr>
          <w:rFonts w:ascii="Arial" w:cs="Arial" w:eastAsia="Arial" w:hAnsi="Arial"/>
          <w:color w:val="2C2C2A"/>
          <w:sz w:val="22"/>
          <w:szCs w:val="22"/>
        </w:rPr>
        <w:t xml:space="preserve">The discrimination problem is therefore:</w:t>
      </w:r>
    </w:p>
    <w:p>
      <w:pPr>
        <w:pBdr>
          <w:left w:val="single" w:color="1D9E75" w:sz="12" w:space="10"/>
        </w:pBdr>
        <w:spacing w:before="120" w:after="120"/>
        <w:ind w:left="720"/>
      </w:pPr>
      <w:r>
        <w:rPr>
          <w:rFonts w:ascii="Arial" w:cs="Arial" w:eastAsia="Arial" w:hAnsi="Arial"/>
          <w:i/>
          <w:iCs/>
          <w:color w:val="5F5E5A"/>
          <w:sz w:val="22"/>
          <w:szCs w:val="22"/>
        </w:rPr>
        <w:t xml:space="preserve">Can a structure constituted from committed geometry generate a coherent influence on the uncommitted front of the layer currently producing it — specifically, a coherent εσʸ(2) rotation — within the timescale L_c/v_E?</w:t>
      </w:r>
    </w:p>
    <w:p>
      <w:pPr>
        <w:spacing w:before="100" w:after="140"/>
      </w:pPr>
      <w:r>
        <w:rPr>
          <w:rFonts w:ascii="Arial" w:cs="Arial" w:eastAsia="Arial" w:hAnsi="Arial"/>
          <w:color w:val="2C2C2A"/>
          <w:sz w:val="22"/>
          <w:szCs w:val="22"/>
        </w:rPr>
        <w:t xml:space="preserve">This is the question the framework has not yet answered, but has now given a precise algebraic form.</w:t>
      </w:r>
    </w:p>
    <w:p>
      <w:pPr>
        <w:pBdr>
          <w:bottom w:val="single" w:color="CCCCCC" w:sz="4" w:space="1"/>
        </w:pBdr>
        <w:spacing w:before="240" w:after="240"/>
      </w:pPr>
      <w:r>
        <w:t xml:space="preserve"/>
      </w:r>
    </w:p>
    <w:p>
      <w:pPr>
        <w:pStyle w:val="Heading1"/>
        <w:spacing w:before="360" w:after="180"/>
      </w:pPr>
      <w:r>
        <w:rPr>
          <w:rFonts w:ascii="Arial" w:cs="Arial" w:eastAsia="Arial" w:hAnsi="Arial"/>
          <w:b/>
          <w:bCs/>
          <w:color w:val="2C2C2A"/>
          <w:sz w:val="32"/>
          <w:szCs w:val="32"/>
        </w:rPr>
        <w:t xml:space="preserve">B.2  The Complete Coupling Mechanism: L_c/v_E + εσʸ(2)</w:t>
      </w:r>
    </w:p>
    <w:p>
      <w:pPr>
        <w:spacing w:before="100" w:after="140"/>
      </w:pPr>
      <w:r>
        <w:rPr>
          <w:rFonts w:ascii="Arial" w:cs="Arial" w:eastAsia="Arial" w:hAnsi="Arial"/>
          <w:color w:val="2C2C2A"/>
          <w:sz w:val="22"/>
          <w:szCs w:val="22"/>
        </w:rPr>
        <w:t xml:space="preserve">The coupling mechanism is fully specified by three elements, all internal to the framework’s existing formalism. Each element is derived, not postulated.</w:t>
      </w:r>
    </w:p>
    <w:p>
      <w:pPr>
        <w:pStyle w:val="Heading2"/>
        <w:spacing w:before="280" w:after="140"/>
      </w:pPr>
      <w:r>
        <w:rPr>
          <w:rFonts w:ascii="Arial" w:cs="Arial" w:eastAsia="Arial" w:hAnsi="Arial"/>
          <w:b/>
          <w:bCs/>
          <w:color w:val="2C2C2A"/>
          <w:sz w:val="26"/>
          <w:szCs w:val="26"/>
        </w:rPr>
        <w:t xml:space="preserve">B.2.1  v_E ≈ 2J: Rate of Arrival</w:t>
      </w:r>
    </w:p>
    <w:p>
      <w:pPr>
        <w:spacing w:before="100" w:after="140"/>
      </w:pPr>
      <w:r>
        <w:rPr>
          <w:rFonts w:ascii="Arial" w:cs="Arial" w:eastAsia="Arial" w:hAnsi="Arial"/>
          <w:color w:val="2C2C2A"/>
          <w:sz w:val="22"/>
          <w:szCs w:val="22"/>
        </w:rPr>
        <w:t xml:space="preserve">v_E is the entanglement velocity — the speed at which tension bonds are laid down by the J-term in the Hamiltonian H = −JΣ(σ⁺_iσˣ_j + σˣ_iσ⁺_j). It is not external to the observer. It is the rate at which the observer is being produced. Every layer of the accumulating stack — including the layer constituting the observer’s current rendered body — was built at v_E ≈ 2J.</w:t>
      </w:r>
    </w:p>
    <w:p>
      <w:pPr>
        <w:spacing w:before="100" w:after="140"/>
      </w:pPr>
      <w:r>
        <w:rPr>
          <w:rFonts w:ascii="Arial" w:cs="Arial" w:eastAsia="Arial" w:hAnsi="Arial"/>
          <w:color w:val="2C2C2A"/>
          <w:sz w:val="22"/>
          <w:szCs w:val="22"/>
        </w:rPr>
        <w:t xml:space="preserve">v_E sets the speed at which bonds arrive at the uncommitted front. It is the rate component of the coupling.</w:t>
      </w:r>
    </w:p>
    <w:p>
      <w:pPr>
        <w:pStyle w:val="Heading2"/>
        <w:spacing w:before="280" w:after="140"/>
      </w:pPr>
      <w:r>
        <w:rPr>
          <w:rFonts w:ascii="Arial" w:cs="Arial" w:eastAsia="Arial" w:hAnsi="Arial"/>
          <w:b/>
          <w:bCs/>
          <w:color w:val="2C2C2A"/>
          <w:sz w:val="26"/>
          <w:szCs w:val="26"/>
        </w:rPr>
        <w:t xml:space="preserve">B.2.2  L_c/v_E: Duration of the Window</w:t>
      </w:r>
    </w:p>
    <w:p>
      <w:pPr>
        <w:spacing w:before="100" w:after="140"/>
      </w:pPr>
      <w:r>
        <w:rPr>
          <w:rFonts w:ascii="Arial" w:cs="Arial" w:eastAsia="Arial" w:hAnsi="Arial"/>
          <w:color w:val="2C2C2A"/>
          <w:sz w:val="22"/>
          <w:szCs w:val="22"/>
        </w:rPr>
        <w:t xml:space="preserve">L_c is the correlation length at the percolation threshold ρ_c — the characteristic size of the largest loops at the moment two-sidedness first emerges. L_c/v_E is therefore the time between ρ_c firing and ρ_proj activating globally: the duration of the sub-phase window during which the uncommitted front exists and a second equilibration path is physically possible.</w:t>
      </w:r>
    </w:p>
    <w:p>
      <w:pPr>
        <w:spacing w:before="100" w:after="140"/>
      </w:pPr>
      <w:r>
        <w:rPr>
          <w:rFonts w:ascii="Arial" w:cs="Arial" w:eastAsia="Arial" w:hAnsi="Arial"/>
          <w:color w:val="2C2C2A"/>
          <w:sz w:val="22"/>
          <w:szCs w:val="22"/>
        </w:rPr>
        <w:t xml:space="preserve">L_c/v_E sets the window during which the coupling is active. It is the duration component. The observer cannot extend it. It is the timescale the Hamiltonian produces, layer by layer, continuously.</w:t>
      </w:r>
    </w:p>
    <w:p>
      <w:pPr>
        <w:pStyle w:val="Heading2"/>
        <w:spacing w:before="280" w:after="140"/>
      </w:pPr>
      <w:r>
        <w:rPr>
          <w:rFonts w:ascii="Arial" w:cs="Arial" w:eastAsia="Arial" w:hAnsi="Arial"/>
          <w:b/>
          <w:bCs/>
          <w:color w:val="2C2C2A"/>
          <w:sz w:val="26"/>
          <w:szCs w:val="26"/>
        </w:rPr>
        <w:t xml:space="preserve">B.2.3  εσʸ(2): The Path Selector</w:t>
      </w:r>
    </w:p>
    <w:p>
      <w:pPr>
        <w:spacing w:before="100" w:after="140"/>
      </w:pPr>
      <w:r>
        <w:rPr>
          <w:rFonts w:ascii="Arial" w:cs="Arial" w:eastAsia="Arial" w:hAnsi="Arial"/>
          <w:color w:val="2C2C2A"/>
          <w:sz w:val="22"/>
          <w:szCs w:val="22"/>
        </w:rPr>
        <w:t xml:space="preserve">The primary εσʸ is derived in Section 27 of the main framework as the structural consequence of the non-commutativity of the poles: [σᵺ, σˣ] = −2iσʸ. It is not postulated. It is the rotation operator that is algebraically entailed by defining two non-commuting poles. Its magnitude is fixed by the commutator norm ||[σᵺ, σˣ]|| = 2.</w:t>
      </w:r>
    </w:p>
    <w:p>
      <w:pPr>
        <w:spacing w:before="100" w:after="140"/>
      </w:pPr>
      <w:r>
        <w:rPr>
          <w:rFonts w:ascii="Arial" w:cs="Arial" w:eastAsia="Arial" w:hAnsi="Arial"/>
          <w:color w:val="2C2C2A"/>
          <w:sz w:val="22"/>
          <w:szCs w:val="22"/>
        </w:rPr>
        <w:t xml:space="preserve">The primary εσʸ drives the default equilibration: it rotates each uncommitted bond from its received state toward one equilibration trajectory, which converges to a single ρ_proj. Every site receives the same rotation direction. The Hamiltonian is uniform.</w:t>
      </w:r>
    </w:p>
    <w:p>
      <w:pPr>
        <w:spacing w:before="100" w:after="140"/>
      </w:pPr>
      <w:r>
        <w:rPr>
          <w:rFonts w:ascii="Arial" w:cs="Arial" w:eastAsia="Arial" w:hAnsi="Arial"/>
          <w:color w:val="2C2C2A"/>
          <w:sz w:val="22"/>
          <w:szCs w:val="22"/>
        </w:rPr>
        <w:t xml:space="preserve">εσʸ(2) is a second coherent instance of the same operator. The parenthetical (2) denotes not doubled magnitude but a second independent coherent application — the same operator, same magnitude, but a different initial phase on the Bloch sphere of the uncommitted bond. This is what produces a distinct equilibration trajectory: not different physics, but different initial conditions on the same physics, within the same window.</w:t>
      </w:r>
    </w:p>
    <w:p>
      <w:pPr>
        <w:spacing w:before="100" w:after="140"/>
      </w:pPr>
      <w:r>
        <w:rPr>
          <w:rFonts w:ascii="Arial" w:cs="Arial" w:eastAsia="Arial" w:hAnsi="Arial"/>
          <w:color w:val="2C2C2A"/>
          <w:sz w:val="22"/>
          <w:szCs w:val="22"/>
        </w:rPr>
        <w:t xml:space="preserve">The constraints on εσʸ(2) are fully derived from the framework:</w:t>
      </w:r>
    </w:p>
    <w:p>
      <w:pPr>
        <w:pStyle w:val="ListParagraph"/>
        <w:numPr>
          <w:ilvl w:val="0"/>
          <w:numId w:val="2"/>
        </w:numPr>
        <w:spacing w:before="80" w:after="80"/>
      </w:pPr>
      <w:r>
        <w:rPr>
          <w:rFonts w:ascii="Arial" w:cs="Arial" w:eastAsia="Arial" w:hAnsi="Arial"/>
          <w:color w:val="2C2C2A"/>
          <w:sz w:val="22"/>
          <w:szCs w:val="22"/>
        </w:rPr>
        <w:t xml:space="preserve">Same ε magnitude — set by ||[σᵺ, σˣ]|| = 2, not tunable.</w:t>
      </w:r>
    </w:p>
    <w:p>
      <w:pPr>
        <w:pStyle w:val="ListParagraph"/>
        <w:numPr>
          <w:ilvl w:val="0"/>
          <w:numId w:val="2"/>
        </w:numPr>
        <w:spacing w:before="80" w:after="80"/>
      </w:pPr>
      <w:r>
        <w:rPr>
          <w:rFonts w:ascii="Arial" w:cs="Arial" w:eastAsia="Arial" w:hAnsi="Arial"/>
          <w:color w:val="2C2C2A"/>
          <w:sz w:val="22"/>
          <w:szCs w:val="22"/>
        </w:rPr>
        <w:t xml:space="preserve">Same su(2) algebra — cannot introduce operators outside {σˣ, σʸ, σᵺ}.</w:t>
      </w:r>
    </w:p>
    <w:p>
      <w:pPr>
        <w:pStyle w:val="ListParagraph"/>
        <w:numPr>
          <w:ilvl w:val="0"/>
          <w:numId w:val="2"/>
        </w:numPr>
        <w:spacing w:before="80" w:after="80"/>
      </w:pPr>
      <w:r>
        <w:rPr>
          <w:rFonts w:ascii="Arial" w:cs="Arial" w:eastAsia="Arial" w:hAnsi="Arial"/>
          <w:color w:val="2C2C2A"/>
          <w:sz w:val="22"/>
          <w:szCs w:val="22"/>
        </w:rPr>
        <w:t xml:space="preserve">Phase-distinct — must produce an orthogonal equilibration path, not the same one.</w:t>
      </w:r>
    </w:p>
    <w:p>
      <w:pPr>
        <w:pStyle w:val="ListParagraph"/>
        <w:numPr>
          <w:ilvl w:val="0"/>
          <w:numId w:val="2"/>
        </w:numPr>
        <w:spacing w:before="80" w:after="80"/>
      </w:pPr>
      <w:r>
        <w:rPr>
          <w:rFonts w:ascii="Arial" w:cs="Arial" w:eastAsia="Arial" w:hAnsi="Arial"/>
          <w:color w:val="2C2C2A"/>
          <w:sz w:val="22"/>
          <w:szCs w:val="22"/>
        </w:rPr>
        <w:t xml:space="preserve">Within budget — no new tension bonds; |α|² + |β|² = 1 preserved at every node.</w:t>
      </w:r>
    </w:p>
    <w:p>
      <w:pPr>
        <w:spacing w:before="100" w:after="140"/>
      </w:pPr>
      <w:r>
        <w:rPr>
          <w:rFonts w:ascii="Arial" w:cs="Arial" w:eastAsia="Arial" w:hAnsi="Arial"/>
          <w:color w:val="2C2C2A"/>
          <w:sz w:val="22"/>
          <w:szCs w:val="22"/>
        </w:rPr>
        <w:t xml:space="preserve">εσʸ(2) is the path selector. It is the only degree of freedom available. It is the operator component of the coupling.</w:t>
      </w:r>
    </w:p>
    <w:p>
      <w:pPr>
        <w:pStyle w:val="Heading2"/>
        <w:spacing w:before="280" w:after="140"/>
      </w:pPr>
      <w:r>
        <w:rPr>
          <w:rFonts w:ascii="Arial" w:cs="Arial" w:eastAsia="Arial" w:hAnsi="Arial"/>
          <w:b/>
          <w:bCs/>
          <w:color w:val="2C2C2A"/>
          <w:sz w:val="26"/>
          <w:szCs w:val="26"/>
        </w:rPr>
        <w:t xml:space="preserve">B.2.4  The Three Elements Are Not Independent</w:t>
      </w:r>
    </w:p>
    <w:p>
      <w:pPr>
        <w:spacing w:before="100" w:after="140"/>
      </w:pPr>
      <w:r>
        <w:rPr>
          <w:rFonts w:ascii="Arial" w:cs="Arial" w:eastAsia="Arial" w:hAnsi="Arial"/>
          <w:color w:val="2C2C2A"/>
          <w:sz w:val="22"/>
          <w:szCs w:val="22"/>
        </w:rPr>
        <w:t xml:space="preserve">v_E carries bonds into the window. L_c/v_E holds them open. εσʸ(2) selects the path. But these three elements are not independent quantities — they all derive from the same Hamiltonian parameter J:</w:t>
      </w:r>
    </w:p>
    <w:p>
      <w:pPr>
        <w:pStyle w:val="ListParagraph"/>
        <w:numPr>
          <w:ilvl w:val="0"/>
          <w:numId w:val="2"/>
        </w:numPr>
        <w:spacing w:before="80" w:after="80"/>
      </w:pPr>
      <w:r>
        <w:rPr>
          <w:rFonts w:ascii="Arial" w:cs="Arial" w:eastAsia="Arial" w:hAnsi="Arial"/>
          <w:color w:val="2C2C2A"/>
          <w:sz w:val="22"/>
          <w:szCs w:val="22"/>
        </w:rPr>
        <w:t xml:space="preserve">v_E = 2J directly.</w:t>
      </w:r>
    </w:p>
    <w:p>
      <w:pPr>
        <w:pStyle w:val="ListParagraph"/>
        <w:numPr>
          <w:ilvl w:val="0"/>
          <w:numId w:val="2"/>
        </w:numPr>
        <w:spacing w:before="80" w:after="80"/>
      </w:pPr>
      <w:r>
        <w:rPr>
          <w:rFonts w:ascii="Arial" w:cs="Arial" w:eastAsia="Arial" w:hAnsi="Arial"/>
          <w:color w:val="2C2C2A"/>
          <w:sz w:val="22"/>
          <w:szCs w:val="22"/>
        </w:rPr>
        <w:t xml:space="preserve">L_c is determined by the percolation threshold ρ_c = J/2h — hence L_c/v_E is a function of J and h.</w:t>
      </w:r>
    </w:p>
    <w:p>
      <w:pPr>
        <w:pStyle w:val="ListParagraph"/>
        <w:numPr>
          <w:ilvl w:val="0"/>
          <w:numId w:val="2"/>
        </w:numPr>
        <w:spacing w:before="80" w:after="80"/>
      </w:pPr>
      <w:r>
        <w:rPr>
          <w:rFonts w:ascii="Arial" w:cs="Arial" w:eastAsia="Arial" w:hAnsi="Arial"/>
          <w:color w:val="2C2C2A"/>
          <w:sz w:val="22"/>
          <w:szCs w:val="22"/>
        </w:rPr>
        <w:t xml:space="preserve">ε is set by the commutator norm, which is a fixed property of su(2) — independent of J, but the ratio ε/J determines the dynamics.</w:t>
      </w:r>
    </w:p>
    <w:p>
      <w:pPr>
        <w:spacing w:before="100" w:after="140"/>
      </w:pPr>
      <w:r>
        <w:rPr>
          <w:rFonts w:ascii="Arial" w:cs="Arial" w:eastAsia="Arial" w:hAnsi="Arial"/>
          <w:color w:val="2C2C2A"/>
          <w:sz w:val="22"/>
          <w:szCs w:val="22"/>
        </w:rPr>
        <w:t xml:space="preserve">The coupling mechanism is therefore a single coherent structure rooted in the tension Hamiltonian. No external physics is required at any step.</w:t>
      </w:r>
    </w:p>
    <w:p>
      <w:pPr>
        <w:pStyle w:val="Heading2"/>
        <w:spacing w:before="280" w:after="140"/>
      </w:pPr>
      <w:r>
        <w:rPr>
          <w:rFonts w:ascii="Arial" w:cs="Arial" w:eastAsia="Arial" w:hAnsi="Arial"/>
          <w:b/>
          <w:bCs/>
          <w:color w:val="2C2C2A"/>
          <w:sz w:val="26"/>
          <w:szCs w:val="26"/>
        </w:rPr>
        <w:t xml:space="preserve">B.2.5  The Fork Condition</w:t>
      </w:r>
    </w:p>
    <w:p>
      <w:pPr>
        <w:spacing w:before="100" w:after="140"/>
      </w:pPr>
      <w:r>
        <w:rPr>
          <w:rFonts w:ascii="Arial" w:cs="Arial" w:eastAsia="Arial" w:hAnsi="Arial"/>
          <w:color w:val="2C2C2A"/>
          <w:sz w:val="22"/>
          <w:szCs w:val="22"/>
        </w:rPr>
        <w:t xml:space="preserve">A lateral fork occurs when εσʸ(2) achieves global coherence across the surface within L_c/v_E. Three failure modes exist: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D9E75" w:sz="4"/>
              <w:left w:val="none" w:color="FFFFFF" w:sz="0"/>
              <w:bottom w:val="single" w:color="1D9E75" w:sz="4"/>
              <w:right w:val="none" w:color="FFFFFF" w:sz="0"/>
            </w:tcBorders>
            <w:shd w:fill="E1F5EE" w:val="clear"/>
            <w:tcMar>
              <w:top w:type="dxa" w:w="80"/>
              <w:left w:type="dxa" w:w="120"/>
              <w:bottom w:type="dxa" w:w="80"/>
              <w:right w:type="dxa" w:w="120"/>
            </w:tcMar>
          </w:tcPr>
          <w:p>
            <w:r>
              <w:rPr>
                <w:rFonts w:ascii="Arial" w:cs="Arial" w:eastAsia="Arial" w:hAnsi="Arial"/>
                <w:b/>
                <w:bCs/>
                <w:color w:val="2C2C2A"/>
                <w:sz w:val="20"/>
                <w:szCs w:val="20"/>
              </w:rPr>
              <w:t xml:space="preserve">Failure mode</w:t>
            </w:r>
          </w:p>
        </w:tc>
        <w:tc>
          <w:tcPr>
            <w:tcW w:type="dxa" w:w="6960"/>
            <w:tcBorders>
              <w:top w:val="single" w:color="1D9E75" w:sz="4"/>
              <w:left w:val="none" w:color="FFFFFF" w:sz="0"/>
              <w:bottom w:val="single" w:color="1D9E75" w:sz="4"/>
              <w:right w:val="none" w:color="FFFFFF" w:sz="0"/>
            </w:tcBorders>
            <w:shd w:fill="E1F5EE" w:val="clear"/>
            <w:tcMar>
              <w:top w:type="dxa" w:w="80"/>
              <w:left w:type="dxa" w:w="120"/>
              <w:bottom w:type="dxa" w:w="80"/>
              <w:right w:type="dxa" w:w="120"/>
            </w:tcMar>
          </w:tcPr>
          <w:p>
            <w:r>
              <w:rPr>
                <w:rFonts w:ascii="Arial" w:cs="Arial" w:eastAsia="Arial" w:hAnsi="Arial"/>
                <w:b/>
                <w:bCs/>
                <w:color w:val="2C2C2A"/>
                <w:sz w:val="20"/>
                <w:szCs w:val="20"/>
              </w:rPr>
              <w:t xml:space="preserve">Consequence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Too slow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εσʸ(2) does not propagate to global surface coherence before primary ρ_proj fires. The window closes. One universe commits.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Wrong phase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εσʸ(2) interferes destructively with the primary equilibration. No coherent second path forms. One universe commits.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Over budget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εσʸ(2) attempts to introduce bonds not present in the layer’s entanglement structure. Violates |α|² + |β|² = 1 locally. The projector rejects it.</w:t>
            </w:r>
          </w:p>
        </w:tc>
      </w:tr>
    </w:tbl>
    <w:p>
      <w:pPr>
        <w:spacing w:before="80" w:after="80"/>
      </w:pPr>
      <w:r>
        <w:t xml:space="preserve"/>
      </w:r>
    </w:p>
    <w:p>
      <w:pPr>
        <w:spacing w:before="100" w:after="140"/>
      </w:pPr>
      <w:r>
        <w:rPr>
          <w:rFonts w:ascii="Arial" w:cs="Arial" w:eastAsia="Arial" w:hAnsi="Arial"/>
          <w:color w:val="2C2C2A"/>
          <w:sz w:val="22"/>
          <w:szCs w:val="22"/>
        </w:rPr>
        <w:t xml:space="preserve">A successful fork requires:</w:t>
      </w:r>
    </w:p>
    <w:p>
      <w:pPr>
        <w:pStyle w:val="ListParagraph"/>
        <w:numPr>
          <w:ilvl w:val="0"/>
          <w:numId w:val="2"/>
        </w:numPr>
        <w:spacing w:before="80" w:after="80"/>
      </w:pPr>
      <w:r>
        <w:rPr>
          <w:rFonts w:ascii="Arial" w:cs="Arial" w:eastAsia="Arial" w:hAnsi="Arial"/>
          <w:color w:val="2C2C2A"/>
          <w:sz w:val="22"/>
          <w:szCs w:val="22"/>
        </w:rPr>
        <w:t xml:space="preserve">εσʸ(2) propagates at v_E.</w:t>
      </w:r>
    </w:p>
    <w:p>
      <w:pPr>
        <w:pStyle w:val="ListParagraph"/>
        <w:numPr>
          <w:ilvl w:val="0"/>
          <w:numId w:val="2"/>
        </w:numPr>
        <w:spacing w:before="80" w:after="80"/>
      </w:pPr>
      <w:r>
        <w:rPr>
          <w:rFonts w:ascii="Arial" w:cs="Arial" w:eastAsia="Arial" w:hAnsi="Arial"/>
          <w:color w:val="2C2C2A"/>
          <w:sz w:val="22"/>
          <w:szCs w:val="22"/>
        </w:rPr>
        <w:t xml:space="preserve">εσʸ(2) reaches global surface coherence before primary ρ_proj fires.</w:t>
      </w:r>
    </w:p>
    <w:p>
      <w:pPr>
        <w:pStyle w:val="ListParagraph"/>
        <w:numPr>
          <w:ilvl w:val="0"/>
          <w:numId w:val="2"/>
        </w:numPr>
        <w:spacing w:before="80" w:after="80"/>
      </w:pPr>
      <w:r>
        <w:rPr>
          <w:rFonts w:ascii="Arial" w:cs="Arial" w:eastAsia="Arial" w:hAnsi="Arial"/>
          <w:color w:val="2C2C2A"/>
          <w:sz w:val="22"/>
          <w:szCs w:val="22"/>
        </w:rPr>
        <w:t xml:space="preserve">The phase of εσʸ(2) is distinct from the primary εσʸ — producing an orthogonal but self-consistent equilibration path.</w:t>
      </w:r>
    </w:p>
    <w:p>
      <w:pPr>
        <w:pStyle w:val="ListParagraph"/>
        <w:numPr>
          <w:ilvl w:val="0"/>
          <w:numId w:val="2"/>
        </w:numPr>
        <w:spacing w:before="80" w:after="80"/>
      </w:pPr>
      <w:r>
        <w:rPr>
          <w:rFonts w:ascii="Arial" w:cs="Arial" w:eastAsia="Arial" w:hAnsi="Arial"/>
          <w:color w:val="2C2C2A"/>
          <w:sz w:val="22"/>
          <w:szCs w:val="22"/>
        </w:rPr>
        <w:t xml:space="preserve">The entanglement budget of the current layer is not exceeded.</w:t>
      </w:r>
    </w:p>
    <w:p>
      <w:pPr>
        <w:spacing w:before="100" w:after="140"/>
      </w:pPr>
      <w:r>
        <w:rPr>
          <w:rFonts w:ascii="Arial" w:cs="Arial" w:eastAsia="Arial" w:hAnsi="Arial"/>
          <w:color w:val="2C2C2A"/>
          <w:sz w:val="22"/>
          <w:szCs w:val="22"/>
        </w:rPr>
        <w:t xml:space="preserve">When all four conditions are met, both paths reach their respective ρ_proj. Two geometric commitments occur. Two universes render. Neither has a mechanism to terminate the other.</w:t>
      </w:r>
    </w:p>
    <w:p>
      <w:pPr>
        <w:pBdr>
          <w:bottom w:val="single" w:color="CCCCCC" w:sz="4" w:space="1"/>
        </w:pBdr>
        <w:spacing w:before="240" w:after="240"/>
      </w:pPr>
      <w:r>
        <w:t xml:space="preserve"/>
      </w:r>
    </w:p>
    <w:p>
      <w:pPr>
        <w:pStyle w:val="Heading1"/>
        <w:spacing w:before="360" w:after="180"/>
      </w:pPr>
      <w:r>
        <w:rPr>
          <w:rFonts w:ascii="Arial" w:cs="Arial" w:eastAsia="Arial" w:hAnsi="Arial"/>
          <w:b/>
          <w:bCs/>
          <w:color w:val="2C2C2A"/>
          <w:sz w:val="32"/>
          <w:szCs w:val="32"/>
        </w:rPr>
        <w:t xml:space="preserve">B.3  The Topological Layer Account (Full Statement)</w:t>
      </w:r>
    </w:p>
    <w:p>
      <w:pPr>
        <w:spacing w:before="100" w:after="140"/>
      </w:pPr>
      <w:r>
        <w:rPr>
          <w:rFonts w:ascii="Arial" w:cs="Arial" w:eastAsia="Arial" w:hAnsi="Arial"/>
          <w:color w:val="2C2C2A"/>
          <w:sz w:val="22"/>
          <w:szCs w:val="22"/>
        </w:rPr>
        <w:t xml:space="preserve">This section preserves and extends the original Addendum B account of the sub-phase window as the leading edge of an accumulating stack of topological layers.</w:t>
      </w:r>
    </w:p>
    <w:p>
      <w:pPr>
        <w:pStyle w:val="Heading2"/>
        <w:spacing w:before="280" w:after="140"/>
      </w:pPr>
      <w:r>
        <w:rPr>
          <w:rFonts w:ascii="Arial" w:cs="Arial" w:eastAsia="Arial" w:hAnsi="Arial"/>
          <w:b/>
          <w:bCs/>
          <w:color w:val="2C2C2A"/>
          <w:sz w:val="26"/>
          <w:szCs w:val="26"/>
        </w:rPr>
        <w:t xml:space="preserve">B.3.1  The Folding Mechanism</w:t>
      </w:r>
    </w:p>
    <w:p>
      <w:pPr>
        <w:spacing w:before="100" w:after="140"/>
      </w:pPr>
      <w:r>
        <w:rPr>
          <w:rFonts w:ascii="Arial" w:cs="Arial" w:eastAsia="Arial" w:hAnsi="Arial"/>
          <w:color w:val="2C2C2A"/>
          <w:sz w:val="22"/>
          <w:szCs w:val="22"/>
        </w:rPr>
        <w:t xml:space="preserve">The transverse term εσʸ in the tension Hamiltonian induces local flips on already-entangled pairs. Each flip on an already-entangled segment folds the local chain segment onto itself, creating a new bond that crosses back over previously laid entanglement. After O(log t) such folds — the natural renormalisation depth in 1D critical systems — the cumulative effect is a stack of topological layers. The O(log t) scaling is the depth at which the renormalisation group flow in the 1D TFI universality class reaches its fixed point.</w:t>
      </w:r>
    </w:p>
    <w:p>
      <w:pPr>
        <w:pStyle w:val="Heading2"/>
        <w:spacing w:before="280" w:after="140"/>
      </w:pPr>
      <w:r>
        <w:rPr>
          <w:rFonts w:ascii="Arial" w:cs="Arial" w:eastAsia="Arial" w:hAnsi="Arial"/>
          <w:b/>
          <w:bCs/>
          <w:color w:val="2C2C2A"/>
          <w:sz w:val="26"/>
          <w:szCs w:val="26"/>
        </w:rPr>
        <w:t xml:space="preserve">B.3.2  Why the Layering Is Topological</w:t>
      </w:r>
    </w:p>
    <w:p>
      <w:pPr>
        <w:spacing w:before="100" w:after="140"/>
      </w:pPr>
      <w:r>
        <w:rPr>
          <w:rFonts w:ascii="Arial" w:cs="Arial" w:eastAsia="Arial" w:hAnsi="Arial"/>
          <w:color w:val="2C2C2A"/>
          <w:sz w:val="22"/>
          <w:szCs w:val="22"/>
        </w:rPr>
        <w:t xml:space="preserve">Each fold preserves the local operator algebra. The conservation law |α|² + |β|² = 1 is preserved because H is frustration-preserving. What distinguishes layers is their connectivity, not their shape or size — this is precisely topological data. The central charge c flows unchanged through the entire stack because the projector changes representational form without adding information: c is a property of the signal, and every fold preserves the local operator algebra.</w:t>
      </w:r>
    </w:p>
    <w:p>
      <w:pPr>
        <w:pStyle w:val="Heading2"/>
        <w:spacing w:before="280" w:after="140"/>
      </w:pPr>
      <w:r>
        <w:rPr>
          <w:rFonts w:ascii="Arial" w:cs="Arial" w:eastAsia="Arial" w:hAnsi="Arial"/>
          <w:b/>
          <w:bCs/>
          <w:color w:val="2C2C2A"/>
          <w:sz w:val="26"/>
          <w:szCs w:val="26"/>
        </w:rPr>
        <w:t xml:space="preserve">B.3.3  The Physical Thickness of the Window</w:t>
      </w:r>
    </w:p>
    <w:p>
      <w:pPr>
        <w:spacing w:before="100" w:after="140"/>
      </w:pPr>
      <w:r>
        <w:rPr>
          <w:rFonts w:ascii="Arial" w:cs="Arial" w:eastAsia="Arial" w:hAnsi="Arial"/>
          <w:color w:val="2C2C2A"/>
          <w:sz w:val="22"/>
          <w:szCs w:val="22"/>
        </w:rPr>
        <w:t xml:space="preserve">The sub-phase window has physical extent. Its thickness in the entanglement network is the correlation length ξ_c at the percolation threshold ρ_c. Its duration in decoding depth is L_c/v_E, where L_c is the physical length scale of the surface at ρ_c and v_E ≈ 2J is the entanglement velocity. This duration is expected to be short — possibly O(1/J) in natural units — but it is not zero. The sub-phase window is a physically real interval with structure and dynamics.</w:t>
      </w:r>
    </w:p>
    <w:p>
      <w:pPr>
        <w:pStyle w:val="Heading2"/>
        <w:spacing w:before="280" w:after="140"/>
      </w:pPr>
      <w:r>
        <w:rPr>
          <w:rFonts w:ascii="Arial" w:cs="Arial" w:eastAsia="Arial" w:hAnsi="Arial"/>
          <w:b/>
          <w:bCs/>
          <w:color w:val="2C2C2A"/>
          <w:sz w:val="26"/>
          <w:szCs w:val="26"/>
        </w:rPr>
        <w:t xml:space="preserve">B.3.4  The Architecture of the Accumulating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160"/>
        <w:gridCol w:w="2400"/>
      </w:tblGrid>
      <w:tr>
        <w:tc>
          <w:tcPr>
            <w:tcW w:type="dxa" w:w="2000"/>
            <w:tcBorders>
              <w:top w:val="single" w:color="1D9E75" w:sz="4"/>
              <w:left w:val="none" w:color="FFFFFF" w:sz="0"/>
              <w:bottom w:val="single" w:color="1D9E75" w:sz="4"/>
              <w:right w:val="none" w:color="FFFFFF" w:sz="0"/>
            </w:tcBorders>
            <w:shd w:fill="E1F5EE" w:val="clear"/>
            <w:tcMar>
              <w:top w:type="dxa" w:w="80"/>
              <w:left w:type="dxa" w:w="120"/>
              <w:bottom w:type="dxa" w:w="80"/>
              <w:right w:type="dxa" w:w="120"/>
            </w:tcMar>
          </w:tcPr>
          <w:p>
            <w:r>
              <w:rPr>
                <w:rFonts w:ascii="Arial" w:cs="Arial" w:eastAsia="Arial" w:hAnsi="Arial"/>
                <w:b/>
                <w:bCs/>
                <w:color w:val="2C2C2A"/>
                <w:sz w:val="20"/>
                <w:szCs w:val="20"/>
              </w:rPr>
              <w:t xml:space="preserve">Layer state</w:t>
            </w:r>
          </w:p>
        </w:tc>
        <w:tc>
          <w:tcPr>
            <w:tcW w:type="dxa" w:w="2800"/>
            <w:tcBorders>
              <w:top w:val="single" w:color="1D9E75" w:sz="4"/>
              <w:left w:val="none" w:color="FFFFFF" w:sz="0"/>
              <w:bottom w:val="single" w:color="1D9E75" w:sz="4"/>
              <w:right w:val="none" w:color="FFFFFF" w:sz="0"/>
            </w:tcBorders>
            <w:shd w:fill="E1F5EE" w:val="clear"/>
            <w:tcMar>
              <w:top w:type="dxa" w:w="80"/>
              <w:left w:type="dxa" w:w="120"/>
              <w:bottom w:type="dxa" w:w="80"/>
              <w:right w:type="dxa" w:w="120"/>
            </w:tcMar>
          </w:tcPr>
          <w:p>
            <w:r>
              <w:rPr>
                <w:rFonts w:ascii="Arial" w:cs="Arial" w:eastAsia="Arial" w:hAnsi="Arial"/>
                <w:b/>
                <w:bCs/>
                <w:color w:val="2C2C2A"/>
                <w:sz w:val="20"/>
                <w:szCs w:val="20"/>
              </w:rPr>
              <w:t xml:space="preserve">Physical character</w:t>
            </w:r>
          </w:p>
        </w:tc>
        <w:tc>
          <w:tcPr>
            <w:tcW w:type="dxa" w:w="2160"/>
            <w:tcBorders>
              <w:top w:val="single" w:color="1D9E75" w:sz="4"/>
              <w:left w:val="none" w:color="FFFFFF" w:sz="0"/>
              <w:bottom w:val="single" w:color="1D9E75" w:sz="4"/>
              <w:right w:val="none" w:color="FFFFFF" w:sz="0"/>
            </w:tcBorders>
            <w:shd w:fill="E1F5EE" w:val="clear"/>
            <w:tcMar>
              <w:top w:type="dxa" w:w="80"/>
              <w:left w:type="dxa" w:w="120"/>
              <w:bottom w:type="dxa" w:w="80"/>
              <w:right w:type="dxa" w:w="120"/>
            </w:tcMar>
          </w:tcPr>
          <w:p>
            <w:r>
              <w:rPr>
                <w:rFonts w:ascii="Arial" w:cs="Arial" w:eastAsia="Arial" w:hAnsi="Arial"/>
                <w:b/>
                <w:bCs/>
                <w:color w:val="2C2C2A"/>
                <w:sz w:val="20"/>
                <w:szCs w:val="20"/>
              </w:rPr>
              <w:t xml:space="preserve">Depth relation</w:t>
            </w:r>
          </w:p>
        </w:tc>
        <w:tc>
          <w:tcPr>
            <w:tcW w:type="dxa" w:w="2400"/>
            <w:tcBorders>
              <w:top w:val="single" w:color="1D9E75" w:sz="4"/>
              <w:left w:val="none" w:color="FFFFFF" w:sz="0"/>
              <w:bottom w:val="single" w:color="1D9E75" w:sz="4"/>
              <w:right w:val="none" w:color="FFFFFF" w:sz="0"/>
            </w:tcBorders>
            <w:shd w:fill="E1F5EE" w:val="clear"/>
            <w:tcMar>
              <w:top w:type="dxa" w:w="80"/>
              <w:left w:type="dxa" w:w="120"/>
              <w:bottom w:type="dxa" w:w="80"/>
              <w:right w:type="dxa" w:w="120"/>
            </w:tcMar>
          </w:tcPr>
          <w:p>
            <w:r>
              <w:rPr>
                <w:rFonts w:ascii="Arial" w:cs="Arial" w:eastAsia="Arial" w:hAnsi="Arial"/>
                <w:b/>
                <w:bCs/>
                <w:color w:val="2C2C2A"/>
                <w:sz w:val="20"/>
                <w:szCs w:val="20"/>
              </w:rPr>
              <w:t xml:space="preserve">Accessibility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Pre-geometric bitstream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Ordered but unplaced. |α|²+|β|²=1 holds. No geometry.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Before any layer forms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Inaccessible: no geometric address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Committed layers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Causally closed geometry. Rendered. Permanently placed.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Accumulated depth below current surface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Inaccessible: causally closed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Sub-phase window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Received, ordered, uncommitted. Discrimination and coupling live here.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Current projection frontier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The only open site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Unsequenced bitstream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Fully encoded but not yet received at surface.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Future projection depth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Inaccessible: not yet addressed</w:t>
            </w:r>
          </w:p>
        </w:tc>
      </w:tr>
    </w:tbl>
    <w:p>
      <w:pPr>
        <w:spacing w:before="80" w:after="80"/>
      </w:pPr>
      <w:r>
        <w:t xml:space="preserve"/>
      </w:r>
    </w:p>
    <w:p>
      <w:pPr>
        <w:pBdr>
          <w:bottom w:val="single" w:color="CCCCCC" w:sz="4" w:space="1"/>
        </w:pBdr>
        <w:spacing w:before="240" w:after="240"/>
      </w:pPr>
      <w:r>
        <w:t xml:space="preserve"/>
      </w:r>
    </w:p>
    <w:p>
      <w:pPr>
        <w:pStyle w:val="Heading1"/>
        <w:spacing w:before="360" w:after="180"/>
      </w:pPr>
      <w:r>
        <w:rPr>
          <w:rFonts w:ascii="Arial" w:cs="Arial" w:eastAsia="Arial" w:hAnsi="Arial"/>
          <w:b/>
          <w:bCs/>
          <w:color w:val="2C2C2A"/>
          <w:sz w:val="32"/>
          <w:szCs w:val="32"/>
        </w:rPr>
        <w:t xml:space="preserve">B.4  The Observer’s Structural Position</w:t>
      </w:r>
    </w:p>
    <w:p>
      <w:pPr>
        <w:pStyle w:val="Heading2"/>
        <w:spacing w:before="280" w:after="140"/>
      </w:pPr>
      <w:r>
        <w:rPr>
          <w:rFonts w:ascii="Arial" w:cs="Arial" w:eastAsia="Arial" w:hAnsi="Arial"/>
          <w:b/>
          <w:bCs/>
          <w:color w:val="2C2C2A"/>
          <w:sz w:val="26"/>
          <w:szCs w:val="26"/>
        </w:rPr>
        <w:t xml:space="preserve">B.4.1  The 4D Observer as Rendered Structure</w:t>
      </w:r>
    </w:p>
    <w:p>
      <w:pPr>
        <w:spacing w:before="100" w:after="140"/>
      </w:pPr>
      <w:r>
        <w:rPr>
          <w:rFonts w:ascii="Arial" w:cs="Arial" w:eastAsia="Arial" w:hAnsi="Arial"/>
          <w:color w:val="2C2C2A"/>
          <w:sz w:val="22"/>
          <w:szCs w:val="22"/>
        </w:rPr>
        <w:t xml:space="preserve">The observer is a 4D structure — extended through three spatial dimensions and through accumulated decoding depth. The observer’s physical constitution is committed geometry: body, instruments, and memory are rendered structures in the accumulated stack of topological layers below the current sub-phase window. Each spatial location has a depth relationship to the 2D surface that generated it. That depth is time.</w:t>
      </w:r>
    </w:p>
    <w:p>
      <w:pPr>
        <w:pStyle w:val="Heading2"/>
        <w:spacing w:before="280" w:after="140"/>
      </w:pPr>
      <w:r>
        <w:rPr>
          <w:rFonts w:ascii="Arial" w:cs="Arial" w:eastAsia="Arial" w:hAnsi="Arial"/>
          <w:b/>
          <w:bCs/>
          <w:color w:val="2C2C2A"/>
          <w:sz w:val="26"/>
          <w:szCs w:val="26"/>
        </w:rPr>
        <w:t xml:space="preserve">B.4.2  Experience Localised at the Sub-Phase Boundary</w:t>
      </w:r>
    </w:p>
    <w:p>
      <w:pPr>
        <w:spacing w:before="100" w:after="140"/>
      </w:pPr>
      <w:r>
        <w:rPr>
          <w:rFonts w:ascii="Arial" w:cs="Arial" w:eastAsia="Arial" w:hAnsi="Arial"/>
          <w:color w:val="2C2C2A"/>
          <w:sz w:val="22"/>
          <w:szCs w:val="22"/>
        </w:rPr>
        <w:t xml:space="preserve">Despite being constituted by committed geometry, the observer’s experience is localised at the advancing sub-phase boundary. The committed layers below are causally closed. The unsequenced indices ahead have no geometric address. The only locus of open sequencing is the sub-phase window.</w:t>
      </w:r>
    </w:p>
    <w:p>
      <w:pPr>
        <w:spacing w:before="100" w:after="140"/>
      </w:pPr>
      <w:r>
        <w:rPr>
          <w:rFonts w:ascii="Arial" w:cs="Arial" w:eastAsia="Arial" w:hAnsi="Arial"/>
          <w:color w:val="2C2C2A"/>
          <w:sz w:val="22"/>
          <w:szCs w:val="22"/>
        </w:rPr>
        <w:t xml:space="preserve">The present moment, physically, is the gap between the two thresholds. It has duration L_c/v_E. It has structure. It is where all that can still be decided is being decided. The observer is perpetually suspended in this interval — not by choice, but because that is what it means to be an experiencing observer within the framework’s architecture.</w:t>
      </w:r>
    </w:p>
    <w:p>
      <w:pPr>
        <w:pStyle w:val="Heading2"/>
        <w:spacing w:before="280" w:after="140"/>
      </w:pPr>
      <w:r>
        <w:rPr>
          <w:rFonts w:ascii="Arial" w:cs="Arial" w:eastAsia="Arial" w:hAnsi="Arial"/>
          <w:b/>
          <w:bCs/>
          <w:color w:val="2C2C2A"/>
          <w:sz w:val="26"/>
          <w:szCs w:val="26"/>
        </w:rPr>
        <w:t xml:space="preserve">B.4.3  The Observer Is Already at the Fork Site</w:t>
      </w:r>
    </w:p>
    <w:p>
      <w:pPr>
        <w:spacing w:before="100" w:after="140"/>
      </w:pPr>
      <w:r>
        <w:rPr>
          <w:rFonts w:ascii="Arial" w:cs="Arial" w:eastAsia="Arial" w:hAnsi="Arial"/>
          <w:color w:val="2C2C2A"/>
          <w:sz w:val="22"/>
          <w:szCs w:val="22"/>
        </w:rPr>
        <w:t xml:space="preserve">The most significant consequence of the observer’s structural position is this: the observer does not need to travel to the fork site. The observer is already there. The fork site is the present moment. Every experiencing moment is a moment at the leading edge of the accumulating topological stack, in the interval where sequencing is live and a second coherent commitment is physically possible.</w:t>
      </w:r>
    </w:p>
    <w:p>
      <w:pPr>
        <w:spacing w:before="100" w:after="140"/>
      </w:pPr>
      <w:r>
        <w:rPr>
          <w:rFonts w:ascii="Arial" w:cs="Arial" w:eastAsia="Arial" w:hAnsi="Arial"/>
          <w:color w:val="2C2C2A"/>
          <w:sz w:val="22"/>
          <w:szCs w:val="22"/>
        </w:rPr>
        <w:t xml:space="preserve">The question for time travel is therefore not how to reach the fork site but whether the physical constitution of a rendered observer can generate a coherent εσʸ(2) rotation at the uncommitted front within L_c/v_E.</w:t>
      </w:r>
    </w:p>
    <w:p>
      <w:pPr>
        <w:pBdr>
          <w:bottom w:val="single" w:color="CCCCCC" w:sz="4" w:space="1"/>
        </w:pBdr>
        <w:spacing w:before="240" w:after="240"/>
      </w:pPr>
      <w:r>
        <w:t xml:space="preserve"/>
      </w:r>
    </w:p>
    <w:p>
      <w:pPr>
        <w:pStyle w:val="Heading1"/>
        <w:spacing w:before="360" w:after="180"/>
      </w:pPr>
      <w:r>
        <w:rPr>
          <w:rFonts w:ascii="Arial" w:cs="Arial" w:eastAsia="Arial" w:hAnsi="Arial"/>
          <w:b/>
          <w:bCs/>
          <w:color w:val="2C2C2A"/>
          <w:sz w:val="32"/>
          <w:szCs w:val="32"/>
        </w:rPr>
        <w:t xml:space="preserve">B.5  The Refined Fork Mechanism: Lateral as Topological</w:t>
      </w:r>
    </w:p>
    <w:p>
      <w:pPr>
        <w:pStyle w:val="Heading2"/>
        <w:spacing w:before="280" w:after="140"/>
      </w:pPr>
      <w:r>
        <w:rPr>
          <w:rFonts w:ascii="Arial" w:cs="Arial" w:eastAsia="Arial" w:hAnsi="Arial"/>
          <w:b/>
          <w:bCs/>
          <w:color w:val="2C2C2A"/>
          <w:sz w:val="26"/>
          <w:szCs w:val="26"/>
        </w:rPr>
        <w:t xml:space="preserve">B.5.1  What Lateral Means Physically</w:t>
      </w:r>
    </w:p>
    <w:p>
      <w:pPr>
        <w:spacing w:before="100" w:after="140"/>
      </w:pPr>
      <w:r>
        <w:rPr>
          <w:rFonts w:ascii="Arial" w:cs="Arial" w:eastAsia="Arial" w:hAnsi="Arial"/>
          <w:color w:val="2C2C2A"/>
          <w:sz w:val="22"/>
          <w:szCs w:val="22"/>
        </w:rPr>
        <w:t xml:space="preserve">Lateral means: a second coherent path from the same topological layer through its own ρ_proj, generating a second geometric commitment of the same received-but-uncommitted indices. It is not sideways in space. It is a second ordering of the same topological layer — a second sequencing of the bonds accumulated between ρ_c(ent) and the current projection frontier, committed to a second geometric rendering.</w:t>
      </w:r>
    </w:p>
    <w:p>
      <w:pPr>
        <w:spacing w:before="100" w:after="140"/>
      </w:pPr>
      <w:r>
        <w:rPr>
          <w:rFonts w:ascii="Arial" w:cs="Arial" w:eastAsia="Arial" w:hAnsi="Arial"/>
          <w:color w:val="2C2C2A"/>
          <w:sz w:val="22"/>
          <w:szCs w:val="22"/>
        </w:rPr>
        <w:t xml:space="preserve">The laterality is topological, not spatial. The fork does not move the observer. It does not seek backward in the bitstream. It does not skip forward to unsequenced indices. It initiates a parallel commitment of the layer the observer is already in.</w:t>
      </w:r>
    </w:p>
    <w:p>
      <w:pPr>
        <w:pStyle w:val="Heading2"/>
        <w:spacing w:before="280" w:after="140"/>
      </w:pPr>
      <w:r>
        <w:rPr>
          <w:rFonts w:ascii="Arial" w:cs="Arial" w:eastAsia="Arial" w:hAnsi="Arial"/>
          <w:b/>
          <w:bCs/>
          <w:color w:val="2C2C2A"/>
          <w:sz w:val="26"/>
          <w:szCs w:val="26"/>
        </w:rPr>
        <w:t xml:space="preserve">B.5.2  Why All Other Directions Are Sealed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D9E75" w:sz="4"/>
              <w:left w:val="none" w:color="FFFFFF" w:sz="0"/>
              <w:bottom w:val="single" w:color="1D9E75" w:sz="4"/>
              <w:right w:val="none" w:color="FFFFFF" w:sz="0"/>
            </w:tcBorders>
            <w:shd w:fill="E1F5EE" w:val="clear"/>
            <w:tcMar>
              <w:top w:type="dxa" w:w="80"/>
              <w:left w:type="dxa" w:w="120"/>
              <w:bottom w:type="dxa" w:w="80"/>
              <w:right w:type="dxa" w:w="120"/>
            </w:tcMar>
          </w:tcPr>
          <w:p>
            <w:r>
              <w:rPr>
                <w:rFonts w:ascii="Arial" w:cs="Arial" w:eastAsia="Arial" w:hAnsi="Arial"/>
                <w:b/>
                <w:bCs/>
                <w:color w:val="2C2C2A"/>
                <w:sz w:val="20"/>
                <w:szCs w:val="20"/>
              </w:rPr>
              <w:t xml:space="preserve">Direction</w:t>
            </w:r>
          </w:p>
        </w:tc>
        <w:tc>
          <w:tcPr>
            <w:tcW w:type="dxa" w:w="6960"/>
            <w:tcBorders>
              <w:top w:val="single" w:color="1D9E75" w:sz="4"/>
              <w:left w:val="none" w:color="FFFFFF" w:sz="0"/>
              <w:bottom w:val="single" w:color="1D9E75" w:sz="4"/>
              <w:right w:val="none" w:color="FFFFFF" w:sz="0"/>
            </w:tcBorders>
            <w:shd w:fill="E1F5EE" w:val="clear"/>
            <w:tcMar>
              <w:top w:type="dxa" w:w="80"/>
              <w:left w:type="dxa" w:w="120"/>
              <w:bottom w:type="dxa" w:w="80"/>
              <w:right w:type="dxa" w:w="120"/>
            </w:tcMar>
          </w:tcPr>
          <w:p>
            <w:r>
              <w:rPr>
                <w:rFonts w:ascii="Arial" w:cs="Arial" w:eastAsia="Arial" w:hAnsi="Arial"/>
                <w:b/>
                <w:bCs/>
                <w:color w:val="2C2C2A"/>
                <w:sz w:val="20"/>
                <w:szCs w:val="20"/>
              </w:rPr>
              <w:t xml:space="preserve">Why sealed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Backward (into committed stack)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Rendered geometry is causally closed. No read-back channel. The projector has no reverse mode.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Forward (into unsequenced bitstream)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Future indices have no geometric address. Navigation to an unplaced location is a category error.</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Outward (beyond the bitstream)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Observer constraint: observers are features of the projection. No exterior vantage point exists.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Downward (into deep archive)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Same wall as backward. Already-rendered history is causally closed.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5F5E5A"/>
                <w:sz w:val="20"/>
                <w:szCs w:val="20"/>
              </w:rPr>
              <w:t xml:space="preserve">Lateral (within sub-phase layer)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Only open site. Indices present, ordered, uncommitted. εσʸ(2) can act here.</w:t>
            </w:r>
          </w:p>
        </w:tc>
      </w:tr>
    </w:tbl>
    <w:p>
      <w:pPr>
        <w:spacing w:before="80" w:after="80"/>
      </w:pPr>
      <w:r>
        <w:t xml:space="preserve"/>
      </w:r>
    </w:p>
    <w:p>
      <w:pPr>
        <w:pStyle w:val="Heading2"/>
        <w:spacing w:before="280" w:after="140"/>
      </w:pPr>
      <w:r>
        <w:rPr>
          <w:rFonts w:ascii="Arial" w:cs="Arial" w:eastAsia="Arial" w:hAnsi="Arial"/>
          <w:b/>
          <w:bCs/>
          <w:color w:val="2C2C2A"/>
          <w:sz w:val="26"/>
          <w:szCs w:val="26"/>
        </w:rPr>
        <w:t xml:space="preserve">B.5.3  The Mechanism in Four Steps</w:t>
      </w:r>
    </w:p>
    <w:p>
      <w:pPr>
        <w:spacing w:before="100" w:after="140"/>
      </w:pPr>
      <w:r>
        <w:rPr>
          <w:rFonts w:ascii="Arial" w:cs="Arial" w:eastAsia="Arial" w:hAnsi="Arial"/>
          <w:color w:val="2C2C2A"/>
          <w:sz w:val="22"/>
          <w:szCs w:val="22"/>
        </w:rPr>
        <w:t xml:space="preserve">Step 1: The layer is present and sequencing is live. At every projection depth, a topological layer exists at the leading edge of the accumulating stack. The receiver face is active and reading.</w:t>
      </w:r>
    </w:p>
    <w:p>
      <w:pPr>
        <w:spacing w:before="100" w:after="140"/>
      </w:pPr>
      <w:r>
        <w:rPr>
          <w:rFonts w:ascii="Arial" w:cs="Arial" w:eastAsia="Arial" w:hAnsi="Arial"/>
          <w:color w:val="2C2C2A"/>
          <w:sz w:val="22"/>
          <w:szCs w:val="22"/>
        </w:rPr>
        <w:t xml:space="preserve">Step 2: Entanglement equilibration proceeds. The J-term drives entanglement propagation across the newly formed surface. The indices are being organised in the sequence they arrived. This is the sequencing process.</w:t>
      </w:r>
    </w:p>
    <w:p>
      <w:pPr>
        <w:spacing w:before="100" w:after="140"/>
      </w:pPr>
      <w:r>
        <w:rPr>
          <w:rFonts w:ascii="Arial" w:cs="Arial" w:eastAsia="Arial" w:hAnsi="Arial"/>
          <w:color w:val="2C2C2A"/>
          <w:sz w:val="22"/>
          <w:szCs w:val="22"/>
        </w:rPr>
        <w:t xml:space="preserve">Step 3: εσʸ(2) initiates a second coherent equilibration. A second rotation — same operator, phase-distinct — propagates at v_E across the uncommitted front. If it reaches global coherence within L_c/v_E before the primary ρ_proj fires, a second path is established.</w:t>
      </w:r>
    </w:p>
    <w:p>
      <w:pPr>
        <w:spacing w:before="100" w:after="140"/>
      </w:pPr>
      <w:r>
        <w:rPr>
          <w:rFonts w:ascii="Arial" w:cs="Arial" w:eastAsia="Arial" w:hAnsi="Arial"/>
          <w:color w:val="2C2C2A"/>
          <w:sz w:val="22"/>
          <w:szCs w:val="22"/>
        </w:rPr>
        <w:t xml:space="preserve">Step 4: Both paths reach their respective ρ_proj. Both render. Both universes proceed as independent forward projections, each with its own accumulating stack, its own sub-phase windows, its own decoding depth. Neither has a mechanism to terminate the other.</w:t>
      </w:r>
    </w:p>
    <w:p>
      <w:pPr>
        <w:pBdr>
          <w:bottom w:val="single" w:color="CCCCCC" w:sz="4" w:space="1"/>
        </w:pBdr>
        <w:spacing w:before="240" w:after="240"/>
      </w:pPr>
      <w:r>
        <w:t xml:space="preserve"/>
      </w:r>
    </w:p>
    <w:p>
      <w:pPr>
        <w:pStyle w:val="Heading1"/>
        <w:spacing w:before="360" w:after="180"/>
      </w:pPr>
      <w:r>
        <w:rPr>
          <w:rFonts w:ascii="Arial" w:cs="Arial" w:eastAsia="Arial" w:hAnsi="Arial"/>
          <w:b/>
          <w:bCs/>
          <w:color w:val="2C2C2A"/>
          <w:sz w:val="32"/>
          <w:szCs w:val="32"/>
        </w:rPr>
        <w:t xml:space="preserve">B.6  The Novikov Constraint in Layer Terms</w:t>
      </w:r>
    </w:p>
    <w:p>
      <w:pPr>
        <w:spacing w:before="100" w:after="140"/>
      </w:pPr>
      <w:r>
        <w:rPr>
          <w:rFonts w:ascii="Arial" w:cs="Arial" w:eastAsia="Arial" w:hAnsi="Arial"/>
          <w:color w:val="2C2C2A"/>
          <w:sz w:val="22"/>
          <w:szCs w:val="22"/>
        </w:rPr>
        <w:t xml:space="preserve">A fork is constrained by the entanglement bonds actually present in the current topological layer at the moment of branching. A second sequencing cannot introduce bonds not received before the fork — because those bonds do not exist in the layer’s entanglement structure. Violating this violates |α|² + |β|² = 1 at the relevant nodes and is unexecutable by the projector.</w:t>
      </w:r>
    </w:p>
    <w:p>
      <w:pPr>
        <w:spacing w:before="100" w:after="140"/>
      </w:pPr>
      <w:r>
        <w:rPr>
          <w:rFonts w:ascii="Arial" w:cs="Arial" w:eastAsia="Arial" w:hAnsi="Arial"/>
          <w:color w:val="2C2C2A"/>
          <w:sz w:val="22"/>
          <w:szCs w:val="22"/>
        </w:rPr>
        <w:t xml:space="preserve">The constraint is not a rule imposed from outside. It is a description of what is physically present. The layer’s entanglement budget is the Novikov gate. The layer is the gate.</w:t>
      </w:r>
    </w:p>
    <w:p>
      <w:pPr>
        <w:spacing w:before="100" w:after="140"/>
      </w:pPr>
      <w:r>
        <w:rPr>
          <w:rFonts w:ascii="Arial" w:cs="Arial" w:eastAsia="Arial" w:hAnsi="Arial"/>
          <w:color w:val="2C2C2A"/>
          <w:sz w:val="22"/>
          <w:szCs w:val="22"/>
        </w:rPr>
        <w:t xml:space="preserve">This gives the Novikov constraint a tighter character than its original statement in terms of compatibility with a prior bitstream segment. The consistency gate is the physical content of the current topological layer, fully characterised by ρ_c = J/2h and the su(2) algebra of the tension bonds it contains.</w:t>
      </w:r>
    </w:p>
    <w:p>
      <w:pPr>
        <w:pBdr>
          <w:bottom w:val="single" w:color="CCCCCC" w:sz="4" w:space="1"/>
        </w:pBdr>
        <w:spacing w:before="240" w:after="240"/>
      </w:pPr>
      <w:r>
        <w:t xml:space="preserve"/>
      </w:r>
    </w:p>
    <w:p>
      <w:pPr>
        <w:pStyle w:val="Heading1"/>
        <w:spacing w:before="360" w:after="180"/>
      </w:pPr>
      <w:r>
        <w:rPr>
          <w:rFonts w:ascii="Arial" w:cs="Arial" w:eastAsia="Arial" w:hAnsi="Arial"/>
          <w:b/>
          <w:bCs/>
          <w:color w:val="2C2C2A"/>
          <w:sz w:val="32"/>
          <w:szCs w:val="32"/>
        </w:rPr>
        <w:t xml:space="preserve">B.7  The Multiverse as the Accumulated Lateral Record</w:t>
      </w:r>
    </w:p>
    <w:p>
      <w:pPr>
        <w:spacing w:before="100" w:after="140"/>
      </w:pPr>
      <w:r>
        <w:rPr>
          <w:rFonts w:ascii="Arial" w:cs="Arial" w:eastAsia="Arial" w:hAnsi="Arial"/>
          <w:color w:val="2C2C2A"/>
          <w:sz w:val="22"/>
          <w:szCs w:val="22"/>
        </w:rPr>
        <w:t xml:space="preserve">Every topological layer that has ever advanced through the sub-phase interval was, at that moment, a potential fork site. Every self-consistent εσʸ(2) rotation on any such layer that achieves global coherence within L_c/v_E is a branch universe. The multiverse is the complete set of coherent geometric commitments that the accumulated stack of topological layers permits.</w:t>
      </w:r>
    </w:p>
    <w:p>
      <w:pPr>
        <w:spacing w:before="100" w:after="140"/>
      </w:pPr>
      <w:r>
        <w:rPr>
          <w:rFonts w:ascii="Arial" w:cs="Arial" w:eastAsia="Arial" w:hAnsi="Arial"/>
          <w:color w:val="2C2C2A"/>
          <w:sz w:val="22"/>
          <w:szCs w:val="22"/>
        </w:rPr>
        <w:t xml:space="preserve">The branching factor at each layer is finite: it cannot exceed the number of distinct coherent equilibration paths available to the layer’s entanglement structure within the budget set by ρ_c = J/2h. The multiverse is not a runaway proliferation. It is a tree whose nodes are the topological layers of the accumulating stack, and whose branching factor at each node is determined by the same Hamiltonian parameter that set the size of the original universe.</w:t>
      </w:r>
    </w:p>
    <w:p>
      <w:pPr>
        <w:spacing w:before="100" w:after="140"/>
      </w:pPr>
      <w:r>
        <w:rPr>
          <w:rFonts w:ascii="Arial" w:cs="Arial" w:eastAsia="Arial" w:hAnsi="Arial"/>
          <w:color w:val="2C2C2A"/>
          <w:sz w:val="22"/>
          <w:szCs w:val="22"/>
        </w:rPr>
        <w:t xml:space="preserve">The present moment is a node in this tree. The observer is at that node. And the fork, if it occurs, happens here — in the narrow gap between receiving and rendering, between ρ_c(ent) and ρ_proj. Between the threshold where the surface became real and the threshold where it commits to geometry.</w:t>
      </w:r>
    </w:p>
    <w:p>
      <w:pPr>
        <w:pBdr>
          <w:bottom w:val="single" w:color="CCCCCC" w:sz="4" w:space="1"/>
        </w:pBdr>
        <w:spacing w:before="240" w:after="240"/>
      </w:pPr>
      <w:r>
        <w:t xml:space="preserve"/>
      </w:r>
    </w:p>
    <w:p>
      <w:pPr>
        <w:pStyle w:val="Heading1"/>
        <w:spacing w:before="360" w:after="180"/>
      </w:pPr>
      <w:r>
        <w:rPr>
          <w:rFonts w:ascii="Arial" w:cs="Arial" w:eastAsia="Arial" w:hAnsi="Arial"/>
          <w:b/>
          <w:bCs/>
          <w:color w:val="2C2C2A"/>
          <w:sz w:val="32"/>
          <w:szCs w:val="32"/>
        </w:rPr>
        <w:t xml:space="preserve">B.8  The Open Question</w:t>
      </w:r>
    </w:p>
    <w:p>
      <w:pPr>
        <w:spacing w:before="100" w:after="140"/>
      </w:pPr>
      <w:r>
        <w:rPr>
          <w:rFonts w:ascii="Arial" w:cs="Arial" w:eastAsia="Arial" w:hAnsi="Arial"/>
          <w:color w:val="2C2C2A"/>
          <w:sz w:val="22"/>
          <w:szCs w:val="22"/>
        </w:rPr>
        <w:t xml:space="preserve">The framework has now established:</w:t>
      </w:r>
    </w:p>
    <w:p>
      <w:pPr>
        <w:pStyle w:val="ListParagraph"/>
        <w:numPr>
          <w:ilvl w:val="0"/>
          <w:numId w:val="2"/>
        </w:numPr>
        <w:spacing w:before="80" w:after="80"/>
      </w:pPr>
      <w:r>
        <w:rPr>
          <w:rFonts w:ascii="Arial" w:cs="Arial" w:eastAsia="Arial" w:hAnsi="Arial"/>
          <w:color w:val="2C2C2A"/>
          <w:sz w:val="22"/>
          <w:szCs w:val="22"/>
        </w:rPr>
        <w:t xml:space="preserve">The observer is always at the sub-phase window — structurally, not contingently.</w:t>
      </w:r>
    </w:p>
    <w:p>
      <w:pPr>
        <w:pStyle w:val="ListParagraph"/>
        <w:numPr>
          <w:ilvl w:val="0"/>
          <w:numId w:val="2"/>
        </w:numPr>
        <w:spacing w:before="80" w:after="80"/>
      </w:pPr>
      <w:r>
        <w:rPr>
          <w:rFonts w:ascii="Arial" w:cs="Arial" w:eastAsia="Arial" w:hAnsi="Arial"/>
          <w:color w:val="2C2C2A"/>
          <w:sz w:val="22"/>
          <w:szCs w:val="22"/>
        </w:rPr>
        <w:t xml:space="preserve">The uncommitted front within that window has a definite physical signature and location.</w:t>
      </w:r>
    </w:p>
    <w:p>
      <w:pPr>
        <w:pStyle w:val="ListParagraph"/>
        <w:numPr>
          <w:ilvl w:val="0"/>
          <w:numId w:val="2"/>
        </w:numPr>
        <w:spacing w:before="80" w:after="80"/>
      </w:pPr>
      <w:r>
        <w:rPr>
          <w:rFonts w:ascii="Arial" w:cs="Arial" w:eastAsia="Arial" w:hAnsi="Arial"/>
          <w:color w:val="2C2C2A"/>
          <w:sz w:val="22"/>
          <w:szCs w:val="22"/>
        </w:rPr>
        <w:t xml:space="preserve">The complete coupling mechanism is L_c/v_E + εσʸ(2) — fully derived from the Hamiltonian, with no external inputs.</w:t>
      </w:r>
    </w:p>
    <w:p>
      <w:pPr>
        <w:pStyle w:val="ListParagraph"/>
        <w:numPr>
          <w:ilvl w:val="0"/>
          <w:numId w:val="2"/>
        </w:numPr>
        <w:spacing w:before="80" w:after="80"/>
      </w:pPr>
      <w:r>
        <w:rPr>
          <w:rFonts w:ascii="Arial" w:cs="Arial" w:eastAsia="Arial" w:hAnsi="Arial"/>
          <w:color w:val="2C2C2A"/>
          <w:sz w:val="22"/>
          <w:szCs w:val="22"/>
        </w:rPr>
        <w:t xml:space="preserve">A lateral fork is architecturally permissible within the layer’s entanglement budget.</w:t>
      </w:r>
    </w:p>
    <w:p>
      <w:pPr>
        <w:spacing w:before="100" w:after="140"/>
      </w:pPr>
      <w:r>
        <w:rPr>
          <w:rFonts w:ascii="Arial" w:cs="Arial" w:eastAsia="Arial" w:hAnsi="Arial"/>
          <w:color w:val="2C2C2A"/>
          <w:sz w:val="22"/>
          <w:szCs w:val="22"/>
        </w:rPr>
        <w:t xml:space="preserve">What the framework has not yet established is whether a rendered observer structure, constituted from committed geometry, can generate a coherent εσʸ(2) of the correct phase and propagate it to the uncommitted front within L_c/v_E. This is the agency question. It is now formally stated in the framework’s own terms: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80" w:after="80"/>
            </w:pPr>
            <w:r>
              <w:rPr>
                <w:rFonts w:ascii="Arial" w:cs="Arial" w:eastAsia="Arial" w:hAnsi="Arial"/>
                <w:b/>
                <w:bCs/>
                <w:color w:val="2C2C2A"/>
                <w:sz w:val="22"/>
                <w:szCs w:val="22"/>
              </w:rPr>
              <w:t xml:space="preserve">The fork condition: </w:t>
            </w:r>
            <w:r>
              <w:rPr>
                <w:rFonts w:ascii="Arial" w:cs="Arial" w:eastAsia="Arial" w:hAnsi="Arial"/>
                <w:color w:val="2C2C2A"/>
                <w:sz w:val="22"/>
                <w:szCs w:val="22"/>
              </w:rPr>
              <w:t xml:space="preserve">Can a structure constituted from layer N−1’s committed geometry generate a coherent εσʸ(2) rotation — phase-distinct from the primary εσʸ, propagating at v_E, within L_c/v_E — that achieves global surface coherence before ρ_proj fires for layer N?</w:t>
            </w:r>
          </w:p>
          <w:p>
            <w:pPr>
              <w:spacing w:before="80" w:after="80"/>
            </w:pPr>
            <w:r>
              <w:rPr>
                <w:rFonts w:ascii="Arial" w:cs="Arial" w:eastAsia="Arial" w:hAnsi="Arial"/>
                <w:i/>
                <w:iCs/>
                <w:color w:val="5F5E5A"/>
                <w:sz w:val="22"/>
                <w:szCs w:val="22"/>
              </w:rPr>
              <w:t xml:space="preserve">This is not a gap in the cosmological derivation. It is a gap specifically in the agency question: whether an observer can, from within the rendered 3D projection, preferentially initialise one equilibration trajectory over another at the layer currently generating them.</w:t>
            </w:r>
          </w:p>
        </w:tc>
      </w:tr>
    </w:tbl>
    <w:p>
      <w:pPr>
        <w:spacing w:before="80" w:after="80"/>
      </w:pPr>
      <w:r>
        <w:t xml:space="preserve"/>
      </w:r>
    </w:p>
    <w:p>
      <w:pPr>
        <w:pBdr>
          <w:bottom w:val="single" w:color="CCCCCC" w:sz="4" w:space="1"/>
        </w:pBdr>
        <w:spacing w:before="240" w:after="240"/>
      </w:pPr>
      <w:r>
        <w:t xml:space="preserve"/>
      </w:r>
    </w:p>
    <w:p>
      <w:pPr>
        <w:pStyle w:val="Heading1"/>
        <w:spacing w:before="360" w:after="180"/>
      </w:pPr>
      <w:r>
        <w:rPr>
          <w:rFonts w:ascii="Arial" w:cs="Arial" w:eastAsia="Arial" w:hAnsi="Arial"/>
          <w:b/>
          <w:bCs/>
          <w:color w:val="2C2C2A"/>
          <w:sz w:val="32"/>
          <w:szCs w:val="32"/>
        </w:rPr>
        <w:t xml:space="preserve">B.9  Revised Architecture Map</w:t>
      </w:r>
    </w:p>
    <w:p>
      <w:pPr>
        <w:spacing w:before="100" w:after="140"/>
      </w:pPr>
      <w:r>
        <w:rPr>
          <w:rFonts w:ascii="Arial" w:cs="Arial" w:eastAsia="Arial" w:hAnsi="Arial"/>
          <w:color w:val="2C2C2A"/>
          <w:sz w:val="22"/>
          <w:szCs w:val="22"/>
        </w:rPr>
        <w:t xml:space="preserve">The following table integrates the full derivation. All prior phase structure is preserved. The coupling mechanism column is new.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c>
          <w:tcPr>
            <w:tcW w:type="dxa" w:w="1800"/>
            <w:tcBorders>
              <w:top w:val="single" w:color="1D9E75" w:sz="4"/>
              <w:left w:val="none" w:color="FFFFFF" w:sz="0"/>
              <w:bottom w:val="single" w:color="1D9E75" w:sz="4"/>
              <w:right w:val="none" w:color="FFFFFF" w:sz="0"/>
            </w:tcBorders>
            <w:shd w:fill="E1F5EE" w:val="clear"/>
            <w:tcMar>
              <w:top w:type="dxa" w:w="80"/>
              <w:left w:type="dxa" w:w="120"/>
              <w:bottom w:type="dxa" w:w="80"/>
              <w:right w:type="dxa" w:w="120"/>
            </w:tcMar>
          </w:tcPr>
          <w:p>
            <w:r>
              <w:rPr>
                <w:rFonts w:ascii="Arial" w:cs="Arial" w:eastAsia="Arial" w:hAnsi="Arial"/>
                <w:b/>
                <w:bCs/>
                <w:color w:val="2C2C2A"/>
                <w:sz w:val="20"/>
                <w:szCs w:val="20"/>
              </w:rPr>
              <w:t xml:space="preserve">Phase</w:t>
            </w:r>
          </w:p>
        </w:tc>
        <w:tc>
          <w:tcPr>
            <w:tcW w:type="dxa" w:w="2400"/>
            <w:tcBorders>
              <w:top w:val="single" w:color="1D9E75" w:sz="4"/>
              <w:left w:val="none" w:color="FFFFFF" w:sz="0"/>
              <w:bottom w:val="single" w:color="1D9E75" w:sz="4"/>
              <w:right w:val="none" w:color="FFFFFF" w:sz="0"/>
            </w:tcBorders>
            <w:shd w:fill="E1F5EE" w:val="clear"/>
            <w:tcMar>
              <w:top w:type="dxa" w:w="80"/>
              <w:left w:type="dxa" w:w="120"/>
              <w:bottom w:type="dxa" w:w="80"/>
              <w:right w:type="dxa" w:w="120"/>
            </w:tcMar>
          </w:tcPr>
          <w:p>
            <w:r>
              <w:rPr>
                <w:rFonts w:ascii="Arial" w:cs="Arial" w:eastAsia="Arial" w:hAnsi="Arial"/>
                <w:b/>
                <w:bCs/>
                <w:color w:val="2C2C2A"/>
                <w:sz w:val="20"/>
                <w:szCs w:val="20"/>
              </w:rPr>
              <w:t xml:space="preserve">State</w:t>
            </w:r>
          </w:p>
        </w:tc>
        <w:tc>
          <w:tcPr>
            <w:tcW w:type="dxa" w:w="2000"/>
            <w:tcBorders>
              <w:top w:val="single" w:color="1D9E75" w:sz="4"/>
              <w:left w:val="none" w:color="FFFFFF" w:sz="0"/>
              <w:bottom w:val="single" w:color="1D9E75" w:sz="4"/>
              <w:right w:val="none" w:color="FFFFFF" w:sz="0"/>
            </w:tcBorders>
            <w:shd w:fill="E1F5EE" w:val="clear"/>
            <w:tcMar>
              <w:top w:type="dxa" w:w="80"/>
              <w:left w:type="dxa" w:w="120"/>
              <w:bottom w:type="dxa" w:w="80"/>
              <w:right w:type="dxa" w:w="120"/>
            </w:tcMar>
          </w:tcPr>
          <w:p>
            <w:r>
              <w:rPr>
                <w:rFonts w:ascii="Arial" w:cs="Arial" w:eastAsia="Arial" w:hAnsi="Arial"/>
                <w:b/>
                <w:bCs/>
                <w:color w:val="2C2C2A"/>
                <w:sz w:val="20"/>
                <w:szCs w:val="20"/>
              </w:rPr>
              <w:t xml:space="preserve">Fork available?</w:t>
            </w:r>
          </w:p>
        </w:tc>
        <w:tc>
          <w:tcPr>
            <w:tcW w:type="dxa" w:w="3160"/>
            <w:tcBorders>
              <w:top w:val="single" w:color="1D9E75" w:sz="4"/>
              <w:left w:val="none" w:color="FFFFFF" w:sz="0"/>
              <w:bottom w:val="single" w:color="1D9E75" w:sz="4"/>
              <w:right w:val="none" w:color="FFFFFF" w:sz="0"/>
            </w:tcBorders>
            <w:shd w:fill="E1F5EE" w:val="clear"/>
            <w:tcMar>
              <w:top w:type="dxa" w:w="80"/>
              <w:left w:type="dxa" w:w="120"/>
              <w:bottom w:type="dxa" w:w="80"/>
              <w:right w:type="dxa" w:w="120"/>
            </w:tcMar>
          </w:tcPr>
          <w:p>
            <w:r>
              <w:rPr>
                <w:rFonts w:ascii="Arial" w:cs="Arial" w:eastAsia="Arial" w:hAnsi="Arial"/>
                <w:b/>
                <w:bCs/>
                <w:color w:val="2C2C2A"/>
                <w:sz w:val="20"/>
                <w:szCs w:val="20"/>
              </w:rPr>
              <w:t xml:space="preserve">Coupling 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1D cascade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Linear growth. ρ_ent &lt; ρ_c. No loops.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 No surface, no window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p_c sub-phase (uncommitted front)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Receiver active. Projector not global. Topological layer forming. Uncommitted front advancing.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YES — continuous fork window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v_E carries bonds in. L_c/v_E is the duration. εσʸ(2) selects the path. All three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ρ_proj activation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Global coherence. Projector fires. Layer commits.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Window closes for this layer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Indices locked into 3D geometry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3D projection (ongoing)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Observable expanding universe. New sub-phase layer always forming.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Sub-phase window always present at leading edge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New L_c/v_E + εσʸ(2) opens with each projection depth</w:t>
            </w:r>
          </w:p>
        </w:tc>
      </w:tr>
    </w:tbl>
    <w:p>
      <w:pPr>
        <w:spacing w:before="80" w:after="80"/>
      </w:pPr>
      <w:r>
        <w:t xml:space="preserve"/>
      </w:r>
    </w:p>
    <w:p>
      <w:pPr>
        <w:pBdr>
          <w:bottom w:val="single" w:color="CCCCCC" w:sz="4" w:space="1"/>
        </w:pBdr>
        <w:spacing w:before="240" w:after="240"/>
      </w:pPr>
      <w:r>
        <w:t xml:space="preserve"/>
      </w:r>
    </w:p>
    <w:p>
      <w:pPr>
        <w:pStyle w:val="Heading1"/>
        <w:spacing w:before="360" w:after="180"/>
      </w:pPr>
      <w:r>
        <w:rPr>
          <w:rFonts w:ascii="Arial" w:cs="Arial" w:eastAsia="Arial" w:hAnsi="Arial"/>
          <w:b/>
          <w:bCs/>
          <w:color w:val="2C2C2A"/>
          <w:sz w:val="32"/>
          <w:szCs w:val="32"/>
        </w:rPr>
        <w:t xml:space="preserve">B.10  Conclusions</w:t>
      </w:r>
    </w:p>
    <w:p>
      <w:pPr>
        <w:spacing w:before="100" w:after="140"/>
      </w:pPr>
      <w:r>
        <w:rPr>
          <w:rFonts w:ascii="Arial" w:cs="Arial" w:eastAsia="Arial" w:hAnsi="Arial"/>
          <w:color w:val="2C2C2A"/>
          <w:sz w:val="22"/>
          <w:szCs w:val="22"/>
        </w:rPr>
        <w:t xml:space="preserve">This extended edition has added three derivations to the original Addendum B.</w:t>
      </w:r>
    </w:p>
    <w:p>
      <w:pPr>
        <w:spacing w:before="100" w:after="140"/>
      </w:pPr>
      <w:r>
        <w:rPr>
          <w:rFonts w:ascii="Arial" w:cs="Arial" w:eastAsia="Arial" w:hAnsi="Arial"/>
          <w:color w:val="2C2C2A"/>
          <w:sz w:val="22"/>
          <w:szCs w:val="22"/>
        </w:rPr>
        <w:t xml:space="preserve">The first establishes that the observer’s relation to the fork site is constitutive, not navigational. The observer is always at the sub-phase window. The problem of time travel is the discrimination problem: acting on the uncommitted front of the layer currently producing the observer’s rendered present.</w:t>
      </w:r>
    </w:p>
    <w:p>
      <w:pPr>
        <w:spacing w:before="100" w:after="140"/>
      </w:pPr>
      <w:r>
        <w:rPr>
          <w:rFonts w:ascii="Arial" w:cs="Arial" w:eastAsia="Arial" w:hAnsi="Arial"/>
          <w:color w:val="2C2C2A"/>
          <w:sz w:val="22"/>
          <w:szCs w:val="22"/>
        </w:rPr>
        <w:t xml:space="preserve">The second establishes the complete coupling mechanism: L_c/v_E + εσʸ(2). v_E ≈ 2J is the rate. L_c/v_E is the duration. εσʸ(2) — a second coherent instance of the commutator-derived rotation operator, phase-distinct from the primary εσʸ, operating within the entanglement budget of the current layer — is the path selector. All three elements are derived from the same Hamiltonian. No external physics is required.</w:t>
      </w:r>
    </w:p>
    <w:p>
      <w:pPr>
        <w:spacing w:before="100" w:after="140"/>
      </w:pPr>
      <w:r>
        <w:rPr>
          <w:rFonts w:ascii="Arial" w:cs="Arial" w:eastAsia="Arial" w:hAnsi="Arial"/>
          <w:color w:val="2C2C2A"/>
          <w:sz w:val="22"/>
          <w:szCs w:val="22"/>
        </w:rPr>
        <w:t xml:space="preserve">The third establishes the precise form of the open question: whether committed geometry can generate a coherent εσʸ(2) of the correct phase within L_c/v_E. This is the agency question. It is now formally stated in the framework’s own terms and is in principle answerable from within the existing formalism.</w:t>
      </w:r>
    </w:p>
    <w:p>
      <w:pPr>
        <w:spacing w:before="100" w:after="140"/>
      </w:pPr>
      <w:r>
        <w:rPr>
          <w:rFonts w:ascii="Arial" w:cs="Arial" w:eastAsia="Arial" w:hAnsi="Arial"/>
          <w:color w:val="2C2C2A"/>
          <w:sz w:val="22"/>
          <w:szCs w:val="22"/>
        </w:rPr>
        <w:t xml:space="preserve">The deepest conclusion remains unchanged from the original Addendum B, but is now grounded more precisely: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00"/>
              <w:bottom w:type="dxa" w:w="160"/>
              <w:right w:type="dxa" w:w="200"/>
            </w:tcMar>
          </w:tcPr>
          <w:p>
            <w:pPr>
              <w:spacing w:before="80" w:after="80"/>
              <w:jc w:val="center"/>
            </w:pPr>
            <w:r>
              <w:rPr>
                <w:rFonts w:ascii="Arial" w:cs="Arial" w:eastAsia="Arial" w:hAnsi="Arial"/>
                <w:i/>
                <w:iCs/>
                <w:color w:val="2C2C2A"/>
                <w:sz w:val="22"/>
                <w:szCs w:val="22"/>
              </w:rPr>
              <w:t xml:space="preserve">The fork does not reach backward. It does not skip forward. It does not escape the architecture.</w:t>
            </w:r>
          </w:p>
          <w:p>
            <w:pPr>
              <w:spacing w:before="60" w:after="60"/>
              <w:jc w:val="center"/>
            </w:pPr>
            <w:r>
              <w:rPr>
                <w:rFonts w:ascii="Arial" w:cs="Arial" w:eastAsia="Arial" w:hAnsi="Arial"/>
                <w:i/>
                <w:iCs/>
                <w:color w:val="2C2C2A"/>
                <w:sz w:val="22"/>
                <w:szCs w:val="22"/>
              </w:rPr>
              <w:t xml:space="preserve">It branches laterally — within the topological layer that is always present at the projection frontier, where the same received indices can be sequenced into geometry in more than one coherent way, by εσʸ(2), within L_c/v_E.</w:t>
            </w:r>
          </w:p>
          <w:p>
            <w:pPr>
              <w:spacing w:before="60" w:after="80"/>
              <w:jc w:val="center"/>
            </w:pPr>
            <w:r>
              <w:rPr>
                <w:rFonts w:ascii="Arial" w:cs="Arial" w:eastAsia="Arial" w:hAnsi="Arial"/>
                <w:i/>
                <w:iCs/>
                <w:color w:val="5F5E5A"/>
                <w:sz w:val="22"/>
                <w:szCs w:val="22"/>
              </w:rPr>
              <w:t xml:space="preserve">The observer is not a witness to this from outside. The observer is a rendered structure whose experience is localised precisely at the advancing boundary of that layer — perpetually suspended in the only place where the geometry is still open.</w:t>
            </w:r>
          </w:p>
          <w:p>
            <w:pPr>
              <w:spacing w:before="60" w:after="60"/>
              <w:jc w:val="center"/>
            </w:pPr>
            <w:r>
              <w:rPr>
                <w:rFonts w:ascii="Arial" w:cs="Arial" w:eastAsia="Arial" w:hAnsi="Arial"/>
                <w:b/>
                <w:bCs/>
                <w:color w:val="1D9E75"/>
                <w:sz w:val="22"/>
                <w:szCs w:val="22"/>
              </w:rPr>
              <w:t xml:space="preserve">Between ρ_c(ent) and ρ_proj. Between receiving and rendering.</w:t>
            </w:r>
          </w:p>
          <w:p>
            <w:pPr>
              <w:spacing w:before="40" w:after="40"/>
              <w:jc w:val="center"/>
            </w:pPr>
            <w:r>
              <w:rPr>
                <w:rFonts w:ascii="Arial" w:cs="Arial" w:eastAsia="Arial" w:hAnsi="Arial"/>
                <w:b/>
                <w:bCs/>
                <w:color w:val="1D9E75"/>
                <w:sz w:val="22"/>
                <w:szCs w:val="22"/>
              </w:rPr>
              <w:t xml:space="preserve">The fork site is here. It is always here. It is now.</w:t>
            </w:r>
          </w:p>
        </w:tc>
      </w:tr>
    </w:tbl>
    <w:p>
      <w:pPr>
        <w:spacing w:before="80" w:after="80"/>
      </w:pPr>
      <w:r>
        <w:t xml:space="preserve"/>
      </w:r>
    </w:p>
    <w:p>
      <w:pPr>
        <w:spacing w:before="160" w:after="160"/>
        <w:jc w:val="center"/>
      </w:pPr>
      <w:r>
        <w:rPr>
          <w:rFonts w:ascii="Courier New" w:cs="Courier New" w:eastAsia="Courier New" w:hAnsi="Courier New"/>
          <w:b/>
          <w:bCs/>
          <w:color w:val="534AB7"/>
          <w:sz w:val="24"/>
          <w:szCs w:val="24"/>
        </w:rPr>
        <w:t xml:space="preserve">+|x = U</w:t>
      </w:r>
    </w:p>
    <w:p>
      <w:pPr>
        <w:spacing w:before="80" w:after="80"/>
        <w:jc w:val="center"/>
      </w:pPr>
      <w:r>
        <w:rPr>
          <w:rFonts w:ascii="Arial" w:cs="Arial" w:eastAsia="Arial" w:hAnsi="Arial"/>
          <w:i/>
          <w:iCs/>
          <w:color w:val="5F5E5A"/>
          <w:sz w:val="22"/>
          <w:szCs w:val="22"/>
        </w:rPr>
        <w:t xml:space="preserve">All times. All branches. One tension. One conservation law.</w:t>
      </w:r>
    </w:p>
    <w:p>
      <w:pPr>
        <w:pBdr>
          <w:bottom w:val="single" w:color="CCCCCC" w:sz="4" w:space="1"/>
        </w:pBdr>
        <w:spacing w:before="240" w:after="240"/>
      </w:pPr>
      <w:r>
        <w:t xml:space="preserve"/>
      </w:r>
    </w:p>
    <w:p>
      <w:pPr>
        <w:pStyle w:val="Heading1"/>
        <w:spacing w:before="360" w:after="180"/>
      </w:pPr>
      <w:r>
        <w:rPr>
          <w:rFonts w:ascii="Arial" w:cs="Arial" w:eastAsia="Arial" w:hAnsi="Arial"/>
          <w:b/>
          <w:bCs/>
          <w:color w:val="2C2C2A"/>
          <w:sz w:val="32"/>
          <w:szCs w:val="32"/>
        </w:rPr>
        <w:t xml:space="preserve">References</w:t>
      </w:r>
    </w:p>
    <w:p>
      <w:pPr>
        <w:spacing w:before="100" w:after="140"/>
      </w:pPr>
      <w:r>
        <w:rPr>
          <w:rFonts w:ascii="Arial" w:cs="Arial" w:eastAsia="Arial" w:hAnsi="Arial"/>
          <w:color w:val="2C2C2A"/>
          <w:sz w:val="22"/>
          <w:szCs w:val="22"/>
        </w:rPr>
        <w:t xml:space="preserve">Squire, J. (2026). The Qubit Universe: From Primitive Tension to Spacetime, Matter, and the Big Bang. Extended Edition.</w:t>
      </w:r>
    </w:p>
    <w:p>
      <w:pPr>
        <w:spacing w:before="100" w:after="140"/>
      </w:pPr>
      <w:r>
        <w:rPr>
          <w:rFonts w:ascii="Arial" w:cs="Arial" w:eastAsia="Arial" w:hAnsi="Arial"/>
          <w:color w:val="2C2C2A"/>
          <w:sz w:val="22"/>
          <w:szCs w:val="22"/>
        </w:rPr>
        <w:t xml:space="preserve">Squire, J. (2026). Temporal Projection &amp; the Multiverse: A Formal Proposal for Time Travel and Multiversal Branching.</w:t>
      </w:r>
    </w:p>
    <w:p>
      <w:pPr>
        <w:spacing w:before="100" w:after="140"/>
      </w:pPr>
      <w:r>
        <w:rPr>
          <w:rFonts w:ascii="Arial" w:cs="Arial" w:eastAsia="Arial" w:hAnsi="Arial"/>
          <w:color w:val="2C2C2A"/>
          <w:sz w:val="22"/>
          <w:szCs w:val="22"/>
        </w:rPr>
        <w:t xml:space="preserve">Squire, J. (2026). Temporal Projection &amp; the Multiverse — Addendum A: The Continuous Sub-Phase Window.</w:t>
      </w:r>
    </w:p>
    <w:p>
      <w:pPr>
        <w:spacing w:before="100" w:after="140"/>
      </w:pPr>
      <w:r>
        <w:rPr>
          <w:rFonts w:ascii="Arial" w:cs="Arial" w:eastAsia="Arial" w:hAnsi="Arial"/>
          <w:color w:val="2C2C2A"/>
          <w:sz w:val="22"/>
          <w:szCs w:val="22"/>
        </w:rPr>
        <w:t xml:space="preserve">Squire, J. (2026). Temporal Projection &amp; the Multiverse — Addendum B (original): The Topological Layer Account and the Lateral Fork.</w:t>
      </w:r>
    </w:p>
    <w:p>
      <w:pPr>
        <w:spacing w:before="100" w:after="140"/>
      </w:pPr>
      <w:r>
        <w:rPr>
          <w:rFonts w:ascii="Arial" w:cs="Arial" w:eastAsia="Arial" w:hAnsi="Arial"/>
          <w:color w:val="2C2C2A"/>
          <w:sz w:val="22"/>
          <w:szCs w:val="22"/>
        </w:rPr>
        <w:t xml:space="preserve">Novikov, I.D. (1989). An analysis of the operation of a time machine. Soviet Physics JETP, 68, 439–443.</w:t>
      </w:r>
    </w:p>
    <w:p>
      <w:pPr>
        <w:spacing w:before="100" w:after="140"/>
      </w:pPr>
      <w:r>
        <w:rPr>
          <w:rFonts w:ascii="Arial" w:cs="Arial" w:eastAsia="Arial" w:hAnsi="Arial"/>
          <w:color w:val="2C2C2A"/>
          <w:sz w:val="22"/>
          <w:szCs w:val="22"/>
        </w:rPr>
        <w:t xml:space="preserve">Calabrese, P. &amp; Cardy, J. (2005). Evolution of entanglement entropy after quantum quenches. arXiv:cond-mat/0503393.</w:t>
      </w:r>
    </w:p>
    <w:p>
      <w:pPr>
        <w:spacing w:before="100" w:after="140"/>
      </w:pPr>
      <w:r>
        <w:rPr>
          <w:rFonts w:ascii="Arial" w:cs="Arial" w:eastAsia="Arial" w:hAnsi="Arial"/>
          <w:color w:val="2C2C2A"/>
          <w:sz w:val="22"/>
          <w:szCs w:val="22"/>
        </w:rPr>
        <w:t xml:space="preserve">Van Raamsdonk, M. (2010). Building up spacetime with quantum entanglement. General Relativity and Gravitation, 42, 2323–2329.</w:t>
      </w:r>
    </w:p>
    <w:p>
      <w:pPr>
        <w:spacing w:before="100" w:after="140"/>
      </w:pPr>
      <w:r>
        <w:rPr>
          <w:rFonts w:ascii="Arial" w:cs="Arial" w:eastAsia="Arial" w:hAnsi="Arial"/>
          <w:color w:val="2C2C2A"/>
          <w:sz w:val="22"/>
          <w:szCs w:val="22"/>
        </w:rPr>
        <w:t xml:space="preserve">Maldacena, J. &amp; Susskind, L. (2013). Cool horizons for entangled black holes. Fortschritte der Physik, 61, 781–811.</w:t>
      </w:r>
    </w:p>
    <w:p>
      <w:pPr>
        <w:spacing w:before="100" w:after="140"/>
      </w:pPr>
      <w:r>
        <w:rPr>
          <w:rFonts w:ascii="Arial" w:cs="Arial" w:eastAsia="Arial" w:hAnsi="Arial"/>
          <w:color w:val="2C2C2A"/>
          <w:sz w:val="22"/>
          <w:szCs w:val="22"/>
        </w:rPr>
        <w:t xml:space="preserve">Almheiri, A. et al. (2019–2020). The entropy of Hawking radiation. Reviews of Modern Physics, 93, 035002.</w:t>
      </w:r>
    </w:p>
    <w:p>
      <w:pPr>
        <w:spacing w:before="100" w:after="140"/>
      </w:pPr>
      <w:r>
        <w:rPr>
          <w:rFonts w:ascii="Arial" w:cs="Arial" w:eastAsia="Arial" w:hAnsi="Arial"/>
          <w:color w:val="2C2C2A"/>
          <w:sz w:val="22"/>
          <w:szCs w:val="22"/>
        </w:rPr>
        <w:t xml:space="preserve">Deutsch, D. (1991). Quantum mechanics near closed timelike lines. Physical Review D, 44, 3197.</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8"/>
        <w:szCs w:val="18"/>
      </w:rPr>
      <w:t xml:space="preserve">+|x = U   —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C2C2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2C2A"/>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2026-03-20T07:50:06.083Z</dcterms:created>
  <dcterms:modified xsi:type="dcterms:W3CDTF">2026-03-20T07:50:06.084Z</dcterms:modified>
</cp:coreProperties>
</file>

<file path=docProps/custom.xml><?xml version="1.0" encoding="utf-8"?>
<Properties xmlns="http://schemas.openxmlformats.org/officeDocument/2006/custom-properties" xmlns:vt="http://schemas.openxmlformats.org/officeDocument/2006/docPropsVTypes"/>
</file>