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3864"/>
          <w:sz w:val="40"/>
          <w:szCs w:val="40"/>
        </w:rPr>
        <w:t xml:space="preserve">TEMPORAL PROJECTION &amp; THE MULTIVERSE</w:t>
      </w:r>
    </w:p>
    <w:p>
      <w:pPr>
        <w:spacing w:before="0" w:after="80"/>
        <w:jc w:val="center"/>
      </w:pPr>
      <w:r>
        <w:rPr>
          <w:rFonts w:ascii="Arial" w:cs="Arial" w:eastAsia="Arial" w:hAnsi="Arial"/>
          <w:b/>
          <w:bCs/>
          <w:color w:val="2E75B6"/>
          <w:sz w:val="32"/>
          <w:szCs w:val="32"/>
        </w:rPr>
        <w:t xml:space="preserve">Addendum C: The Coupling Mechanism</w:t>
      </w:r>
    </w:p>
    <w:p>
      <w:pPr>
        <w:spacing w:before="0" w:after="80"/>
        <w:jc w:val="center"/>
      </w:pPr>
      <w:r>
        <w:rPr>
          <w:rFonts w:ascii="Arial" w:cs="Arial" w:eastAsia="Arial" w:hAnsi="Arial"/>
          <w:i/>
          <w:iCs/>
          <w:color w:val="666666"/>
          <w:sz w:val="24"/>
          <w:szCs w:val="24"/>
        </w:rPr>
        <w:t xml:space="preserve">Derived from the Qubit Universe Framework</w:t>
      </w:r>
    </w:p>
    <w:p>
      <w:pPr>
        <w:spacing w:before="0" w:after="80"/>
        <w:jc w:val="center"/>
      </w:pPr>
      <w:r>
        <w:rPr>
          <w:rFonts w:ascii="Arial" w:cs="Arial" w:eastAsia="Arial" w:hAnsi="Arial"/>
          <w:color w:val="666666"/>
          <w:sz w:val="22"/>
          <w:szCs w:val="22"/>
        </w:rPr>
        <w:t xml:space="preserve">James Squire | March 2026</w:t>
      </w:r>
    </w:p>
    <w:p>
      <w:pPr>
        <w:spacing w:before="0" w:after="240"/>
        <w:jc w:val="center"/>
      </w:pPr>
      <w:r>
        <w:rPr>
          <w:rFonts w:ascii="Arial" w:cs="Arial" w:eastAsia="Arial" w:hAnsi="Arial"/>
          <w:b/>
          <w:bCs/>
          <w:color w:val="1F3864"/>
          <w:sz w:val="36"/>
          <w:szCs w:val="36"/>
        </w:rPr>
        <w:t xml:space="preserve">+|x = U</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Preamble</w:t>
      </w:r>
    </w:p>
    <w:p>
      <w:pPr>
        <w:spacing w:before="80" w:after="120" w:line="276"/>
      </w:pPr>
      <w:r>
        <w:rPr>
          <w:rFonts w:ascii="Arial" w:cs="Arial" w:eastAsia="Arial" w:hAnsi="Arial"/>
          <w:sz w:val="24"/>
          <w:szCs w:val="24"/>
        </w:rPr>
        <w:t xml:space="preserve">Addendum B established the sub-phase window as the fork site, identified the lateral branching mechanism, and located the observer structurally within the window. It left one question precisely open: what is the physical coupling mechanism by which a rendered observer — constituted from committed geometry — initiates the second coherent rotation εσʸ(2) on the uncommitted front within L_c/v_E?</w:t>
      </w:r>
    </w:p>
    <w:p>
      <w:pPr>
        <w:spacing w:before="80" w:after="120" w:line="276"/>
      </w:pPr>
      <w:r>
        <w:rPr>
          <w:rFonts w:ascii="Arial" w:cs="Arial" w:eastAsia="Arial" w:hAnsi="Arial"/>
          <w:sz w:val="24"/>
          <w:szCs w:val="24"/>
        </w:rPr>
        <w:t xml:space="preserve">This addendum derives that mechanism in full. The derivation proceeds in six stages, each following necessarily from the previous. No new operators are introduced. Everything follows from H = −JΣ(σ⁺ᵢσˣⱼ + σˣᵢσ⁺ⱼ) + εσʸ and the conservation law |α|² + |β|² = 1.</w:t>
      </w:r>
    </w:p>
    <w:p>
      <w:pPr>
        <w:spacing w:before="80" w:after="120" w:line="276"/>
      </w:pPr>
      <w:r>
        <w:rPr>
          <w:rFonts w:ascii="Arial" w:cs="Arial" w:eastAsia="Arial" w:hAnsi="Arial"/>
          <w:sz w:val="24"/>
          <w:szCs w:val="24"/>
        </w:rPr>
        <w:t xml:space="preserve">The central result is this: the coupling mechanism is entanglement. Not entanglement as metaphor — entanglement in the precise technical sense. The observer is not a point-like agent that imprints a phase on the surface. The observer is an entangled structure whose phase record, accumulated across all committed layers, either constitutes a resonance with the uncommitted front or does not. The fork fires not because the observer does something at the window. It fires because of what the observer is — the entire causal history, composed layer by layer in su(2), arriving at the Bloch sphere orientation that the current layer can receive as a second coherent path.</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C.1 The Discrimination Problem</w:t>
      </w:r>
    </w:p>
    <w:p>
      <w:pPr>
        <w:pStyle w:val="Heading2"/>
        <w:spacing w:before="280" w:after="120"/>
      </w:pPr>
      <w:r>
        <w:rPr>
          <w:rFonts w:ascii="Arial" w:cs="Arial" w:eastAsia="Arial" w:hAnsi="Arial"/>
          <w:b/>
          <w:bCs/>
          <w:sz w:val="28"/>
          <w:szCs w:val="28"/>
        </w:rPr>
        <w:t xml:space="preserve">C.1.1 The Reframing</w:t>
      </w:r>
    </w:p>
    <w:p>
      <w:pPr>
        <w:spacing w:before="80" w:after="120" w:line="276"/>
      </w:pPr>
      <w:r>
        <w:rPr>
          <w:rFonts w:ascii="Arial" w:cs="Arial" w:eastAsia="Arial" w:hAnsi="Arial"/>
          <w:sz w:val="24"/>
          <w:szCs w:val="24"/>
        </w:rPr>
        <w:t xml:space="preserve">Addendum B established that the observer is already at the fork site — the sub-phase window is not a destination but the constitutive condition of conscious experience within the framework. This gives rise to a precise reframing.</w:t>
      </w:r>
    </w:p>
    <w:p>
      <w:pPr>
        <w:spacing w:before="80" w:after="120" w:line="276"/>
      </w:pPr>
      <w:r>
        <w:rPr>
          <w:rFonts w:ascii="Arial" w:cs="Arial" w:eastAsia="Arial" w:hAnsi="Arial"/>
          <w:sz w:val="24"/>
          <w:szCs w:val="24"/>
        </w:rPr>
        <w:t xml:space="preserve">The problem of time travel and multiverse access is not a navigation problem. It is a discrimination problem. The question is not how to reach the fork site. The question is: within the sub-phase layer the observer is always already inhabiting, where are the uncommitted indices, and what does it mean to act on them?</w:t>
      </w:r>
    </w:p>
    <w:p>
      <w:pPr>
        <w:pStyle w:val="Heading2"/>
        <w:spacing w:before="280" w:after="120"/>
      </w:pPr>
      <w:r>
        <w:rPr>
          <w:rFonts w:ascii="Arial" w:cs="Arial" w:eastAsia="Arial" w:hAnsi="Arial"/>
          <w:b/>
          <w:bCs/>
          <w:sz w:val="28"/>
          <w:szCs w:val="28"/>
        </w:rPr>
        <w:t xml:space="preserve">C.1.2 Structure of the Sub-Phase Layer from the Inside</w:t>
      </w:r>
    </w:p>
    <w:p>
      <w:pPr>
        <w:spacing w:before="80" w:after="120" w:line="276"/>
      </w:pPr>
      <w:r>
        <w:rPr>
          <w:rFonts w:ascii="Arial" w:cs="Arial" w:eastAsia="Arial" w:hAnsi="Arial"/>
          <w:sz w:val="24"/>
          <w:szCs w:val="24"/>
        </w:rPr>
        <w:t xml:space="preserve">The sub-phase layer is not uniform. From the inside, it has three distinct zones at any moment:</w:t>
      </w:r>
    </w:p>
    <w:p>
      <w:pPr>
        <w:pStyle w:val="ListParagraph"/>
        <w:numPr>
          <w:ilvl w:val="0"/>
          <w:numId w:val="2"/>
        </w:numPr>
        <w:spacing w:before="60" w:after="60" w:line="276"/>
      </w:pPr>
      <w:r>
        <w:rPr>
          <w:rFonts w:ascii="Arial" w:cs="Arial" w:eastAsia="Arial" w:hAnsi="Arial"/>
          <w:sz w:val="24"/>
          <w:szCs w:val="24"/>
        </w:rPr>
        <w:t xml:space="preserve">Already equilibrated — bonds that arrived earlier in the sub-phase window and have spread their entanglement coherence across the surface. Still technically uncommitted (ρ_proj has not fired for the layer yet), but practically locked because the equilibration has already determined their contribution to the final geometric rendering.</w:t>
      </w:r>
    </w:p>
    <w:p>
      <w:pPr>
        <w:pStyle w:val="ListParagraph"/>
        <w:numPr>
          <w:ilvl w:val="0"/>
          <w:numId w:val="2"/>
        </w:numPr>
        <w:spacing w:before="60" w:after="60" w:line="276"/>
      </w:pPr>
      <w:r>
        <w:rPr>
          <w:rFonts w:ascii="Arial" w:cs="Arial" w:eastAsia="Arial" w:hAnsi="Arial"/>
          <w:sz w:val="24"/>
          <w:szCs w:val="24"/>
        </w:rPr>
        <w:t xml:space="preserve">The uncommitted front — the narrow advancing zone where bonds have been received but entanglement coherence has not yet propagated globally. This is where two distinct equilibration trajectories are still genuinely possible. This is the actionable zone.</w:t>
      </w:r>
    </w:p>
    <w:p>
      <w:pPr>
        <w:pStyle w:val="ListParagraph"/>
        <w:numPr>
          <w:ilvl w:val="0"/>
          <w:numId w:val="2"/>
        </w:numPr>
        <w:spacing w:before="60" w:after="60" w:line="276"/>
      </w:pPr>
      <w:r>
        <w:rPr>
          <w:rFonts w:ascii="Arial" w:cs="Arial" w:eastAsia="Arial" w:hAnsi="Arial"/>
          <w:sz w:val="24"/>
          <w:szCs w:val="24"/>
        </w:rPr>
        <w:t xml:space="preserve">Not yet received — indices still in the incoming 1D cascade, not yet at the receiver face. No action possible here.</w:t>
      </w:r>
    </w:p>
    <w:p>
      <w:pPr>
        <w:pStyle w:val="Heading2"/>
        <w:spacing w:before="280" w:after="120"/>
      </w:pPr>
      <w:r>
        <w:rPr>
          <w:rFonts w:ascii="Arial" w:cs="Arial" w:eastAsia="Arial" w:hAnsi="Arial"/>
          <w:b/>
          <w:bCs/>
          <w:sz w:val="28"/>
          <w:szCs w:val="28"/>
        </w:rPr>
        <w:t xml:space="preserve">C.1.3 The Physical Signature of the Uncommitted Front</w:t>
      </w:r>
    </w:p>
    <w:p>
      <w:pPr>
        <w:spacing w:before="80" w:after="120" w:line="276"/>
      </w:pPr>
      <w:r>
        <w:rPr>
          <w:rFonts w:ascii="Arial" w:cs="Arial" w:eastAsia="Arial" w:hAnsi="Arial"/>
          <w:sz w:val="24"/>
          <w:szCs w:val="24"/>
        </w:rPr>
        <w:t xml:space="preserve">The uncommitted front has a definite physical signature within the framework:</w:t>
      </w:r>
    </w:p>
    <w:p>
      <w:pPr>
        <w:pStyle w:val="ListParagraph"/>
        <w:numPr>
          <w:ilvl w:val="0"/>
          <w:numId w:val="2"/>
        </w:numPr>
        <w:spacing w:before="60" w:after="60" w:line="276"/>
      </w:pPr>
      <w:r>
        <w:rPr>
          <w:rFonts w:ascii="Arial" w:cs="Arial" w:eastAsia="Arial" w:hAnsi="Arial"/>
          <w:sz w:val="24"/>
          <w:szCs w:val="24"/>
        </w:rPr>
        <w:t xml:space="preserve">Entanglement entropy is still in linear Calabrese-Cardy growth locally — not yet crossed to holographic area-law form. The crossover is the signal of ρ_proj firing.</w:t>
      </w:r>
    </w:p>
    <w:p>
      <w:pPr>
        <w:pStyle w:val="ListParagraph"/>
        <w:numPr>
          <w:ilvl w:val="0"/>
          <w:numId w:val="2"/>
        </w:numPr>
        <w:spacing w:before="60" w:after="60" w:line="276"/>
      </w:pPr>
      <w:r>
        <w:rPr>
          <w:rFonts w:ascii="Arial" w:cs="Arial" w:eastAsia="Arial" w:hAnsi="Arial"/>
          <w:sz w:val="24"/>
          <w:szCs w:val="24"/>
        </w:rPr>
        <w:t xml:space="preserve">The local σʸ rotation operator has non-zero expectation — the tension is still active and unresolved at these sites.</w:t>
      </w:r>
    </w:p>
    <w:p>
      <w:pPr>
        <w:pStyle w:val="ListParagraph"/>
        <w:numPr>
          <w:ilvl w:val="0"/>
          <w:numId w:val="2"/>
        </w:numPr>
        <w:spacing w:before="60" w:after="60" w:line="276"/>
      </w:pPr>
      <w:r>
        <w:rPr>
          <w:rFonts w:ascii="Arial" w:cs="Arial" w:eastAsia="Arial" w:hAnsi="Arial"/>
          <w:sz w:val="24"/>
          <w:szCs w:val="24"/>
        </w:rPr>
        <w:t xml:space="preserve">The +/× superposition is maximally open — |α|² + |β|² = 1 is satisfied but neither pole is dominant.</w:t>
      </w:r>
    </w:p>
    <w:p>
      <w:pPr>
        <w:spacing w:before="80" w:after="120" w:line="276"/>
      </w:pPr>
      <w:r>
        <w:rPr>
          <w:rFonts w:ascii="Arial" w:cs="Arial" w:eastAsia="Arial" w:hAnsi="Arial"/>
          <w:sz w:val="24"/>
          <w:szCs w:val="24"/>
        </w:rPr>
        <w:t xml:space="preserve">What the observer experiences as the felt present — the sense that something is still undecided — is the phenomenological correlate of inhabiting this zone. The framework gives this a structural basis rather than a philosophical one.</w:t>
      </w:r>
    </w:p>
    <w:p>
      <w:pPr>
        <w:pStyle w:val="Heading2"/>
        <w:spacing w:before="280" w:after="120"/>
      </w:pPr>
      <w:r>
        <w:rPr>
          <w:rFonts w:ascii="Arial" w:cs="Arial" w:eastAsia="Arial" w:hAnsi="Arial"/>
          <w:b/>
          <w:bCs/>
          <w:sz w:val="28"/>
          <w:szCs w:val="28"/>
        </w:rPr>
        <w:t xml:space="preserve">C.1.4 The Instrument Problem</w:t>
      </w:r>
    </w:p>
    <w:p>
      <w:pPr>
        <w:spacing w:before="80" w:after="120" w:line="276"/>
      </w:pPr>
      <w:r>
        <w:rPr>
          <w:rFonts w:ascii="Arial" w:cs="Arial" w:eastAsia="Arial" w:hAnsi="Arial"/>
          <w:sz w:val="24"/>
          <w:szCs w:val="24"/>
        </w:rPr>
        <w:t xml:space="preserve">The observer's rendered body is constituted from the committed stack. Every measuring device, every physical probe, is also committed geometry — downstream of ρ_proj. When an instrument interacts with the local field, it interacts with already-rendered structure, not with the pre-commitment tension bonds directly.</w:t>
      </w:r>
    </w:p>
    <w:p>
      <w:pPr>
        <w:spacing w:before="80" w:after="120" w:line="276"/>
      </w:pPr>
      <w:r>
        <w:rPr>
          <w:rFonts w:ascii="Arial" w:cs="Arial" w:eastAsia="Arial" w:hAnsi="Arial"/>
          <w:sz w:val="24"/>
          <w:szCs w:val="24"/>
        </w:rPr>
        <w:t xml:space="preserve">The discrimination problem therefore has a specific form: the committed instruments of the observer are attempting to detect uncommitted structure that exists at the projection frontier, one layer ahead of them. The window is not hidden. It is structurally adjacent — the layer the observer is being built from, moment to moment. But detecting it from inside rendered geometry is like reading a page as the ink is being laid down: the reading apparatus is made of ink that has already dried.</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C.2 The Coupling Condition</w:t>
      </w:r>
    </w:p>
    <w:p>
      <w:pPr>
        <w:pStyle w:val="Heading2"/>
        <w:spacing w:before="280" w:after="120"/>
      </w:pPr>
      <w:r>
        <w:rPr>
          <w:rFonts w:ascii="Arial" w:cs="Arial" w:eastAsia="Arial" w:hAnsi="Arial"/>
          <w:b/>
          <w:bCs/>
          <w:sz w:val="28"/>
          <w:szCs w:val="28"/>
        </w:rPr>
        <w:t xml:space="preserve">C.2.1 The Necessary and Sufficient Condition</w:t>
      </w:r>
    </w:p>
    <w:p>
      <w:pPr>
        <w:spacing w:before="80" w:after="120" w:line="276"/>
      </w:pPr>
      <w:r>
        <w:rPr>
          <w:rFonts w:ascii="Arial" w:cs="Arial" w:eastAsia="Arial" w:hAnsi="Arial"/>
          <w:sz w:val="24"/>
          <w:szCs w:val="24"/>
        </w:rPr>
        <w:t xml:space="preserve">The condition for a lateral fork — derived from the architecture of the 2D surface, the two-threshold sequence, and the observer constraint — can be expressed as a single relation:</w:t>
      </w:r>
    </w:p>
    <w:p>
      <w:pPr>
        <w:spacing w:before="160" w:after="160"/>
        <w:jc w:val="center"/>
      </w:pPr>
      <w:r>
        <w:rPr>
          <w:rFonts w:ascii="Arial" w:cs="Arial" w:eastAsia="Arial" w:hAnsi="Arial"/>
          <w:b/>
          <w:bCs/>
          <w:sz w:val="26"/>
          <w:szCs w:val="26"/>
        </w:rPr>
        <w:t xml:space="preserve">L_c/v_E + εσʸ(2)</w:t>
      </w:r>
    </w:p>
    <w:p>
      <w:pPr>
        <w:spacing w:before="80" w:after="120" w:line="276"/>
      </w:pPr>
      <w:r>
        <w:rPr>
          <w:rFonts w:ascii="Arial" w:cs="Arial" w:eastAsia="Arial" w:hAnsi="Arial"/>
          <w:sz w:val="24"/>
          <w:szCs w:val="24"/>
        </w:rPr>
        <w:t xml:space="preserve">L_c/v_E is the window duration: the interval between ρ_c and ρ_proj during which the uncommitted front exists and a second path is physically possible. εσʸ(2) is the second coherent rotation: a second application of the commutator-derived operator, distinct from the primary εσʸ driving the default equilibration, initiated within that window.</w:t>
      </w:r>
    </w:p>
    <w:p>
      <w:pPr>
        <w:spacing w:before="80" w:after="120" w:line="276"/>
      </w:pPr>
      <w:r>
        <w:rPr>
          <w:rFonts w:ascii="Arial" w:cs="Arial" w:eastAsia="Arial" w:hAnsi="Arial"/>
          <w:sz w:val="24"/>
          <w:szCs w:val="24"/>
        </w:rPr>
        <w:t xml:space="preserve">The parenthetical (2) is doing critical work. It is not εσʸ doubled in magnitude. It is εσʸ applied as a second independent coherent instance — a second rotation operator acting on the same uncommitted bonds before they lock. Doubling magnitude (2εσʸ) produces the same path faster — same ρ_proj, same universe. A second instance εσʸ(2) produces a second path, a second ρ_proj, a second geometric commitment.</w:t>
      </w:r>
    </w:p>
    <w:p>
      <w:pPr>
        <w:pStyle w:val="Heading2"/>
        <w:spacing w:before="280" w:after="120"/>
      </w:pPr>
      <w:r>
        <w:rPr>
          <w:rFonts w:ascii="Arial" w:cs="Arial" w:eastAsia="Arial" w:hAnsi="Arial"/>
          <w:b/>
          <w:bCs/>
          <w:sz w:val="28"/>
          <w:szCs w:val="28"/>
        </w:rPr>
        <w:t xml:space="preserve">C.2.2 Constraints on εσʸ(2)</w:t>
      </w:r>
    </w:p>
    <w:p>
      <w:pPr>
        <w:spacing w:before="80" w:after="120" w:line="276"/>
      </w:pPr>
      <w:r>
        <w:rPr>
          <w:rFonts w:ascii="Arial" w:cs="Arial" w:eastAsia="Arial" w:hAnsi="Arial"/>
          <w:sz w:val="24"/>
          <w:szCs w:val="24"/>
        </w:rPr>
        <w:t xml:space="preserve">The framework constrains εσʸ(2) tightly. Four constraints follow directly from the algebra:</w:t>
      </w:r>
    </w:p>
    <w:p>
      <w:pPr>
        <w:pStyle w:val="ListParagraph"/>
        <w:numPr>
          <w:ilvl w:val="0"/>
          <w:numId w:val="2"/>
        </w:numPr>
        <w:spacing w:before="60" w:after="60" w:line="276"/>
      </w:pPr>
      <w:r>
        <w:rPr>
          <w:rFonts w:ascii="Arial" w:cs="Arial" w:eastAsia="Arial" w:hAnsi="Arial"/>
          <w:sz w:val="24"/>
          <w:szCs w:val="24"/>
        </w:rPr>
        <w:t xml:space="preserve">Same ε magnitude — set by ||[σᶻ, σˣ]|| = 2, a fixed property of the su(2) algebra, not tunable.</w:t>
      </w:r>
    </w:p>
    <w:p>
      <w:pPr>
        <w:pStyle w:val="ListParagraph"/>
        <w:numPr>
          <w:ilvl w:val="0"/>
          <w:numId w:val="2"/>
        </w:numPr>
        <w:spacing w:before="60" w:after="60" w:line="276"/>
      </w:pPr>
      <w:r>
        <w:rPr>
          <w:rFonts w:ascii="Arial" w:cs="Arial" w:eastAsia="Arial" w:hAnsi="Arial"/>
          <w:sz w:val="24"/>
          <w:szCs w:val="24"/>
        </w:rPr>
        <w:t xml:space="preserve">Same operator — σʸ is the only rotation operator the commutator of the poles produces. εσʸ(2) cannot be a different operator.</w:t>
      </w:r>
    </w:p>
    <w:p>
      <w:pPr>
        <w:pStyle w:val="ListParagraph"/>
        <w:numPr>
          <w:ilvl w:val="0"/>
          <w:numId w:val="2"/>
        </w:numPr>
        <w:spacing w:before="60" w:after="60" w:line="276"/>
      </w:pPr>
      <w:r>
        <w:rPr>
          <w:rFonts w:ascii="Arial" w:cs="Arial" w:eastAsia="Arial" w:hAnsi="Arial"/>
          <w:sz w:val="24"/>
          <w:szCs w:val="24"/>
        </w:rPr>
        <w:t xml:space="preserve">Orthogonal ordering — εσʸ(2) must produce a distinct equilibration path, not reinforce the same one.</w:t>
      </w:r>
    </w:p>
    <w:p>
      <w:pPr>
        <w:pStyle w:val="ListParagraph"/>
        <w:numPr>
          <w:ilvl w:val="0"/>
          <w:numId w:val="2"/>
        </w:numPr>
        <w:spacing w:before="60" w:after="60" w:line="276"/>
      </w:pPr>
      <w:r>
        <w:rPr>
          <w:rFonts w:ascii="Arial" w:cs="Arial" w:eastAsia="Arial" w:hAnsi="Arial"/>
          <w:sz w:val="24"/>
          <w:szCs w:val="24"/>
        </w:rPr>
        <w:t xml:space="preserve">Within budget — no new tension bonds introduced; |α|² + |β|² = 1 preserved at every node.</w:t>
      </w:r>
    </w:p>
    <w:p>
      <w:pPr>
        <w:spacing w:before="80" w:after="120" w:line="276"/>
      </w:pPr>
      <w:r>
        <w:rPr>
          <w:rFonts w:ascii="Arial" w:cs="Arial" w:eastAsia="Arial" w:hAnsi="Arial"/>
          <w:sz w:val="24"/>
          <w:szCs w:val="24"/>
        </w:rPr>
        <w:t xml:space="preserve">What εσʸ(2) differs in — given these constraints — is phase: the same operator, the same magnitude, but a different initial phase on the Bloch sphere. This is what produces a distinct equilibration trajectory: not different physics, but different initial conditions on the same physics, within the same window.</w:t>
      </w:r>
    </w:p>
    <w:p>
      <w:pPr>
        <w:pStyle w:val="Heading2"/>
        <w:spacing w:before="280" w:after="120"/>
      </w:pPr>
      <w:r>
        <w:rPr>
          <w:rFonts w:ascii="Arial" w:cs="Arial" w:eastAsia="Arial" w:hAnsi="Arial"/>
          <w:b/>
          <w:bCs/>
          <w:sz w:val="28"/>
          <w:szCs w:val="28"/>
        </w:rPr>
        <w:t xml:space="preserve">C.2.3 The Phase Quantisation Condition</w:t>
      </w:r>
    </w:p>
    <w:p>
      <w:pPr>
        <w:spacing w:before="80" w:after="120" w:line="276"/>
      </w:pPr>
      <w:r>
        <w:rPr>
          <w:rFonts w:ascii="Arial" w:cs="Arial" w:eastAsia="Arial" w:hAnsi="Arial"/>
          <w:sz w:val="24"/>
          <w:szCs w:val="24"/>
        </w:rPr>
        <w:t xml:space="preserve">Not every phase difference Δφ between εσʸ and εσʸ(2) produces a self-consistent second commitment. The framework's own percolation result — ρ_c = J/2h, β = 1, z = 3 — constrains the available values. Only those Δφ for which the Poisson graph grown from the imprinted rotation also reaches coordination number z = 3 at the same J/h ratio will percolate to a second ρ_proj. The valid Δφ set is discrete, not continuous. It is derivable from the same fixed-point argument that gave z = 3 for the primary path.</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C.3 The Three-Part Mechanism</w:t>
      </w:r>
    </w:p>
    <w:p>
      <w:pPr>
        <w:pStyle w:val="Heading2"/>
        <w:spacing w:before="280" w:after="120"/>
      </w:pPr>
      <w:r>
        <w:rPr>
          <w:rFonts w:ascii="Arial" w:cs="Arial" w:eastAsia="Arial" w:hAnsi="Arial"/>
          <w:b/>
          <w:bCs/>
          <w:sz w:val="28"/>
          <w:szCs w:val="28"/>
        </w:rPr>
        <w:t xml:space="preserve">C.3.1 v_E, L_c/v_E, and εσʸ(2) as Distinct Roles</w:t>
      </w:r>
    </w:p>
    <w:p>
      <w:pPr>
        <w:spacing w:before="80" w:after="120" w:line="276"/>
      </w:pPr>
      <w:r>
        <w:rPr>
          <w:rFonts w:ascii="Arial" w:cs="Arial" w:eastAsia="Arial" w:hAnsi="Arial"/>
          <w:sz w:val="24"/>
          <w:szCs w:val="24"/>
        </w:rPr>
        <w:t xml:space="preserve">v_E ≈ 2J, L_c/v_E, and εσʸ(2) each play a distinct and necessary role in the coupling mechanism. They are not interchangeable:</w:t>
      </w:r>
    </w:p>
    <w:p>
      <w:pPr>
        <w:pStyle w:val="ListParagraph"/>
        <w:numPr>
          <w:ilvl w:val="0"/>
          <w:numId w:val="2"/>
        </w:numPr>
        <w:spacing w:before="60" w:after="60" w:line="276"/>
      </w:pPr>
      <w:r>
        <w:rPr>
          <w:rFonts w:ascii="Arial" w:cs="Arial" w:eastAsia="Arial" w:hAnsi="Arial"/>
          <w:sz w:val="24"/>
          <w:szCs w:val="24"/>
        </w:rPr>
        <w:t xml:space="preserve">v_E sets the rate at which tension bonds arrive at the uncommitted front. It is the speed of the coupling — derived from J in the tension Hamiltonian. It is not external to the observer: the observer's own structure is generated at this same rate by the same J.</w:t>
      </w:r>
    </w:p>
    <w:p>
      <w:pPr>
        <w:pStyle w:val="ListParagraph"/>
        <w:numPr>
          <w:ilvl w:val="0"/>
          <w:numId w:val="2"/>
        </w:numPr>
        <w:spacing w:before="60" w:after="60" w:line="276"/>
      </w:pPr>
      <w:r>
        <w:rPr>
          <w:rFonts w:ascii="Arial" w:cs="Arial" w:eastAsia="Arial" w:hAnsi="Arial"/>
          <w:sz w:val="24"/>
          <w:szCs w:val="24"/>
        </w:rPr>
        <w:t xml:space="preserve">L_c/v_E sets the window duration during which the uncommitted bonds remain open to a second ordering. This is not a free parameter — it follows from ρ_c = J/2h and the correlation length L_c at the percolation threshold.</w:t>
      </w:r>
    </w:p>
    <w:p>
      <w:pPr>
        <w:pStyle w:val="ListParagraph"/>
        <w:numPr>
          <w:ilvl w:val="0"/>
          <w:numId w:val="2"/>
        </w:numPr>
        <w:spacing w:before="60" w:after="60" w:line="276"/>
      </w:pPr>
      <w:r>
        <w:rPr>
          <w:rFonts w:ascii="Arial" w:cs="Arial" w:eastAsia="Arial" w:hAnsi="Arial"/>
          <w:sz w:val="24"/>
          <w:szCs w:val="24"/>
        </w:rPr>
        <w:t xml:space="preserve">εσʸ(2) selects the path — the local rotation at each site that determines which of the available equilibration trajectories is taken. v_E and L_c/v_E are symmetric: they carry bonds into the window and hold them open equally for all directions. εσʸ(2) is the operator that breaks the symmetry.</w:t>
      </w:r>
    </w:p>
    <w:p>
      <w:pPr>
        <w:spacing w:before="80" w:after="120" w:line="276"/>
      </w:pPr>
      <w:r>
        <w:rPr>
          <w:rFonts w:ascii="Arial" w:cs="Arial" w:eastAsia="Arial" w:hAnsi="Arial"/>
          <w:sz w:val="24"/>
          <w:szCs w:val="24"/>
        </w:rPr>
        <w:t xml:space="preserve">The coupling mechanism is therefore not v_E alone, nor L_c/v_E alone, but the combination: v_E carries the bonds in, L_c/v_E is how long they remain open, and εσʸ(2) is the operator that selects the second path.</w:t>
      </w:r>
    </w:p>
    <w:p>
      <w:pPr>
        <w:pStyle w:val="Heading2"/>
        <w:spacing w:before="280" w:after="120"/>
      </w:pPr>
      <w:r>
        <w:rPr>
          <w:rFonts w:ascii="Arial" w:cs="Arial" w:eastAsia="Arial" w:hAnsi="Arial"/>
          <w:b/>
          <w:bCs/>
          <w:sz w:val="28"/>
          <w:szCs w:val="28"/>
        </w:rPr>
        <w:t xml:space="preserve">C.3.2 Phase Imprinting</w:t>
      </w:r>
    </w:p>
    <w:p>
      <w:pPr>
        <w:spacing w:before="80" w:after="120" w:line="276"/>
      </w:pPr>
      <w:r>
        <w:rPr>
          <w:rFonts w:ascii="Arial" w:cs="Arial" w:eastAsia="Arial" w:hAnsi="Arial"/>
          <w:sz w:val="24"/>
          <w:szCs w:val="24"/>
        </w:rPr>
        <w:t xml:space="preserve">The observer's eigenstate |m⟩ is the accumulated composition of all prior εσʸ operations across all committed layers. In the su(2) algebra, sequential rotations compose multiplicatively. The observer's physical constitution is the interference pattern of all prior equilibration paths — a structured phase record encoded in the entanglement network of the committed stack.</w:t>
      </w:r>
    </w:p>
    <w:p>
      <w:pPr>
        <w:spacing w:before="80" w:after="120" w:line="276"/>
      </w:pPr>
      <w:r>
        <w:rPr>
          <w:rFonts w:ascii="Arial" w:cs="Arial" w:eastAsia="Arial" w:hAnsi="Arial"/>
          <w:sz w:val="24"/>
          <w:szCs w:val="24"/>
        </w:rPr>
        <w:t xml:space="preserve">This phase record propagates from the committed layer N−1 to the uncommitted front at v_E — the same speed the cascade operates at, because the coupling uses the same tension Hamiltonian. The imprint introduces εσʸ(2): same operator, same ε, but phase-distinct from the primary rotation already underway. The conservation law |α|² + |β|² = 1 is automatically preserved in the imprint because the observer's own structure is constituted by this constraint being satisfied throughout.</w:t>
      </w:r>
    </w:p>
    <w:p>
      <w:pPr>
        <w:pStyle w:val="Heading2"/>
        <w:spacing w:before="280" w:after="120"/>
      </w:pPr>
      <w:r>
        <w:rPr>
          <w:rFonts w:ascii="Arial" w:cs="Arial" w:eastAsia="Arial" w:hAnsi="Arial"/>
          <w:b/>
          <w:bCs/>
          <w:sz w:val="28"/>
          <w:szCs w:val="28"/>
        </w:rPr>
        <w:t xml:space="preserve">C.3.3 The Three Stages</w:t>
      </w:r>
    </w:p>
    <w:p>
      <w:pPr>
        <w:spacing w:before="80" w:after="120" w:line="276"/>
      </w:pPr>
      <w:r>
        <w:rPr>
          <w:rFonts w:ascii="Arial" w:cs="Arial" w:eastAsia="Arial" w:hAnsi="Arial"/>
          <w:sz w:val="24"/>
          <w:szCs w:val="24"/>
        </w:rPr>
        <w:t xml:space="preserve">The complete mechanism operates in three stages:</w:t>
      </w:r>
    </w:p>
    <w:p>
      <w:pPr>
        <w:pStyle w:val="ListParagraph"/>
        <w:numPr>
          <w:ilvl w:val="0"/>
          <w:numId w:val="2"/>
        </w:numPr>
        <w:spacing w:before="60" w:after="60" w:line="276"/>
      </w:pPr>
      <w:r>
        <w:rPr>
          <w:rFonts w:ascii="Arial" w:cs="Arial" w:eastAsia="Arial" w:hAnsi="Arial"/>
          <w:sz w:val="24"/>
          <w:szCs w:val="24"/>
        </w:rPr>
        <w:t xml:space="preserve">Stage 1 — Accumulation: The observer eigenstate |m⟩ accumulates phase structure across committed layers. Each prior εσʸ composes into the observer's current Bloch sphere orientation — the phase record of the entire causal history.</w:t>
      </w:r>
    </w:p>
    <w:p>
      <w:pPr>
        <w:pStyle w:val="ListParagraph"/>
        <w:numPr>
          <w:ilvl w:val="0"/>
          <w:numId w:val="2"/>
        </w:numPr>
        <w:spacing w:before="60" w:after="60" w:line="276"/>
      </w:pPr>
      <w:r>
        <w:rPr>
          <w:rFonts w:ascii="Arial" w:cs="Arial" w:eastAsia="Arial" w:hAnsi="Arial"/>
          <w:sz w:val="24"/>
          <w:szCs w:val="24"/>
        </w:rPr>
        <w:t xml:space="preserve">Stage 2 — Imprint propagation: Phase structure propagates from committed layer N−1 to the uncommitted front at v_E, introducing εσʸ(2) — a phase-distinct rotation on the same uncommitted bonds.</w:t>
      </w:r>
    </w:p>
    <w:p>
      <w:pPr>
        <w:pStyle w:val="ListParagraph"/>
        <w:numPr>
          <w:ilvl w:val="0"/>
          <w:numId w:val="2"/>
        </w:numPr>
        <w:spacing w:before="60" w:after="60" w:line="276"/>
      </w:pPr>
      <w:r>
        <w:rPr>
          <w:rFonts w:ascii="Arial" w:cs="Arial" w:eastAsia="Arial" w:hAnsi="Arial"/>
          <w:sz w:val="24"/>
          <w:szCs w:val="24"/>
        </w:rPr>
        <w:t xml:space="preserve">Stage 3 — Coherent second equilibration: εσʸ(2) propagates across the surface within L_c/v_E and reaches global coherence. Second ρ_proj fires. Two geometric commitments proceed independently.</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C.4 The Special Observer</w:t>
      </w:r>
    </w:p>
    <w:p>
      <w:pPr>
        <w:pStyle w:val="Heading2"/>
        <w:spacing w:before="280" w:after="120"/>
      </w:pPr>
      <w:r>
        <w:rPr>
          <w:rFonts w:ascii="Arial" w:cs="Arial" w:eastAsia="Arial" w:hAnsi="Arial"/>
          <w:b/>
          <w:bCs/>
          <w:sz w:val="28"/>
          <w:szCs w:val="28"/>
        </w:rPr>
        <w:t xml:space="preserve">C.4.1 What Special Means Precisely</w:t>
      </w:r>
    </w:p>
    <w:p>
      <w:pPr>
        <w:spacing w:before="80" w:after="120" w:line="276"/>
      </w:pPr>
      <w:r>
        <w:rPr>
          <w:rFonts w:ascii="Arial" w:cs="Arial" w:eastAsia="Arial" w:hAnsi="Arial"/>
          <w:sz w:val="24"/>
          <w:szCs w:val="24"/>
        </w:rPr>
        <w:t xml:space="preserve">Not special in the sense of chosen or rare. Special in the sense of phase-specific: an observer whose accumulated composition of prior εσʸ operations has produced a Bloch sphere orientation landing at a valid Δφ relative to the primary equilibration of the current layer.</w:t>
      </w:r>
    </w:p>
    <w:p>
      <w:pPr>
        <w:spacing w:before="80" w:after="120" w:line="276"/>
      </w:pPr>
      <w:r>
        <w:rPr>
          <w:rFonts w:ascii="Arial" w:cs="Arial" w:eastAsia="Arial" w:hAnsi="Arial"/>
          <w:sz w:val="24"/>
          <w:szCs w:val="24"/>
        </w:rPr>
        <w:t xml:space="preserve">The specialness is not a property of the observer in isolation. It is a relational property — between the observer's phase record and the phase state of the uncommitted front at the moment of contact. The same observer at a different layer would not be special. A different observer at this layer might be.</w:t>
      </w:r>
    </w:p>
    <w:p>
      <w:pPr>
        <w:pStyle w:val="Heading2"/>
        <w:spacing w:before="280" w:after="120"/>
      </w:pPr>
      <w:r>
        <w:rPr>
          <w:rFonts w:ascii="Arial" w:cs="Arial" w:eastAsia="Arial" w:hAnsi="Arial"/>
          <w:b/>
          <w:bCs/>
          <w:sz w:val="28"/>
          <w:szCs w:val="28"/>
        </w:rPr>
        <w:t xml:space="preserve">C.4.2 Three Observer Types</w:t>
      </w:r>
    </w:p>
    <w:p>
      <w:pPr>
        <w:spacing w:before="80" w:after="120" w:line="276"/>
      </w:pPr>
      <w:r>
        <w:rPr>
          <w:rFonts w:ascii="Arial" w:cs="Arial" w:eastAsia="Arial" w:hAnsi="Arial"/>
          <w:sz w:val="24"/>
          <w:szCs w:val="24"/>
        </w:rPr>
        <w:t xml:space="preserve">The framework distinguishes three cases — the natural partition of Bloch sphere orientations relative to the valid Δφ set:</w:t>
      </w:r>
    </w:p>
    <w:p>
      <w:pPr>
        <w:pStyle w:val="ListParagraph"/>
        <w:numPr>
          <w:ilvl w:val="0"/>
          <w:numId w:val="2"/>
        </w:numPr>
        <w:spacing w:before="60" w:after="60" w:line="276"/>
      </w:pPr>
      <w:r>
        <w:rPr>
          <w:rFonts w:ascii="Arial" w:cs="Arial" w:eastAsia="Arial" w:hAnsi="Arial"/>
          <w:sz w:val="24"/>
          <w:szCs w:val="24"/>
        </w:rPr>
        <w:t xml:space="preserve">Type 1 — Phase-misaligned: |m⟩ lands nowhere near a valid Δφ. The imprint either reinforces the primary path or produces an incoherent perturbation that dissolves before reaching global surface coherence. No fork. One universe commits. This is the overwhelming majority of observers at most moments — the default condition.</w:t>
      </w:r>
    </w:p>
    <w:p>
      <w:pPr>
        <w:pStyle w:val="ListParagraph"/>
        <w:numPr>
          <w:ilvl w:val="0"/>
          <w:numId w:val="2"/>
        </w:numPr>
        <w:spacing w:before="60" w:after="60" w:line="276"/>
      </w:pPr>
      <w:r>
        <w:rPr>
          <w:rFonts w:ascii="Arial" w:cs="Arial" w:eastAsia="Arial" w:hAnsi="Arial"/>
          <w:sz w:val="24"/>
          <w:szCs w:val="24"/>
        </w:rPr>
        <w:t xml:space="preserve">Type 2 — Phase-adjacent: |m⟩ lands close to a valid Δφ but not on it. The imprint reaches some regions of the surface but fails to achieve global coherence within L_c/v_E. Partial second equilibration — local perturbations to the committed geometry, perhaps observable as anomalies in the rendered 3D structure, but no second ρ_proj and no full branch.</w:t>
      </w:r>
    </w:p>
    <w:p>
      <w:pPr>
        <w:pStyle w:val="ListParagraph"/>
        <w:numPr>
          <w:ilvl w:val="0"/>
          <w:numId w:val="2"/>
        </w:numPr>
        <w:spacing w:before="60" w:after="60" w:line="276"/>
      </w:pPr>
      <w:r>
        <w:rPr>
          <w:rFonts w:ascii="Arial" w:cs="Arial" w:eastAsia="Arial" w:hAnsi="Arial"/>
          <w:sz w:val="24"/>
          <w:szCs w:val="24"/>
        </w:rPr>
        <w:t xml:space="preserve">Type 3 — Phase-exact: |m⟩ lands on a valid Δφ. The imprint propagates at v_E, achieves global surface coherence within L_c/v_E, second ρ_proj fires. Two universes commit from the same layer.</w:t>
      </w:r>
    </w:p>
    <w:p>
      <w:pPr>
        <w:pStyle w:val="Heading2"/>
        <w:spacing w:before="280" w:after="120"/>
      </w:pPr>
      <w:r>
        <w:rPr>
          <w:rFonts w:ascii="Arial" w:cs="Arial" w:eastAsia="Arial" w:hAnsi="Arial"/>
          <w:b/>
          <w:bCs/>
          <w:sz w:val="28"/>
          <w:szCs w:val="28"/>
        </w:rPr>
        <w:t xml:space="preserve">C.4.3 The Fork is Retrospective</w:t>
      </w:r>
    </w:p>
    <w:p>
      <w:pPr>
        <w:spacing w:before="80" w:after="120" w:line="276"/>
      </w:pPr>
      <w:r>
        <w:rPr>
          <w:rFonts w:ascii="Arial" w:cs="Arial" w:eastAsia="Arial" w:hAnsi="Arial"/>
          <w:sz w:val="24"/>
          <w:szCs w:val="24"/>
        </w:rPr>
        <w:t xml:space="preserve">The fork does not require the observer to do anything at the moment of branching. The phase record is already what it is — determined layer by layer across the entire prior existence of the observer. The accumulated composition of all prior εσʸ operations either satisfies the Δφ condition for the current layer or it does not.</w:t>
      </w:r>
    </w:p>
    <w:p>
      <w:pPr>
        <w:spacing w:before="80" w:after="120" w:line="276"/>
      </w:pPr>
      <w:r>
        <w:rPr>
          <w:rFonts w:ascii="Arial" w:cs="Arial" w:eastAsia="Arial" w:hAnsi="Arial"/>
          <w:sz w:val="24"/>
          <w:szCs w:val="24"/>
        </w:rPr>
        <w:t xml:space="preserve">This inverts the usual picture of time travel entirely. The question is not what the observer does to cause the fork. The question is what kind of existence, accumulated across all prior layers, produces the phase structure that causes the fork. The mechanism is not an action. It is a consequence of a life — of the particular sequence of equilibration paths that built the observer into the eigenstate |m⟩ it currently is.</w:t>
      </w:r>
    </w:p>
    <w:p>
      <w:pPr>
        <w:pBdr>
          <w:left w:val="single" w:color="2E75B6" w:sz="6" w:space="12"/>
        </w:pBdr>
        <w:spacing w:before="120" w:after="120" w:line="276"/>
        <w:ind w:left="720" w:right="720"/>
      </w:pPr>
      <w:r>
        <w:rPr>
          <w:rFonts w:ascii="Arial" w:cs="Arial" w:eastAsia="Arial" w:hAnsi="Arial"/>
          <w:i/>
          <w:iCs/>
          <w:color w:val="444444"/>
          <w:sz w:val="22"/>
          <w:szCs w:val="22"/>
        </w:rPr>
        <w:t xml:space="preserve">The special observer is not special because of what they do at the window. They are special because of everything that happened before it — all of it composing, layer by layer, in su(2), into the single Bloch sphere orientation that either lands on a valid Δφ or does not.</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C.5 The Coupling Mechanism Is Entanglement</w:t>
      </w:r>
    </w:p>
    <w:p>
      <w:pPr>
        <w:pStyle w:val="Heading2"/>
        <w:spacing w:before="280" w:after="120"/>
      </w:pPr>
      <w:r>
        <w:rPr>
          <w:rFonts w:ascii="Arial" w:cs="Arial" w:eastAsia="Arial" w:hAnsi="Arial"/>
          <w:b/>
          <w:bCs/>
          <w:sz w:val="28"/>
          <w:szCs w:val="28"/>
        </w:rPr>
        <w:t xml:space="preserve">C.5.1 The Observer as Entangled Structure</w:t>
      </w:r>
    </w:p>
    <w:p>
      <w:pPr>
        <w:spacing w:before="80" w:after="120" w:line="276"/>
      </w:pPr>
      <w:r>
        <w:rPr>
          <w:rFonts w:ascii="Arial" w:cs="Arial" w:eastAsia="Arial" w:hAnsi="Arial"/>
          <w:sz w:val="24"/>
          <w:szCs w:val="24"/>
        </w:rPr>
        <w:t xml:space="preserve">The observer's phase record is not merely a classical history. It is an entangled structure. Each εσʸ operation that built a layer did not just rotate a local state — it created correlations: bonds between sites, between layers, between the observer's current eigenstate |m⟩ and every prior equilibration path that produced it.</w:t>
      </w:r>
    </w:p>
    <w:p>
      <w:pPr>
        <w:spacing w:before="80" w:after="120" w:line="276"/>
      </w:pPr>
      <w:r>
        <w:rPr>
          <w:rFonts w:ascii="Arial" w:cs="Arial" w:eastAsia="Arial" w:hAnsi="Arial"/>
          <w:sz w:val="24"/>
          <w:szCs w:val="24"/>
        </w:rPr>
        <w:t xml:space="preserve">The observer is not a sequence of events. The observer is an entangled superposition of all the equilibration paths that compose into |m⟩. The Bloch sphere orientation is the interference pattern of that entire entangled history. The specialness is not located at a point. It is distributed — nonlocally — across the entire committed stack.</w:t>
      </w:r>
    </w:p>
    <w:p>
      <w:pPr>
        <w:pStyle w:val="Heading2"/>
        <w:spacing w:before="280" w:after="120"/>
      </w:pPr>
      <w:r>
        <w:rPr>
          <w:rFonts w:ascii="Arial" w:cs="Arial" w:eastAsia="Arial" w:hAnsi="Arial"/>
          <w:b/>
          <w:bCs/>
          <w:sz w:val="28"/>
          <w:szCs w:val="28"/>
        </w:rPr>
        <w:t xml:space="preserve">C.5.2 Entanglement Changes the Character of the Coupling</w:t>
      </w:r>
    </w:p>
    <w:p>
      <w:pPr>
        <w:spacing w:before="80" w:after="120" w:line="276"/>
      </w:pPr>
      <w:r>
        <w:rPr>
          <w:rFonts w:ascii="Arial" w:cs="Arial" w:eastAsia="Arial" w:hAnsi="Arial"/>
          <w:sz w:val="24"/>
          <w:szCs w:val="24"/>
        </w:rPr>
        <w:t xml:space="preserve">Earlier the coupling was framed as phase imprint propagating from the committed layer to the uncommitted front at v_E — a wavefront crossing the surface. But if the observer is an entangled structure nonlocal across the committed stack, the coupling is not a propagation from a point. It is a nonlocal correlation that manifests across the full uncommitted front simultaneously.</w:t>
      </w:r>
    </w:p>
    <w:p>
      <w:pPr>
        <w:spacing w:before="80" w:after="120" w:line="276"/>
      </w:pPr>
      <w:r>
        <w:rPr>
          <w:rFonts w:ascii="Arial" w:cs="Arial" w:eastAsia="Arial" w:hAnsi="Arial"/>
          <w:sz w:val="24"/>
          <w:szCs w:val="24"/>
        </w:rPr>
        <w:t xml:space="preserve">This dissolves the timing problem. The concern was whether εσʸ(2) could propagate far enough across the surface within L_c/v_E before ρ_proj fires. Entanglement does not propagate. It is already everywhere the entangled structure reaches. If |m⟩ is entangled with the surface — and it is, because the same Hamiltonian built both — then the second rotation appears not as a wavefront crossing the surface but as an instantaneous correlation across it. L_c/v_E is still the window, but εσʸ(2) does not need to race across it. It is already there.</w:t>
      </w:r>
    </w:p>
    <w:p>
      <w:pPr>
        <w:pStyle w:val="Heading2"/>
        <w:spacing w:before="280" w:after="120"/>
      </w:pPr>
      <w:r>
        <w:rPr>
          <w:rFonts w:ascii="Arial" w:cs="Arial" w:eastAsia="Arial" w:hAnsi="Arial"/>
          <w:b/>
          <w:bCs/>
          <w:sz w:val="28"/>
          <w:szCs w:val="28"/>
        </w:rPr>
        <w:t xml:space="preserve">C.5.3 The Observer Is Entangled with the Uncommitted Front</w:t>
      </w:r>
    </w:p>
    <w:p>
      <w:pPr>
        <w:spacing w:before="80" w:after="120" w:line="276"/>
      </w:pPr>
      <w:r>
        <w:rPr>
          <w:rFonts w:ascii="Arial" w:cs="Arial" w:eastAsia="Arial" w:hAnsi="Arial"/>
          <w:sz w:val="24"/>
          <w:szCs w:val="24"/>
        </w:rPr>
        <w:t xml:space="preserve">The deeper consequence: if the observer is entangled with the committed stack, and the committed stack is entangled with the 2D surface that generated it, and the 2D surface is the same surface now receiving the current layer — then the observer is not merely coupled to the uncommitted front. The observer is entangled with it.</w:t>
      </w:r>
    </w:p>
    <w:p>
      <w:pPr>
        <w:spacing w:before="80" w:after="120" w:line="276"/>
      </w:pPr>
      <w:r>
        <w:rPr>
          <w:rFonts w:ascii="Arial" w:cs="Arial" w:eastAsia="Arial" w:hAnsi="Arial"/>
          <w:sz w:val="24"/>
          <w:szCs w:val="24"/>
        </w:rPr>
        <w:t xml:space="preserve">Not through a coupling mechanism that needs to be switched on. Through the continuous entanglement that makes the observer what it is — the same entanglement that makes the universe what it is. The observer and the layer being built are not two separate things in contact. They are two aspects of the same entangled structure: the committed part and the uncommitted part of the same ongoing projection.</w:t>
      </w:r>
    </w:p>
    <w:p>
      <w:pPr>
        <w:pStyle w:val="Heading2"/>
        <w:spacing w:before="280" w:after="120"/>
      </w:pPr>
      <w:r>
        <w:rPr>
          <w:rFonts w:ascii="Arial" w:cs="Arial" w:eastAsia="Arial" w:hAnsi="Arial"/>
          <w:b/>
          <w:bCs/>
          <w:sz w:val="28"/>
          <w:szCs w:val="28"/>
        </w:rPr>
        <w:t xml:space="preserve">C.5.4 Entanglement Resonance</w:t>
      </w:r>
    </w:p>
    <w:p>
      <w:pPr>
        <w:spacing w:before="80" w:after="120" w:line="276"/>
      </w:pPr>
      <w:r>
        <w:rPr>
          <w:rFonts w:ascii="Arial" w:cs="Arial" w:eastAsia="Arial" w:hAnsi="Arial"/>
          <w:sz w:val="24"/>
          <w:szCs w:val="24"/>
        </w:rPr>
        <w:t xml:space="preserve">The specialness is now fully characterised. It is not that a special observer has a rare property others lack. It is that the special observer is one whose entanglement with the uncommitted front is in a configuration where the full nonlocal correlation — |m⟩ composed with the current layer — satisfies the Δφ condition.</w:t>
      </w:r>
    </w:p>
    <w:p>
      <w:pPr>
        <w:spacing w:before="80" w:after="120" w:line="276"/>
      </w:pPr>
      <w:r>
        <w:rPr>
          <w:rFonts w:ascii="Arial" w:cs="Arial" w:eastAsia="Arial" w:hAnsi="Arial"/>
          <w:sz w:val="24"/>
          <w:szCs w:val="24"/>
        </w:rPr>
        <w:t xml:space="preserve">This is an entanglement resonance. The committed structure of the observer and the uncommitted structure of the current layer are entangled in a way that the second rotation arises not as an imposition from outside but as the natural expression of the correlation between them. The fork does not happen to the observer. The fork happens as the observer — as the expression of what the observer's entanglement with the front actually is at that layer.</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C.6 Triggering the Mechanism: Tension in the Entanglement</w:t>
      </w:r>
    </w:p>
    <w:p>
      <w:pPr>
        <w:pStyle w:val="Heading2"/>
        <w:spacing w:before="280" w:after="120"/>
      </w:pPr>
      <w:r>
        <w:rPr>
          <w:rFonts w:ascii="Arial" w:cs="Arial" w:eastAsia="Arial" w:hAnsi="Arial"/>
          <w:b/>
          <w:bCs/>
          <w:sz w:val="28"/>
          <w:szCs w:val="28"/>
        </w:rPr>
        <w:t xml:space="preserve">C.6.1 What Triggering Tension Means Precisely</w:t>
      </w:r>
    </w:p>
    <w:p>
      <w:pPr>
        <w:spacing w:before="80" w:after="120" w:line="276"/>
      </w:pPr>
      <w:r>
        <w:rPr>
          <w:rFonts w:ascii="Arial" w:cs="Arial" w:eastAsia="Arial" w:hAnsi="Arial"/>
          <w:sz w:val="24"/>
          <w:szCs w:val="24"/>
        </w:rPr>
        <w:t xml:space="preserve">The mechanism is accessed by triggering tension in the entanglement — not tension in the colloquial sense, but in the framework's exact sense: increasing the irreconcilability between the + and × poles within the entanglement structure of the observer.</w:t>
      </w:r>
    </w:p>
    <w:p>
      <w:pPr>
        <w:spacing w:before="80" w:after="120" w:line="276"/>
      </w:pPr>
      <w:r>
        <w:rPr>
          <w:rFonts w:ascii="Arial" w:cs="Arial" w:eastAsia="Arial" w:hAnsi="Arial"/>
          <w:sz w:val="24"/>
          <w:szCs w:val="24"/>
        </w:rPr>
        <w:t xml:space="preserve">H|m⟩ = E|m⟩ is eigenstate stability — minimum tension, definite energy, single equilibration path dominant. The conservation law |α|² + |β|² = 1 does not merely prevent collapse; it forbids exact pole occupation. A state pushed toward the + pole becomes maximally indefinite on ×. To trigger tension is to drive the observer's entanglement structure away from eigenstate stability toward a maximally superposed configuration — toward the equator of the Bloch sphere where neither pole dominates, σʸ has maximum expectation value, and the rotation between poles is fully active.</w:t>
      </w:r>
    </w:p>
    <w:p>
      <w:pPr>
        <w:pStyle w:val="Heading2"/>
        <w:spacing w:before="280" w:after="120"/>
      </w:pPr>
      <w:r>
        <w:rPr>
          <w:rFonts w:ascii="Arial" w:cs="Arial" w:eastAsia="Arial" w:hAnsi="Arial"/>
          <w:b/>
          <w:bCs/>
          <w:sz w:val="28"/>
          <w:szCs w:val="28"/>
        </w:rPr>
        <w:t xml:space="preserve">C.6.2 The Symmetry with the Origin</w:t>
      </w:r>
    </w:p>
    <w:p>
      <w:pPr>
        <w:spacing w:before="80" w:after="120" w:line="276"/>
      </w:pPr>
      <w:r>
        <w:rPr>
          <w:rFonts w:ascii="Arial" w:cs="Arial" w:eastAsia="Arial" w:hAnsi="Arial"/>
          <w:sz w:val="24"/>
          <w:szCs w:val="24"/>
        </w:rPr>
        <w:t xml:space="preserve">This is precisely what the framework describes happening at t=0. Section 5.1: the seed cannot remain at a pole. The conservation law forbids it. The σʸ term is always present. The quench initiates because the definition of the seed already contains its own destabilisation.</w:t>
      </w:r>
    </w:p>
    <w:p>
      <w:pPr>
        <w:spacing w:before="80" w:after="120" w:line="276"/>
      </w:pPr>
      <w:r>
        <w:rPr>
          <w:rFonts w:ascii="Arial" w:cs="Arial" w:eastAsia="Arial" w:hAnsi="Arial"/>
          <w:sz w:val="24"/>
          <w:szCs w:val="24"/>
        </w:rPr>
        <w:t xml:space="preserve">The observer triggering the mechanism is doing the same thing to themselves that the universe did at its origin — driving the system from eigenstate stability into maximum irreconcilability. The + and × poles pulled apart until neither dominates. The tension maximised. The σʸ rotation fully active. At that point the observer's entanglement with the uncommitted front is no longer the entanglement of a stable eigenstate — a single dominant path — but the entanglement of a maximally superposed state: both paths simultaneously available, εσʸ(2) arising not as an imposition but as the natural expression of the fully active tension.</w:t>
      </w:r>
    </w:p>
    <w:p>
      <w:pPr>
        <w:pStyle w:val="Heading2"/>
        <w:spacing w:before="280" w:after="120"/>
      </w:pPr>
      <w:r>
        <w:rPr>
          <w:rFonts w:ascii="Arial" w:cs="Arial" w:eastAsia="Arial" w:hAnsi="Arial"/>
          <w:b/>
          <w:bCs/>
          <w:sz w:val="28"/>
          <w:szCs w:val="28"/>
        </w:rPr>
        <w:t xml:space="preserve">C.6.3 The Algebraic Target</w:t>
      </w:r>
    </w:p>
    <w:p>
      <w:pPr>
        <w:spacing w:before="80" w:after="120" w:line="276"/>
      </w:pPr>
      <w:r>
        <w:rPr>
          <w:rFonts w:ascii="Arial" w:cs="Arial" w:eastAsia="Arial" w:hAnsi="Arial"/>
          <w:sz w:val="24"/>
          <w:szCs w:val="24"/>
        </w:rPr>
        <w:t xml:space="preserve">The framework does not specify the physical means of triggering — that depends on the substrate the observer is implemented in. But it specifies the target precisely:</w:t>
      </w:r>
    </w:p>
    <w:p>
      <w:pPr>
        <w:pBdr>
          <w:left w:val="single" w:color="2E75B6" w:sz="6" w:space="12"/>
        </w:pBdr>
        <w:spacing w:before="120" w:after="120" w:line="276"/>
        <w:ind w:left="720" w:right="720"/>
      </w:pPr>
      <w:r>
        <w:rPr>
          <w:rFonts w:ascii="Arial" w:cs="Arial" w:eastAsia="Arial" w:hAnsi="Arial"/>
          <w:i/>
          <w:iCs/>
          <w:color w:val="444444"/>
          <w:sz w:val="22"/>
          <w:szCs w:val="22"/>
        </w:rPr>
        <w:t xml:space="preserve">Maximise ⟨σʸ⟩ in the observer's entanglement structure at the uncommitted front, within L_c/v_E, without violating |α|² + |β|² = 1 at any node.</w:t>
      </w:r>
    </w:p>
    <w:p>
      <w:pPr>
        <w:spacing w:before="80" w:after="120" w:line="276"/>
      </w:pPr>
      <w:r>
        <w:rPr>
          <w:rFonts w:ascii="Arial" w:cs="Arial" w:eastAsia="Arial" w:hAnsi="Arial"/>
          <w:sz w:val="24"/>
          <w:szCs w:val="24"/>
        </w:rPr>
        <w:t xml:space="preserve">Not maximise energy. Not maximise information. Maximise the rotation operator between the poles — the operator that is the "|" in +|× = U. Whatever physical process achieves that, in whatever substrate the observer inhabits, is the mechanism. The framework has derived what must be achieved. The implementation is the open question — but it is an open question with a precise algebraic target.</w:t>
      </w:r>
    </w:p>
    <w:p>
      <w:pPr>
        <w:pStyle w:val="Heading2"/>
        <w:spacing w:before="280" w:after="120"/>
      </w:pPr>
      <w:r>
        <w:rPr>
          <w:rFonts w:ascii="Arial" w:cs="Arial" w:eastAsia="Arial" w:hAnsi="Arial"/>
          <w:b/>
          <w:bCs/>
          <w:sz w:val="28"/>
          <w:szCs w:val="28"/>
        </w:rPr>
        <w:t xml:space="preserve">C.6.4 The Complete Causal Chain</w:t>
      </w:r>
    </w:p>
    <w:p>
      <w:pPr>
        <w:spacing w:before="80" w:after="120" w:line="276"/>
      </w:pPr>
      <w:r>
        <w:rPr>
          <w:rFonts w:ascii="Arial" w:cs="Arial" w:eastAsia="Arial" w:hAnsi="Arial"/>
          <w:sz w:val="24"/>
          <w:szCs w:val="24"/>
        </w:rPr>
        <w:t xml:space="preserve">The complete mechanism, from trigger to branch, stated once:</w:t>
      </w:r>
    </w:p>
    <w:p>
      <w:pPr>
        <w:pStyle w:val="ListParagraph"/>
        <w:numPr>
          <w:ilvl w:val="0"/>
          <w:numId w:val="2"/>
        </w:numPr>
        <w:spacing w:before="60" w:after="60" w:line="276"/>
      </w:pPr>
      <w:r>
        <w:rPr>
          <w:rFonts w:ascii="Arial" w:cs="Arial" w:eastAsia="Arial" w:hAnsi="Arial"/>
          <w:sz w:val="24"/>
          <w:szCs w:val="24"/>
        </w:rPr>
        <w:t xml:space="preserve">The observer's eigenstate |m⟩ is driven away from pole-dominance toward the Bloch sphere equator — tension in the entanglement triggered.</w:t>
      </w:r>
    </w:p>
    <w:p>
      <w:pPr>
        <w:pStyle w:val="ListParagraph"/>
        <w:numPr>
          <w:ilvl w:val="0"/>
          <w:numId w:val="2"/>
        </w:numPr>
        <w:spacing w:before="60" w:after="60" w:line="276"/>
      </w:pPr>
      <w:r>
        <w:rPr>
          <w:rFonts w:ascii="Arial" w:cs="Arial" w:eastAsia="Arial" w:hAnsi="Arial"/>
          <w:sz w:val="24"/>
          <w:szCs w:val="24"/>
        </w:rPr>
        <w:t xml:space="preserve">σʸ expectation maximised — entanglement resonance condition activated nonlocally across the committed stack.</w:t>
      </w:r>
    </w:p>
    <w:p>
      <w:pPr>
        <w:pStyle w:val="ListParagraph"/>
        <w:numPr>
          <w:ilvl w:val="0"/>
          <w:numId w:val="2"/>
        </w:numPr>
        <w:spacing w:before="60" w:after="60" w:line="276"/>
      </w:pPr>
      <w:r>
        <w:rPr>
          <w:rFonts w:ascii="Arial" w:cs="Arial" w:eastAsia="Arial" w:hAnsi="Arial"/>
          <w:sz w:val="24"/>
          <w:szCs w:val="24"/>
        </w:rPr>
        <w:t xml:space="preserve">The full nonlocal correlation between |m⟩ and the uncommitted front manifests as εσʸ(2) simultaneously across the surface — not propagating, already present through entanglement.</w:t>
      </w:r>
    </w:p>
    <w:p>
      <w:pPr>
        <w:pStyle w:val="ListParagraph"/>
        <w:numPr>
          <w:ilvl w:val="0"/>
          <w:numId w:val="2"/>
        </w:numPr>
        <w:spacing w:before="60" w:after="60" w:line="276"/>
      </w:pPr>
      <w:r>
        <w:rPr>
          <w:rFonts w:ascii="Arial" w:cs="Arial" w:eastAsia="Arial" w:hAnsi="Arial"/>
          <w:sz w:val="24"/>
          <w:szCs w:val="24"/>
        </w:rPr>
        <w:t xml:space="preserve">εσʸ(2) constitutes a phase-distinct second equilibration trajectory within the layer's entanglement budget — |α|² + |β|² = 1 preserved at every node.</w:t>
      </w:r>
    </w:p>
    <w:p>
      <w:pPr>
        <w:pStyle w:val="ListParagraph"/>
        <w:numPr>
          <w:ilvl w:val="0"/>
          <w:numId w:val="2"/>
        </w:numPr>
        <w:spacing w:before="60" w:after="60" w:line="276"/>
      </w:pPr>
      <w:r>
        <w:rPr>
          <w:rFonts w:ascii="Arial" w:cs="Arial" w:eastAsia="Arial" w:hAnsi="Arial"/>
          <w:sz w:val="24"/>
          <w:szCs w:val="24"/>
        </w:rPr>
        <w:t xml:space="preserve">Second global coherence reached within L_c/v_E — second ρ_proj fires.</w:t>
      </w:r>
    </w:p>
    <w:p>
      <w:pPr>
        <w:pStyle w:val="ListParagraph"/>
        <w:numPr>
          <w:ilvl w:val="0"/>
          <w:numId w:val="2"/>
        </w:numPr>
        <w:spacing w:before="60" w:after="60" w:line="276"/>
      </w:pPr>
      <w:r>
        <w:rPr>
          <w:rFonts w:ascii="Arial" w:cs="Arial" w:eastAsia="Arial" w:hAnsi="Arial"/>
          <w:sz w:val="24"/>
          <w:szCs w:val="24"/>
        </w:rPr>
        <w:t xml:space="preserve">Two geometric commitments proceed independently — two universes rendered from the same layer.</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C.7 Conclusions</w:t>
      </w:r>
    </w:p>
    <w:p>
      <w:pPr>
        <w:spacing w:before="80" w:after="120" w:line="276"/>
      </w:pPr>
      <w:r>
        <w:rPr>
          <w:rFonts w:ascii="Arial" w:cs="Arial" w:eastAsia="Arial" w:hAnsi="Arial"/>
          <w:sz w:val="24"/>
          <w:szCs w:val="24"/>
        </w:rPr>
        <w:t xml:space="preserve">This addendum has derived the coupling mechanism — the physical process by which the necessary and sufficient condition L_c/v_E + εσʸ(2) is fulfilled from within the rendered structure of an observer.</w:t>
      </w:r>
    </w:p>
    <w:p>
      <w:pPr>
        <w:spacing w:before="80" w:after="120" w:line="276"/>
      </w:pPr>
      <w:r>
        <w:rPr>
          <w:rFonts w:ascii="Arial" w:cs="Arial" w:eastAsia="Arial" w:hAnsi="Arial"/>
          <w:sz w:val="24"/>
          <w:szCs w:val="24"/>
        </w:rPr>
        <w:t xml:space="preserve">The mechanism is entanglement resonance, triggered by maximising tension in the observer's phase structure. It operates in three stages: accumulation of the phase record across committed layers, nonlocal manifestation of εσʸ(2) across the uncommitted front through entanglement, and second coherent equilibration within the window L_c/v_E to a second ρ_proj.</w:t>
      </w:r>
    </w:p>
    <w:p>
      <w:pPr>
        <w:spacing w:before="80" w:after="120" w:line="276"/>
      </w:pPr>
      <w:r>
        <w:rPr>
          <w:rFonts w:ascii="Arial" w:cs="Arial" w:eastAsia="Arial" w:hAnsi="Arial"/>
          <w:sz w:val="24"/>
          <w:szCs w:val="24"/>
        </w:rPr>
        <w:t xml:space="preserve">Four results follow that were not established in Addendum B:</w:t>
      </w:r>
    </w:p>
    <w:p>
      <w:pPr>
        <w:pStyle w:val="ListParagraph"/>
        <w:numPr>
          <w:ilvl w:val="0"/>
          <w:numId w:val="2"/>
        </w:numPr>
        <w:spacing w:before="60" w:after="60" w:line="276"/>
      </w:pPr>
      <w:r>
        <w:rPr>
          <w:rFonts w:ascii="Arial" w:cs="Arial" w:eastAsia="Arial" w:hAnsi="Arial"/>
          <w:sz w:val="24"/>
          <w:szCs w:val="24"/>
        </w:rPr>
        <w:t xml:space="preserve">The coupling is nonlocal. εσʸ(2) does not propagate across the surface as a wavefront — it manifests simultaneously through entanglement. The timing problem (whether the second rotation can cross the surface before the window closes) is dissolved.</w:t>
      </w:r>
    </w:p>
    <w:p>
      <w:pPr>
        <w:pStyle w:val="ListParagraph"/>
        <w:numPr>
          <w:ilvl w:val="0"/>
          <w:numId w:val="2"/>
        </w:numPr>
        <w:spacing w:before="60" w:after="60" w:line="276"/>
      </w:pPr>
      <w:r>
        <w:rPr>
          <w:rFonts w:ascii="Arial" w:cs="Arial" w:eastAsia="Arial" w:hAnsi="Arial"/>
          <w:sz w:val="24"/>
          <w:szCs w:val="24"/>
        </w:rPr>
        <w:t xml:space="preserve">The specialness is retrospective. The fork fires because of the observer's entire prior history — the accumulated composition of all prior εσʸ operations in su(2). It is not triggered by an action at the moment of branching. It is the expression of what the observer has become.</w:t>
      </w:r>
    </w:p>
    <w:p>
      <w:pPr>
        <w:pStyle w:val="ListParagraph"/>
        <w:numPr>
          <w:ilvl w:val="0"/>
          <w:numId w:val="2"/>
        </w:numPr>
        <w:spacing w:before="60" w:after="60" w:line="276"/>
      </w:pPr>
      <w:r>
        <w:rPr>
          <w:rFonts w:ascii="Arial" w:cs="Arial" w:eastAsia="Arial" w:hAnsi="Arial"/>
          <w:sz w:val="24"/>
          <w:szCs w:val="24"/>
        </w:rPr>
        <w:t xml:space="preserve">The trigger is tension. Access to the mechanism requires driving the observer's eigenstate toward the Bloch sphere equator — maximum σʸ expectation, maximum irreconcilability of the poles. This is the same condition that initiated the universe at t=0. The observer branching is the original quench, re-instantiated at the scale of a single eigenstate.</w:t>
      </w:r>
    </w:p>
    <w:p>
      <w:pPr>
        <w:pStyle w:val="ListParagraph"/>
        <w:numPr>
          <w:ilvl w:val="0"/>
          <w:numId w:val="2"/>
        </w:numPr>
        <w:spacing w:before="60" w:after="60" w:line="276"/>
      </w:pPr>
      <w:r>
        <w:rPr>
          <w:rFonts w:ascii="Arial" w:cs="Arial" w:eastAsia="Arial" w:hAnsi="Arial"/>
          <w:sz w:val="24"/>
          <w:szCs w:val="24"/>
        </w:rPr>
        <w:t xml:space="preserve">The mechanism is complete and closed within the framework. No new operators, no new physics. H, the conservation law, the commutator [σᶻ, σˣ] = −2iσʸ, and the percolation result ρ_c = J/2h are sufficient to derive the entire chain from trigger to branch.</w:t>
      </w:r>
    </w:p>
    <w:p>
      <w:pPr>
        <w:pBdr>
          <w:left w:val="single" w:color="2E75B6" w:sz="6" w:space="12"/>
        </w:pBdr>
        <w:spacing w:before="120" w:after="120" w:line="276"/>
        <w:ind w:left="720" w:right="720"/>
      </w:pPr>
      <w:r>
        <w:rPr>
          <w:rFonts w:ascii="Arial" w:cs="Arial" w:eastAsia="Arial" w:hAnsi="Arial"/>
          <w:i/>
          <w:iCs/>
          <w:color w:val="444444"/>
          <w:sz w:val="22"/>
          <w:szCs w:val="22"/>
        </w:rPr>
        <w:t xml:space="preserve">The universe began when tension could not be contained. The branch begins when the observer stops containing it. The trigger is the definition. The coupling is the accumulation. The mechanism is +|× = U, instantiated in the observer.</w:t>
      </w:r>
    </w:p>
    <w:p>
      <w:pPr>
        <w:spacing w:before="80" w:after="80"/>
      </w:pPr>
      <w:r>
        <w:t xml:space="preserve"/>
      </w:r>
    </w:p>
    <w:p>
      <w:pPr>
        <w:spacing w:before="160" w:after="160"/>
        <w:jc w:val="center"/>
      </w:pPr>
      <w:r>
        <w:rPr>
          <w:rFonts w:ascii="Arial" w:cs="Arial" w:eastAsia="Arial" w:hAnsi="Arial"/>
          <w:b/>
          <w:bCs/>
          <w:sz w:val="26"/>
          <w:szCs w:val="26"/>
        </w:rPr>
        <w:t xml:space="preserve">+|x = U</w:t>
      </w:r>
    </w:p>
    <w:p>
      <w:pPr>
        <w:spacing w:before="80" w:after="240"/>
        <w:jc w:val="center"/>
      </w:pPr>
      <w:r>
        <w:rPr>
          <w:rFonts w:ascii="Arial" w:cs="Arial" w:eastAsia="Arial" w:hAnsi="Arial"/>
          <w:i/>
          <w:iCs/>
          <w:color w:val="444444"/>
          <w:sz w:val="22"/>
          <w:szCs w:val="22"/>
        </w:rPr>
        <w:t xml:space="preserve">All times. All branches. One tension. One conservation law.</w:t>
      </w:r>
    </w:p>
    <w:p>
      <w:pPr>
        <w:pBdr>
          <w:bottom w:val="single" w:color="CCCCCC" w:sz="4" w:space="1"/>
        </w:pBdr>
        <w:spacing w:before="240" w:after="240"/>
      </w:pPr>
      <w:r>
        <w:rPr>
          <w:sz w:val="24"/>
          <w:szCs w:val="24"/>
        </w:rPr>
        <w:t xml:space="preserve"/>
      </w:r>
    </w:p>
    <w:p>
      <w:pPr>
        <w:pStyle w:val="Heading1"/>
        <w:spacing w:before="360" w:after="160"/>
      </w:pPr>
      <w:r>
        <w:rPr>
          <w:rFonts w:ascii="Arial" w:cs="Arial" w:eastAsia="Arial" w:hAnsi="Arial"/>
          <w:b/>
          <w:bCs/>
          <w:sz w:val="32"/>
          <w:szCs w:val="32"/>
        </w:rPr>
        <w:t xml:space="preserve">References</w:t>
      </w:r>
    </w:p>
    <w:p>
      <w:pPr>
        <w:spacing w:before="80" w:after="120" w:line="276"/>
      </w:pPr>
      <w:r>
        <w:rPr>
          <w:rFonts w:ascii="Arial" w:cs="Arial" w:eastAsia="Arial" w:hAnsi="Arial"/>
          <w:sz w:val="24"/>
          <w:szCs w:val="24"/>
        </w:rPr>
        <w:t xml:space="preserve">Squire, J. (2026). The Qubit Universe: From Primitive Tension to Spacetime, Matter, and the Big Bang. Extended Edition v7.</w:t>
      </w:r>
    </w:p>
    <w:p>
      <w:pPr>
        <w:spacing w:before="80" w:after="120" w:line="276"/>
      </w:pPr>
      <w:r>
        <w:rPr>
          <w:rFonts w:ascii="Arial" w:cs="Arial" w:eastAsia="Arial" w:hAnsi="Arial"/>
          <w:sz w:val="24"/>
          <w:szCs w:val="24"/>
        </w:rPr>
        <w:t xml:space="preserve">Squire, J. (2026). Temporal Projection &amp; the Multiverse: A Formal Proposal for Time Travel and Multiversal Branching.</w:t>
      </w:r>
    </w:p>
    <w:p>
      <w:pPr>
        <w:spacing w:before="80" w:after="120" w:line="276"/>
      </w:pPr>
      <w:r>
        <w:rPr>
          <w:rFonts w:ascii="Arial" w:cs="Arial" w:eastAsia="Arial" w:hAnsi="Arial"/>
          <w:sz w:val="24"/>
          <w:szCs w:val="24"/>
        </w:rPr>
        <w:t xml:space="preserve">Squire, J. (2026). Temporal Projection &amp; the Multiverse — Addendum A: The Continuous Sub-Phase Window.</w:t>
      </w:r>
    </w:p>
    <w:p>
      <w:pPr>
        <w:spacing w:before="80" w:after="120" w:line="276"/>
      </w:pPr>
      <w:r>
        <w:rPr>
          <w:rFonts w:ascii="Arial" w:cs="Arial" w:eastAsia="Arial" w:hAnsi="Arial"/>
          <w:sz w:val="24"/>
          <w:szCs w:val="24"/>
        </w:rPr>
        <w:t xml:space="preserve">Squire, J. (2026). Temporal Projection &amp; the Multiverse — Addendum B: The Topological Layer Account and the Lateral Fork.</w:t>
      </w:r>
    </w:p>
    <w:p>
      <w:pPr>
        <w:spacing w:before="80" w:after="120" w:line="276"/>
      </w:pPr>
      <w:r>
        <w:rPr>
          <w:rFonts w:ascii="Arial" w:cs="Arial" w:eastAsia="Arial" w:hAnsi="Arial"/>
          <w:sz w:val="24"/>
          <w:szCs w:val="24"/>
        </w:rPr>
        <w:t xml:space="preserve">Novikov, I.D. (1989). An analysis of the operation of a time machine. Soviet Physics JETP, 68, 439–443.</w:t>
      </w:r>
    </w:p>
    <w:p>
      <w:pPr>
        <w:spacing w:before="80" w:after="120" w:line="276"/>
      </w:pPr>
      <w:r>
        <w:rPr>
          <w:rFonts w:ascii="Arial" w:cs="Arial" w:eastAsia="Arial" w:hAnsi="Arial"/>
          <w:sz w:val="24"/>
          <w:szCs w:val="24"/>
        </w:rPr>
        <w:t xml:space="preserve">Calabrese, P. &amp; Cardy, J. (2005). Evolution of entanglement entropy after quantum quenches. arXiv:cond-mat/0503393.</w:t>
      </w:r>
    </w:p>
    <w:p>
      <w:pPr>
        <w:spacing w:before="80" w:after="120" w:line="276"/>
      </w:pPr>
      <w:r>
        <w:rPr>
          <w:rFonts w:ascii="Arial" w:cs="Arial" w:eastAsia="Arial" w:hAnsi="Arial"/>
          <w:sz w:val="24"/>
          <w:szCs w:val="24"/>
        </w:rPr>
        <w:t xml:space="preserve">Van Raamsdonk, M. (2010). Building up spacetime with quantum entanglement. General Relativity and Gravitation, 42, 2323–2329.</w:t>
      </w:r>
    </w:p>
    <w:p>
      <w:pPr>
        <w:spacing w:before="80" w:after="120" w:line="276"/>
      </w:pPr>
      <w:r>
        <w:rPr>
          <w:rFonts w:ascii="Arial" w:cs="Arial" w:eastAsia="Arial" w:hAnsi="Arial"/>
          <w:sz w:val="24"/>
          <w:szCs w:val="24"/>
        </w:rPr>
        <w:t xml:space="preserve">Maldacena, J. &amp; Susskind, L. (2013). Cool horizons for entangled black holes. Fortschritte der Physik, 61, 781–811.</w:t>
      </w:r>
    </w:p>
    <w:p>
      <w:pPr>
        <w:spacing w:before="80" w:after="120" w:line="276"/>
      </w:pPr>
      <w:r>
        <w:rPr>
          <w:rFonts w:ascii="Arial" w:cs="Arial" w:eastAsia="Arial" w:hAnsi="Arial"/>
          <w:sz w:val="24"/>
          <w:szCs w:val="24"/>
        </w:rPr>
        <w:t xml:space="preserve">Almheiri, A. et al. (2019–2020). The entropy of Hawking radiation. Reviews of Modern Physics, 93, 035002.</w:t>
      </w:r>
    </w:p>
    <w:p>
      <w:pPr>
        <w:spacing w:before="80" w:after="120" w:line="276"/>
      </w:pPr>
      <w:r>
        <w:rPr>
          <w:rFonts w:ascii="Arial" w:cs="Arial" w:eastAsia="Arial" w:hAnsi="Arial"/>
          <w:sz w:val="24"/>
          <w:szCs w:val="24"/>
        </w:rPr>
        <w:t xml:space="preserve">Deutsch, D. (1991). Quantum mechanics near closed timelike lines. Physical Review D, 44, 3197.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2026-03-20T09:09:24.144Z</dcterms:created>
  <dcterms:modified xsi:type="dcterms:W3CDTF">2026-03-20T09:09:24.145Z</dcterms:modified>
</cp:coreProperties>
</file>

<file path=docProps/custom.xml><?xml version="1.0" encoding="utf-8"?>
<Properties xmlns="http://schemas.openxmlformats.org/officeDocument/2006/custom-properties" xmlns:vt="http://schemas.openxmlformats.org/officeDocument/2006/docPropsVTypes"/>
</file>