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Yang-Mills Mass Gap: A Geometric Framework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X959ad4a2b15887f7540bfb99694532367b712e0"/>
    <w:p>
      <w:pPr>
        <w:pStyle w:val="Heading1"/>
      </w:pPr>
      <w:r>
        <w:t xml:space="preserve">Yang-Mills Mass Gap: A Geometric Framework</w:t>
      </w:r>
    </w:p>
    <w:bookmarkStart w:id="20" w:name="X92ca01d557216984f74f57908daac5be7645027"/>
    <w:p>
      <w:pPr>
        <w:pStyle w:val="Heading2"/>
      </w:pPr>
      <w:r>
        <w:t xml:space="preserve">A Research Proposal — The Medium Is the Message</w:t>
      </w:r>
    </w:p>
    <w:p>
      <w:pPr>
        <w:pStyle w:val="FirstParagraph"/>
      </w:pPr>
      <w:r>
        <w:rPr>
          <w:bCs/>
          <w:b/>
        </w:rPr>
        <w:t xml:space="preserve">Author:</w:t>
      </w:r>
      <w:r>
        <w:t xml:space="preserve"> </w:t>
      </w:r>
      <w:r>
        <w:t xml:space="preserve">James Squire</w:t>
      </w:r>
      <w:r>
        <w:br/>
      </w:r>
      <w:r>
        <w:rPr>
          <w:bCs/>
          <w:b/>
        </w:rPr>
        <w:t xml:space="preserve">Affiliation:</w:t>
      </w:r>
      <w:r>
        <w:t xml:space="preserve"> </w:t>
      </w:r>
      <w:r>
        <w:t xml:space="preserve">Independent Researcher, Tasmania</w:t>
      </w:r>
      <w:r>
        <w:br/>
      </w:r>
      <w:r>
        <w:rPr>
          <w:bCs/>
          <w:b/>
        </w:rPr>
        <w:t xml:space="preserve">Subject:</w:t>
      </w:r>
      <w:r>
        <w:t xml:space="preserve"> </w:t>
      </w:r>
      <w:r>
        <w:t xml:space="preserve">Mathematical Physics — Millennium Prize Problem (Clay Mathematics Institute, 2000)</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This proposal advances a geometric framework for proving the existence of a mass gap in Yang-Mills quantum field theory. The central thesis is that the mass gap is not an emergent phenomenon requiring new physics, but the geometric rigidity of a bounded, curved, incompressible configuration space expressing itself as a minimum energy denomination.</w:t>
      </w:r>
    </w:p>
    <w:p>
      <w:pPr>
        <w:pStyle w:val="BodyText"/>
      </w:pPr>
      <w:r>
        <w:t xml:space="preserve">The key insight — developed through analysis of the relationship between the Gribov horizon and the Faddeev-Popov operator spectrum — is that</w:t>
      </w:r>
      <w:r>
        <w:t xml:space="preserve"> </w:t>
      </w:r>
      <w:r>
        <w:rPr>
          <w:bCs/>
          <w:b/>
        </w:rPr>
        <w:t xml:space="preserve">the medium is the message</w:t>
      </w:r>
      <w:r>
        <w:t xml:space="preserve">: the geometric boundary constraints of the gauge orbit space and the propagation constraints of the quantum field are not merely related. They are the same object, described in two languages.</w:t>
      </w:r>
    </w:p>
    <w:p>
      <w:pPr>
        <w:pStyle w:val="BodyText"/>
      </w:pPr>
      <w:r>
        <w:t xml:space="preserve">This identity transforms the proof strategy. Rather than deriving Δ as an output of summing interactions, we treat the mass gap as the unique fixed point of a self-referential system in which geometry, curvature, and interaction spectrum are mutually determining.</w:t>
      </w:r>
    </w:p>
    <w:p>
      <w:r>
        <w:pict>
          <v:rect style="width:0;height:1.5pt" o:hralign="center" o:hrstd="t" o:hr="t"/>
        </w:pict>
      </w:r>
    </w:p>
    <w:bookmarkEnd w:id="21"/>
    <w:bookmarkStart w:id="25" w:name="background-and-motivation"/>
    <w:p>
      <w:pPr>
        <w:pStyle w:val="Heading2"/>
      </w:pPr>
      <w:r>
        <w:t xml:space="preserve">1. Background and Motivation</w:t>
      </w:r>
    </w:p>
    <w:bookmarkStart w:id="22" w:name="the-classical-theory"/>
    <w:p>
      <w:pPr>
        <w:pStyle w:val="Heading3"/>
      </w:pPr>
      <w:r>
        <w:t xml:space="preserve">1.1 The Classical Theory</w:t>
      </w:r>
    </w:p>
    <w:p>
      <w:pPr>
        <w:pStyle w:val="FirstParagraph"/>
      </w:pPr>
      <w:r>
        <w:t xml:space="preserve">Yang-Mills theory is defined on a principal</w:t>
      </w:r>
      <w:r>
        <w:t xml:space="preserve"> </w:t>
      </w:r>
      <w:r>
        <w:rPr>
          <w:iCs/>
          <w:i/>
        </w:rPr>
        <w:t xml:space="preserve">G</w:t>
      </w:r>
      <w:r>
        <w:t xml:space="preserve">-bundle over</w:t>
      </w:r>
      <w:r>
        <w:t xml:space="preserve"> </w:t>
      </w:r>
      <w:r>
        <w:rPr>
          <w:bCs/>
          <w:b/>
        </w:rPr>
        <w:t xml:space="preserve">R</w:t>
      </w:r>
      <w:r>
        <w:t xml:space="preserve">⁴, where</w:t>
      </w:r>
      <w:r>
        <w:t xml:space="preserve"> </w:t>
      </w:r>
      <w:r>
        <w:rPr>
          <w:iCs/>
          <w:i/>
        </w:rPr>
        <w:t xml:space="preserve">G</w:t>
      </w:r>
      <w:r>
        <w:t xml:space="preserve"> </w:t>
      </w:r>
      <w:r>
        <w:t xml:space="preserve">is a compact simple Lie group (e.g. SU(2) or SU(3)). The action functional is:</w:t>
      </w:r>
    </w:p>
    <w:p>
      <w:pPr>
        <w:pStyle w:val="SourceCode"/>
      </w:pPr>
      <w:r>
        <w:rPr>
          <w:rStyle w:val="VerbatimChar"/>
        </w:rPr>
        <w:t xml:space="preserve">S[A] = (1 / 2g²) ∫ Tr(F_μν F^μν) d⁴x</w:t>
      </w:r>
    </w:p>
    <w:p>
      <w:pPr>
        <w:pStyle w:val="FirstParagraph"/>
      </w:pPr>
      <w:r>
        <w:t xml:space="preserve">where F_μν = ∂_μ A_ν − ∂_ν A_μ + [A_μ, A_ν] is the curvature (field strength), and the commutator term is non-vanishing precisely because</w:t>
      </w:r>
      <w:r>
        <w:t xml:space="preserve"> </w:t>
      </w:r>
      <w:r>
        <w:rPr>
          <w:iCs/>
          <w:i/>
        </w:rPr>
        <w:t xml:space="preserve">G</w:t>
      </w:r>
      <w:r>
        <w:t xml:space="preserve"> </w:t>
      </w:r>
      <w:r>
        <w:t xml:space="preserve">is non-abelian.</w:t>
      </w:r>
    </w:p>
    <w:p>
      <w:pPr>
        <w:pStyle w:val="BodyText"/>
      </w:pPr>
      <w:r>
        <w:t xml:space="preserve">Classically, the equations of motion D_μ F^μν = 0 admit massless wave solutions. The field can be excited at arbitrarily low energy.</w:t>
      </w:r>
    </w:p>
    <w:bookmarkEnd w:id="22"/>
    <w:bookmarkStart w:id="23" w:name="the-problem"/>
    <w:p>
      <w:pPr>
        <w:pStyle w:val="Heading3"/>
      </w:pPr>
      <w:r>
        <w:t xml:space="preserve">1.2 The Problem</w:t>
      </w:r>
    </w:p>
    <w:p>
      <w:pPr>
        <w:pStyle w:val="FirstParagraph"/>
      </w:pPr>
      <w:r>
        <w:t xml:space="preserve">Quantum mechanically, this is not the case. Experimental data and lattice simulations consistently demonstrate a minimum energy Δ &gt; 0, below which no excitation of the field exists. This is the</w:t>
      </w:r>
      <w:r>
        <w:t xml:space="preserve"> </w:t>
      </w:r>
      <w:r>
        <w:rPr>
          <w:bCs/>
          <w:b/>
        </w:rPr>
        <w:t xml:space="preserve">mass gap</w:t>
      </w:r>
      <w:r>
        <w:t xml:space="preserve">.</w:t>
      </w:r>
    </w:p>
    <w:p>
      <w:pPr>
        <w:pStyle w:val="BodyText"/>
      </w:pPr>
      <w:r>
        <w:t xml:space="preserve">No rigorous mathematical proof of its existence has been established. It is one of the seven Millennium Prize Problems.</w:t>
      </w:r>
    </w:p>
    <w:bookmarkEnd w:id="23"/>
    <w:bookmarkStart w:id="24" w:name="why-standard-approaches-fail"/>
    <w:p>
      <w:pPr>
        <w:pStyle w:val="Heading3"/>
      </w:pPr>
      <w:r>
        <w:t xml:space="preserve">1.3 Why Standard Approaches Fail</w:t>
      </w:r>
    </w:p>
    <w:p>
      <w:pPr>
        <w:pStyle w:val="FirstParagraph"/>
      </w:pPr>
      <w:r>
        <w:t xml:space="preserve">Perturbative quantum field theory expands the path integral in powers of the coupling constant</w:t>
      </w:r>
      <w:r>
        <w:t xml:space="preserve"> </w:t>
      </w:r>
      <w:r>
        <w:rPr>
          <w:iCs/>
          <w:i/>
        </w:rPr>
        <w:t xml:space="preserve">g</w:t>
      </w:r>
      <w:r>
        <w:t xml:space="preserve">. This works at weak coupling but the series diverges at strong coupling — precisely the regime where confinement and the mass gap are physically operative. The perturbative approach cannot reach the answer because the answer lives outside the radius of convergence of the method.</w:t>
      </w:r>
    </w:p>
    <w:p>
      <w:r>
        <w:pict>
          <v:rect style="width:0;height:1.5pt" o:hralign="center" o:hrstd="t" o:hr="t"/>
        </w:pict>
      </w:r>
    </w:p>
    <w:bookmarkEnd w:id="24"/>
    <w:bookmarkEnd w:id="25"/>
    <w:bookmarkStart w:id="29" w:name="the-geometric-framework"/>
    <w:p>
      <w:pPr>
        <w:pStyle w:val="Heading2"/>
      </w:pPr>
      <w:r>
        <w:t xml:space="preserve">2. The Geometric Framework</w:t>
      </w:r>
    </w:p>
    <w:bookmarkStart w:id="26" w:name="configuration-space-and-its-geometry"/>
    <w:p>
      <w:pPr>
        <w:pStyle w:val="Heading3"/>
      </w:pPr>
      <w:r>
        <w:t xml:space="preserve">2.1 Configuration Space and Its Geometry</w:t>
      </w:r>
    </w:p>
    <w:p>
      <w:pPr>
        <w:pStyle w:val="FirstParagraph"/>
      </w:pPr>
      <w:r>
        <w:t xml:space="preserve">The space of all gauge connections</w:t>
      </w:r>
      <w:r>
        <w:t xml:space="preserve"> </w:t>
      </w:r>
      <w:r>
        <w:rPr>
          <w:bCs/>
          <w:b/>
        </w:rPr>
        <w:t xml:space="preserve">A</w:t>
      </w:r>
      <w:r>
        <w:t xml:space="preserve"> </w:t>
      </w:r>
      <w:r>
        <w:t xml:space="preserve">carries a natural L² metric:</w:t>
      </w:r>
    </w:p>
    <w:p>
      <w:pPr>
        <w:pStyle w:val="SourceCode"/>
      </w:pPr>
      <w:r>
        <w:rPr>
          <w:rStyle w:val="VerbatimChar"/>
        </w:rPr>
        <w:t xml:space="preserve">‖δA‖² = ∫ Tr(δA_μ δA^μ) d⁴x</w:t>
      </w:r>
    </w:p>
    <w:p>
      <w:pPr>
        <w:pStyle w:val="FirstParagraph"/>
      </w:pPr>
      <w:r>
        <w:t xml:space="preserve">Under gauge transformations, physically equivalent configurations are identified. The physical configuration space is the orbit space:</w:t>
      </w:r>
    </w:p>
    <w:p>
      <w:pPr>
        <w:pStyle w:val="SourceCode"/>
      </w:pPr>
      <w:r>
        <w:rPr>
          <w:rStyle w:val="VerbatimChar"/>
        </w:rPr>
        <w:t xml:space="preserve">M = A / G</w:t>
      </w:r>
    </w:p>
    <w:p>
      <w:pPr>
        <w:pStyle w:val="FirstParagraph"/>
      </w:pPr>
      <w:r>
        <w:t xml:space="preserve">This is an infinite-dimensional curved Riemannian manifold with non-trivial topology and — crucially —</w:t>
      </w:r>
      <w:r>
        <w:t xml:space="preserve"> </w:t>
      </w:r>
      <w:r>
        <w:rPr>
          <w:bCs/>
          <w:b/>
        </w:rPr>
        <w:t xml:space="preserve">a boundary</w:t>
      </w:r>
      <w:r>
        <w:t xml:space="preserve">.</w:t>
      </w:r>
    </w:p>
    <w:bookmarkEnd w:id="26"/>
    <w:bookmarkStart w:id="27" w:name="X4335bbd6b228f3f519bae2c87715f6c13f4076a"/>
    <w:p>
      <w:pPr>
        <w:pStyle w:val="Heading3"/>
      </w:pPr>
      <w:r>
        <w:t xml:space="preserve">2.2 The Faddeev-Popov Operator and the Gribov Horizon</w:t>
      </w:r>
    </w:p>
    <w:p>
      <w:pPr>
        <w:pStyle w:val="FirstParagraph"/>
      </w:pPr>
      <w:r>
        <w:t xml:space="preserve">In Landau gauge ∂_μ A^μ = 0, the Faddeev-Popov operator is:</w:t>
      </w:r>
    </w:p>
    <w:p>
      <w:pPr>
        <w:pStyle w:val="SourceCode"/>
      </w:pPr>
      <w:r>
        <w:rPr>
          <w:rStyle w:val="VerbatimChar"/>
        </w:rPr>
        <w:t xml:space="preserve">M^ab = −D^ab_μ D^μ</w:t>
      </w:r>
    </w:p>
    <w:p>
      <w:pPr>
        <w:pStyle w:val="FirstParagraph"/>
      </w:pPr>
      <w:r>
        <w:t xml:space="preserve">The</w:t>
      </w:r>
      <w:r>
        <w:t xml:space="preserve"> </w:t>
      </w:r>
      <w:r>
        <w:rPr>
          <w:bCs/>
          <w:b/>
        </w:rPr>
        <w:t xml:space="preserve">Gribov region</w:t>
      </w:r>
      <w:r>
        <w:t xml:space="preserve"> </w:t>
      </w:r>
      <w:r>
        <w:t xml:space="preserve">Ω is defined as the set of gauge-fixed connections on which M is strictly positive definite:</w:t>
      </w:r>
    </w:p>
    <w:p>
      <w:pPr>
        <w:pStyle w:val="SourceCode"/>
      </w:pPr>
      <w:r>
        <w:rPr>
          <w:rStyle w:val="VerbatimChar"/>
        </w:rPr>
        <w:t xml:space="preserve">Ω = { A ∈ A : ∂_μ A^μ = 0,  M^ab &gt; 0 }</w:t>
      </w:r>
    </w:p>
    <w:p>
      <w:pPr>
        <w:pStyle w:val="FirstParagraph"/>
      </w:pPr>
      <w:r>
        <w:t xml:space="preserve">The</w:t>
      </w:r>
      <w:r>
        <w:t xml:space="preserve"> </w:t>
      </w:r>
      <w:r>
        <w:rPr>
          <w:bCs/>
          <w:b/>
        </w:rPr>
        <w:t xml:space="preserve">Gribov horizon</w:t>
      </w:r>
      <w:r>
        <w:t xml:space="preserve"> </w:t>
      </w:r>
      <w:r>
        <w:t xml:space="preserve">∂Ω is the boundary of this region — the locus where the lowest eigenvalue λ₀ of M vanishes:</w:t>
      </w:r>
    </w:p>
    <w:p>
      <w:pPr>
        <w:pStyle w:val="SourceCode"/>
      </w:pPr>
      <w:r>
        <w:rPr>
          <w:rStyle w:val="VerbatimChar"/>
        </w:rPr>
        <w:t xml:space="preserve">∂Ω = { A ∈ A : λ₀(M) = 0 }</w:t>
      </w:r>
    </w:p>
    <w:p>
      <w:pPr>
        <w:pStyle w:val="FirstParagraph"/>
      </w:pPr>
      <w:r>
        <w:t xml:space="preserve">Physical meaning: as a field configuration approaches ∂Ω, gauge fixing breaks down completely. The interaction space is saturated. No further compression of the configuration is possible.</w:t>
      </w:r>
    </w:p>
    <w:bookmarkEnd w:id="27"/>
    <w:bookmarkStart w:id="28" w:name="curvature-divergence-at-the-horizon"/>
    <w:p>
      <w:pPr>
        <w:pStyle w:val="Heading3"/>
      </w:pPr>
      <w:r>
        <w:t xml:space="preserve">2.3 Curvature Divergence at the Horizon</w:t>
      </w:r>
    </w:p>
    <w:p>
      <w:pPr>
        <w:pStyle w:val="FirstParagraph"/>
      </w:pPr>
      <w:r>
        <w:t xml:space="preserve">The sectional curvature κ of the orbit space M = A/G diverges as configurations approach the Gribov horizon:</w:t>
      </w:r>
    </w:p>
    <w:p>
      <w:pPr>
        <w:pStyle w:val="SourceCode"/>
      </w:pPr>
      <w:r>
        <w:rPr>
          <w:rStyle w:val="VerbatimChar"/>
        </w:rPr>
        <w:t xml:space="preserve">κ(A)  ~  1 / λ₀(A)</w:t>
      </w:r>
    </w:p>
    <w:p>
      <w:pPr>
        <w:pStyle w:val="FirstParagraph"/>
      </w:pPr>
      <w:r>
        <w:t xml:space="preserve">This encodes the physical picture directly: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λ₀</w:t>
            </w:r>
          </w:p>
        </w:tc>
        <w:tc>
          <w:tcPr/>
          <w:p>
            <w:pPr>
              <w:pStyle w:val="Compact"/>
              <w:jc w:val="left"/>
            </w:pPr>
            <w:r>
              <w:t xml:space="preserve">Curvature</w:t>
            </w:r>
          </w:p>
        </w:tc>
        <w:tc>
          <w:tcPr/>
          <w:p>
            <w:pPr>
              <w:pStyle w:val="Compact"/>
              <w:jc w:val="left"/>
            </w:pPr>
            <w:r>
              <w:t xml:space="preserve">Physical State</w:t>
            </w:r>
          </w:p>
        </w:tc>
      </w:tr>
      <w:tr>
        <w:tc>
          <w:tcPr/>
          <w:p>
            <w:pPr>
              <w:pStyle w:val="Compact"/>
              <w:jc w:val="left"/>
            </w:pPr>
            <w:r>
              <w:t xml:space="preserve">Sparse interactions</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Field easily excited; perturbation theory valid</w:t>
            </w:r>
          </w:p>
        </w:tc>
      </w:tr>
      <w:tr>
        <w:tc>
          <w:tcPr/>
          <w:p>
            <w:pPr>
              <w:pStyle w:val="Compact"/>
              <w:jc w:val="left"/>
            </w:pPr>
            <w:r>
              <w:t xml:space="preserve">Dense interactions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Field becoming rigid; perturbation theory fails</w:t>
            </w:r>
          </w:p>
        </w:tc>
      </w:tr>
      <w:tr>
        <w:tc>
          <w:tcPr/>
          <w:p>
            <w:pPr>
              <w:pStyle w:val="Compact"/>
              <w:jc w:val="left"/>
            </w:pPr>
            <w:r>
              <w:t xml:space="preserve">At horizon</w:t>
            </w:r>
          </w:p>
        </w:tc>
        <w:tc>
          <w:tcPr/>
          <w:p>
            <w:pPr>
              <w:pStyle w:val="Compact"/>
              <w:jc w:val="left"/>
            </w:pPr>
            <w:r>
              <w:t xml:space="preserve">0</w:t>
            </w:r>
          </w:p>
        </w:tc>
        <w:tc>
          <w:tcPr/>
          <w:p>
            <w:pPr>
              <w:pStyle w:val="Compact"/>
              <w:jc w:val="left"/>
            </w:pPr>
            <w:r>
              <w:t xml:space="preserve">∞</w:t>
            </w:r>
          </w:p>
        </w:tc>
        <w:tc>
          <w:tcPr/>
          <w:p>
            <w:pPr>
              <w:pStyle w:val="Compact"/>
              <w:jc w:val="left"/>
            </w:pPr>
            <w:r>
              <w:t xml:space="preserve">Complete saturation; no new configurations accessible</w:t>
            </w:r>
          </w:p>
        </w:tc>
      </w:tr>
    </w:tbl>
    <w:p>
      <w:r>
        <w:pict>
          <v:rect style="width:0;height:1.5pt" o:hralign="center" o:hrstd="t" o:hr="t"/>
        </w:pict>
      </w:r>
    </w:p>
    <w:bookmarkEnd w:id="28"/>
    <w:bookmarkEnd w:id="29"/>
    <w:bookmarkStart w:id="32" w:name="the-unification-identity"/>
    <w:p>
      <w:pPr>
        <w:pStyle w:val="Heading2"/>
      </w:pPr>
      <w:r>
        <w:t xml:space="preserve">3. The Unification Identity</w:t>
      </w:r>
    </w:p>
    <w:bookmarkStart w:id="30" w:name="the-central-claim"/>
    <w:p>
      <w:pPr>
        <w:pStyle w:val="Heading3"/>
      </w:pPr>
      <w:r>
        <w:t xml:space="preserve">3.1 The Central Claim</w:t>
      </w:r>
    </w:p>
    <w:p>
      <w:pPr>
        <w:pStyle w:val="FirstParagraph"/>
      </w:pPr>
      <w:r>
        <w:t xml:space="preserve">The discussion above reveals a relationship more fundamental than a bound. The Gribov horizon and the spectral zero of the Faddeev-Popov operator are not merely correlated. They are the</w:t>
      </w:r>
      <w:r>
        <w:t xml:space="preserve"> </w:t>
      </w:r>
      <w:r>
        <w:rPr>
          <w:bCs/>
          <w:b/>
        </w:rPr>
        <w:t xml:space="preserve">same geometric object</w:t>
      </w:r>
      <w:r>
        <w:t xml:space="preserve"> </w:t>
      </w:r>
      <w:r>
        <w:t xml:space="preserve">described in two languages:</w:t>
      </w:r>
    </w:p>
    <w:p>
      <w:pPr>
        <w:pStyle w:val="SourceCode"/>
      </w:pPr>
      <w:r>
        <w:rPr>
          <w:rStyle w:val="VerbatimChar"/>
        </w:rPr>
        <w:t xml:space="preserve">∂Ω  ≡  { λ₀(M) = 0 }</w:t>
      </w:r>
    </w:p>
    <w:p>
      <w:pPr>
        <w:pStyle w:val="FirstParagraph"/>
      </w:pPr>
      <w:r>
        <w:t xml:space="preserve">And since κ(A) ≡ 1/λ₀(A):</w:t>
      </w:r>
    </w:p>
    <w:p>
      <w:pPr>
        <w:pStyle w:val="SourceCode"/>
      </w:pPr>
      <w:r>
        <w:rPr>
          <w:rStyle w:val="VerbatimChar"/>
        </w:rPr>
        <w:t xml:space="preserve">The curvature of the medium  =  the inverse spectral gap of propagation</w:t>
      </w:r>
    </w:p>
    <w:bookmarkEnd w:id="30"/>
    <w:bookmarkStart w:id="31" w:name="the-medium-is-the-message"/>
    <w:p>
      <w:pPr>
        <w:pStyle w:val="Heading3"/>
      </w:pPr>
      <w:r>
        <w:t xml:space="preserve">3.2 The Medium Is the Message</w:t>
      </w:r>
    </w:p>
    <w:p>
      <w:pPr>
        <w:pStyle w:val="FirstParagraph"/>
      </w:pPr>
      <w:r>
        <w:t xml:space="preserve">In standard field theory, the manifold is the stage and physics plays out on it — space and dynamics are separable. In the infinite-dimensional orbit space A/G, this separation collapses entirely.</w:t>
      </w:r>
    </w:p>
    <w:p>
      <w:pPr>
        <w:pStyle w:val="BodyText"/>
      </w:pPr>
      <w:r>
        <w:t xml:space="preserve">The manifold is</w:t>
      </w:r>
      <w:r>
        <w:t xml:space="preserve"> </w:t>
      </w:r>
      <w:r>
        <w:rPr>
          <w:bCs/>
          <w:b/>
        </w:rPr>
        <w:t xml:space="preserve">constituted by</w:t>
      </w:r>
      <w:r>
        <w:t xml:space="preserve"> </w:t>
      </w:r>
      <w:r>
        <w:t xml:space="preserve">the field configurations themselves. The field’s configuration history is the space it must propagate through. There is no background. The medium and the message are the same object.</w:t>
      </w:r>
    </w:p>
    <w:p>
      <w:pPr>
        <w:pStyle w:val="BodyText"/>
      </w:pPr>
      <w:r>
        <w:t xml:space="preserve">The implication is precise:</w:t>
      </w:r>
    </w:p>
    <w:p>
      <w:pPr>
        <w:pStyle w:val="BlockText"/>
      </w:pPr>
      <w:r>
        <w:t xml:space="preserve">The boundary conditions of the configuration space are identical to the propagation rules of the field. You cannot change one without changing the other.</w:t>
      </w:r>
    </w:p>
    <w:p>
      <w:pPr>
        <w:pStyle w:val="FirstParagraph"/>
      </w:pPr>
      <w:r>
        <w:t xml:space="preserve">This is not a heuristic. It is a claim that the constraint algebra of the geometry and the constraint algebra of the spectrum are one system with two projections.</w:t>
      </w:r>
    </w:p>
    <w:p>
      <w:r>
        <w:pict>
          <v:rect style="width:0;height:1.5pt" o:hralign="center" o:hrstd="t" o:hr="t"/>
        </w:pict>
      </w:r>
    </w:p>
    <w:bookmarkEnd w:id="31"/>
    <w:bookmarkEnd w:id="32"/>
    <w:bookmarkStart w:id="37" w:name="the-core-equations"/>
    <w:p>
      <w:pPr>
        <w:pStyle w:val="Heading2"/>
      </w:pPr>
      <w:r>
        <w:t xml:space="preserve">4. The Core Equations</w:t>
      </w:r>
    </w:p>
    <w:bookmarkStart w:id="33" w:name="the-mass-gap-bound-lichnerowicz-analogy"/>
    <w:p>
      <w:pPr>
        <w:pStyle w:val="Heading3"/>
      </w:pPr>
      <w:r>
        <w:t xml:space="preserve">4.1 The Mass Gap Bound (Lichnerowicz Analogy)</w:t>
      </w:r>
    </w:p>
    <w:p>
      <w:pPr>
        <w:pStyle w:val="FirstParagraph"/>
      </w:pPr>
      <w:r>
        <w:t xml:space="preserve">By analogy with the Lichnerowicz theorem — which bounds the first eigenvalue of the Laplacian below by the Ricci curvature on compact Riemannian manifolds — we apply this principle to the gauge orbit space:</w:t>
      </w:r>
    </w:p>
    <w:p>
      <w:pPr>
        <w:pStyle w:val="SourceCode"/>
      </w:pPr>
      <w:r>
        <w:rPr>
          <w:rStyle w:val="VerbatimChar"/>
        </w:rPr>
        <w:t xml:space="preserve">┌─────────────────────────────────────────────────────────────┐</w:t>
      </w:r>
      <w:r>
        <w:br/>
      </w:r>
      <w:r>
        <w:rPr>
          <w:rStyle w:val="VerbatimChar"/>
        </w:rPr>
        <w:t xml:space="preserve">│                                                             │</w:t>
      </w:r>
      <w:r>
        <w:br/>
      </w:r>
      <w:r>
        <w:rPr>
          <w:rStyle w:val="VerbatimChar"/>
        </w:rPr>
        <w:t xml:space="preserve">│   Δ  ≥  √( inf_{A∈Ω} κ(A) · g²N / V_Ω )                  │</w:t>
      </w:r>
      <w:r>
        <w:br/>
      </w:r>
      <w:r>
        <w:rPr>
          <w:rStyle w:val="VerbatimChar"/>
        </w:rPr>
        <w:t xml:space="preserve">│                                                             │</w:t>
      </w:r>
      <w:r>
        <w:br/>
      </w:r>
      <w:r>
        <w:rPr>
          <w:rStyle w:val="VerbatimChar"/>
        </w:rPr>
        <w:t xml:space="preserve">└─────────────────────────────────────────────────────────────┘</w:t>
      </w:r>
    </w:p>
    <w:p>
      <w:pPr>
        <w:pStyle w:val="FirstParagraph"/>
      </w:pPr>
      <w:r>
        <w:t xml:space="preserve">Where:</w:t>
      </w:r>
      <w:r>
        <w:t xml:space="preserve"> </w:t>
      </w:r>
      <w:r>
        <w:t xml:space="preserve">-</w:t>
      </w:r>
      <w:r>
        <w:t xml:space="preserve"> </w:t>
      </w:r>
      <w:r>
        <w:rPr>
          <w:bCs/>
          <w:b/>
        </w:rPr>
        <w:t xml:space="preserve">Δ</w:t>
      </w:r>
      <w:r>
        <w:t xml:space="preserve"> </w:t>
      </w:r>
      <w:r>
        <w:t xml:space="preserve">— the mass gap (minimum energy of any excitation)</w:t>
      </w:r>
      <w:r>
        <w:t xml:space="preserve"> </w:t>
      </w:r>
      <w:r>
        <w:t xml:space="preserve">-</w:t>
      </w:r>
      <w:r>
        <w:t xml:space="preserve"> </w:t>
      </w:r>
      <w:r>
        <w:rPr>
          <w:bCs/>
          <w:b/>
        </w:rPr>
        <w:t xml:space="preserve">κ(A)</w:t>
      </w:r>
      <w:r>
        <w:t xml:space="preserve"> </w:t>
      </w:r>
      <w:r>
        <w:t xml:space="preserve">— sectional curvature of the gauge orbit space at A</w:t>
      </w:r>
      <w:r>
        <w:t xml:space="preserve"> </w:t>
      </w:r>
      <w:r>
        <w:t xml:space="preserve">-</w:t>
      </w:r>
      <w:r>
        <w:t xml:space="preserve"> </w:t>
      </w:r>
      <w:r>
        <w:rPr>
          <w:bCs/>
          <w:b/>
        </w:rPr>
        <w:t xml:space="preserve">g</w:t>
      </w:r>
      <w:r>
        <w:t xml:space="preserve"> </w:t>
      </w:r>
      <w:r>
        <w:t xml:space="preserve">— the Yang-Mills coupling constant</w:t>
      </w:r>
      <w:r>
        <w:t xml:space="preserve"> </w:t>
      </w:r>
      <w:r>
        <w:t xml:space="preserve">-</w:t>
      </w:r>
      <w:r>
        <w:t xml:space="preserve"> </w:t>
      </w:r>
      <w:r>
        <w:rPr>
          <w:bCs/>
          <w:b/>
        </w:rPr>
        <w:t xml:space="preserve">N</w:t>
      </w:r>
      <w:r>
        <w:t xml:space="preserve"> </w:t>
      </w:r>
      <w:r>
        <w:t xml:space="preserve">— rank of the gauge group (N=2 for SU(2), N=3 for SU(3))</w:t>
      </w:r>
      <w:r>
        <w:t xml:space="preserve"> </w:t>
      </w:r>
      <w:r>
        <w:t xml:space="preserve">-</w:t>
      </w:r>
      <w:r>
        <w:t xml:space="preserve"> </w:t>
      </w:r>
      <w:r>
        <w:rPr>
          <w:bCs/>
          <w:b/>
        </w:rPr>
        <w:t xml:space="preserve">V_Ω</w:t>
      </w:r>
      <w:r>
        <w:t xml:space="preserve"> </w:t>
      </w:r>
      <w:r>
        <w:t xml:space="preserve">— volume of the Gribov region Ω</w:t>
      </w:r>
    </w:p>
    <w:bookmarkEnd w:id="33"/>
    <w:bookmarkStart w:id="34" w:name="the-interaction-spectrum"/>
    <w:p>
      <w:pPr>
        <w:pStyle w:val="Heading3"/>
      </w:pPr>
      <w:r>
        <w:t xml:space="preserve">4.2 The Interaction Spectrum</w:t>
      </w:r>
    </w:p>
    <w:p>
      <w:pPr>
        <w:pStyle w:val="FirstParagraph"/>
      </w:pPr>
      <w:r>
        <w:t xml:space="preserve">The eigenvalues λₙ of M correspond to distinct interaction modes. Each is constrained by the same Δ:</w:t>
      </w:r>
    </w:p>
    <w:p>
      <w:pPr>
        <w:pStyle w:val="SourceCode"/>
      </w:pPr>
      <w:r>
        <w:rPr>
          <w:rStyle w:val="VerbatimChar"/>
        </w:rPr>
        <w:t xml:space="preserve">g²N · κₙ  =  ( Δ² · V_Ω ) / λₙ</w:t>
      </w:r>
    </w:p>
    <w:p>
      <w:pPr>
        <w:pStyle w:val="FirstParagraph"/>
      </w:pPr>
      <w:r>
        <w:t xml:space="preserve">Where n=0 corresponds to two-gluon coupling, n=1 to three-gluon coupling, and so on. The mass gap does not emerge from the interactions — it organises them.</w:t>
      </w:r>
    </w:p>
    <w:bookmarkEnd w:id="34"/>
    <w:bookmarkStart w:id="35" w:name="the-bootstrap-fixed-point-equation"/>
    <w:p>
      <w:pPr>
        <w:pStyle w:val="Heading3"/>
      </w:pPr>
      <w:r>
        <w:t xml:space="preserve">4.3 The Bootstrap Fixed-Point Equation</w:t>
      </w:r>
    </w:p>
    <w:p>
      <w:pPr>
        <w:pStyle w:val="FirstParagraph"/>
      </w:pPr>
      <w:r>
        <w:t xml:space="preserve">The two equations above are not independent. Combining them yields the self-consistency condition — the field must be consistent with its own geometry:</w:t>
      </w:r>
    </w:p>
    <w:p>
      <w:pPr>
        <w:pStyle w:val="SourceCode"/>
      </w:pPr>
      <w:r>
        <w:rPr>
          <w:rStyle w:val="VerbatimChar"/>
        </w:rPr>
        <w:t xml:space="preserve">┌─────────────────────────────────────────────────────────────┐</w:t>
      </w:r>
      <w:r>
        <w:br/>
      </w:r>
      <w:r>
        <w:rPr>
          <w:rStyle w:val="VerbatimChar"/>
        </w:rPr>
        <w:t xml:space="preserve">│                                                             │</w:t>
      </w:r>
      <w:r>
        <w:br/>
      </w:r>
      <w:r>
        <w:rPr>
          <w:rStyle w:val="VerbatimChar"/>
        </w:rPr>
        <w:t xml:space="preserve">│   Δ²  =  g²N · inf_n ( κₙ · V_Ω / λₙ )                   │</w:t>
      </w:r>
      <w:r>
        <w:br/>
      </w:r>
      <w:r>
        <w:rPr>
          <w:rStyle w:val="VerbatimChar"/>
        </w:rPr>
        <w:t xml:space="preserve">│                                                             │</w:t>
      </w:r>
      <w:r>
        <w:br/>
      </w:r>
      <w:r>
        <w:rPr>
          <w:rStyle w:val="VerbatimChar"/>
        </w:rPr>
        <w:t xml:space="preserve">└─────────────────────────────────────────────────────────────┘</w:t>
      </w:r>
    </w:p>
    <w:p>
      <w:pPr>
        <w:pStyle w:val="FirstParagraph"/>
      </w:pPr>
      <w:r>
        <w:t xml:space="preserve">This is the</w:t>
      </w:r>
      <w:r>
        <w:t xml:space="preserve"> </w:t>
      </w:r>
      <w:r>
        <w:rPr>
          <w:bCs/>
          <w:b/>
        </w:rPr>
        <w:t xml:space="preserve">unified fixed-point equation</w:t>
      </w:r>
      <w:r>
        <w:t xml:space="preserve">. Δ is the unique value at which the curvature of configuration space, the volume of the Gribov region, and the eigenspectrum of all interaction modes are simultaneously consistent.</w:t>
      </w:r>
    </w:p>
    <w:p>
      <w:pPr>
        <w:pStyle w:val="BodyText"/>
      </w:pPr>
      <w:r>
        <w:rPr>
          <w:bCs/>
          <w:b/>
        </w:rPr>
        <w:t xml:space="preserve">The mass gap is not derived from the interactions. It is the attractor of the system — the natural settling point of the interaction complexity itself.</w:t>
      </w:r>
    </w:p>
    <w:bookmarkEnd w:id="35"/>
    <w:bookmarkStart w:id="36" w:name="the-unification-written-explicitly"/>
    <w:p>
      <w:pPr>
        <w:pStyle w:val="Heading3"/>
      </w:pPr>
      <w:r>
        <w:t xml:space="preserve">4.4 The Unification Written Explicitly</w:t>
      </w:r>
    </w:p>
    <w:p>
      <w:pPr>
        <w:pStyle w:val="FirstParagraph"/>
      </w:pPr>
      <w:r>
        <w:t xml:space="preserve">The full identity, combining the medium-message insight with the fixed point, is:</w:t>
      </w:r>
    </w:p>
    <w:p>
      <w:pPr>
        <w:pStyle w:val="SourceCode"/>
      </w:pPr>
      <w:r>
        <w:rPr>
          <w:rStyle w:val="VerbatimChar"/>
        </w:rPr>
        <w:t xml:space="preserve">∂Ω  ≡  { λ₀(M) = 0 }</w:t>
      </w:r>
      <w:r>
        <w:br/>
      </w:r>
      <w:r>
        <w:br/>
      </w:r>
      <w:r>
        <w:rPr>
          <w:rStyle w:val="VerbatimChar"/>
        </w:rPr>
        <w:t xml:space="preserve">κ(A)  =  1 / λ₀(A)</w:t>
      </w:r>
      <w:r>
        <w:br/>
      </w:r>
      <w:r>
        <w:br/>
      </w:r>
      <w:r>
        <w:rPr>
          <w:rStyle w:val="VerbatimChar"/>
        </w:rPr>
        <w:t xml:space="preserve">Δ²  =  g²N · inf_n ( κₙ · V_Ω / λₙ )</w:t>
      </w:r>
    </w:p>
    <w:p>
      <w:pPr>
        <w:pStyle w:val="FirstParagraph"/>
      </w:pPr>
      <w:r>
        <w:t xml:space="preserve">These three lines are one statement. The geometric boundary of the accessible space, the spectral condition on propagation, and the minimum energy of excitation are projections of a single underlying object.</w:t>
      </w:r>
    </w:p>
    <w:p>
      <w:r>
        <w:pict>
          <v:rect style="width:0;height:1.5pt" o:hralign="center" o:hrstd="t" o:hr="t"/>
        </w:pict>
      </w:r>
    </w:p>
    <w:bookmarkEnd w:id="36"/>
    <w:bookmarkEnd w:id="37"/>
    <w:bookmarkStart w:id="41" w:name="proof-strategy"/>
    <w:p>
      <w:pPr>
        <w:pStyle w:val="Heading2"/>
      </w:pPr>
      <w:r>
        <w:t xml:space="preserve">5. Proof Strategy</w:t>
      </w:r>
    </w:p>
    <w:p>
      <w:pPr>
        <w:pStyle w:val="FirstParagraph"/>
      </w:pPr>
      <w:r>
        <w:t xml:space="preserve">The strict inequality Δ &gt; 0 follows from three conditions:</w:t>
      </w:r>
    </w:p>
    <w:bookmarkStart w:id="38" w:name="condition-i-finite-volume"/>
    <w:p>
      <w:pPr>
        <w:pStyle w:val="Heading3"/>
      </w:pPr>
      <w:r>
        <w:t xml:space="preserve">Condition I — Finite Volume</w:t>
      </w:r>
    </w:p>
    <w:p>
      <w:pPr>
        <w:pStyle w:val="SourceCode"/>
      </w:pPr>
      <w:r>
        <w:rPr>
          <w:rStyle w:val="VerbatimChar"/>
        </w:rPr>
        <w:t xml:space="preserve">V_Ω &lt; ∞  for SU(N) in four dimensions</w:t>
      </w:r>
    </w:p>
    <w:p>
      <w:pPr>
        <w:pStyle w:val="FirstParagraph"/>
      </w:pPr>
      <w:r>
        <w:t xml:space="preserve">Partial results exist via Zwanziger’s work on the Gribov-Zwanziger action, which restricts the Yang-Mills path integral to the Gribov region and introduces soft BRST breaking terms consistent with this restriction.</w:t>
      </w:r>
    </w:p>
    <w:bookmarkEnd w:id="38"/>
    <w:bookmarkStart w:id="39" w:name="condition-ii-positive-curvature-bound"/>
    <w:p>
      <w:pPr>
        <w:pStyle w:val="Heading3"/>
      </w:pPr>
      <w:r>
        <w:t xml:space="preserve">Condition II — Positive Curvature Bound</w:t>
      </w:r>
    </w:p>
    <w:p>
      <w:pPr>
        <w:pStyle w:val="SourceCode"/>
      </w:pPr>
      <w:r>
        <w:rPr>
          <w:rStyle w:val="VerbatimChar"/>
        </w:rPr>
        <w:t xml:space="preserve">inf_{A∈Ω} κ(A) ≥ C(g, N) &gt; 0</w:t>
      </w:r>
    </w:p>
    <w:p>
      <w:pPr>
        <w:pStyle w:val="FirstParagraph"/>
      </w:pPr>
      <w:r>
        <w:t xml:space="preserve">where C is a positive constant depending only on g and N. This is the most technically demanding condition. It requires establishing that the curvature of the infinite-dimensional orbit space is bounded uniformly away from zero throughout the Gribov region.</w:t>
      </w:r>
    </w:p>
    <w:bookmarkEnd w:id="39"/>
    <w:bookmarkStart w:id="40" w:name="X1c2b6a76ee49bb4f5f76c45d9f8d0602ff04ea7"/>
    <w:p>
      <w:pPr>
        <w:pStyle w:val="Heading3"/>
      </w:pPr>
      <w:r>
        <w:t xml:space="preserve">Condition III — Spectral Positivity Inside Ω</w:t>
      </w:r>
    </w:p>
    <w:p>
      <w:pPr>
        <w:pStyle w:val="SourceCode"/>
      </w:pPr>
      <w:r>
        <w:rPr>
          <w:rStyle w:val="VerbatimChar"/>
        </w:rPr>
        <w:t xml:space="preserve">λ₀(M) &gt; 0  strictly inside Ω</w:t>
      </w:r>
    </w:p>
    <w:p>
      <w:pPr>
        <w:pStyle w:val="FirstParagraph"/>
      </w:pPr>
      <w:r>
        <w:t xml:space="preserve">This holds by definition of Ω. The challenge is to ensure the infimum over Ω is not achieved — that is, that the spectral gap does not collapse to zero except on the horizon itself.</w:t>
      </w:r>
    </w:p>
    <w:p>
      <w:pPr>
        <w:pStyle w:val="BodyText"/>
      </w:pPr>
      <w:r>
        <w:rPr>
          <w:bCs/>
          <w:b/>
        </w:rPr>
        <w:t xml:space="preserve">If all three conditions are established rigorously, the fixed-point equation yields Δ &gt; 0 directly.</w:t>
      </w:r>
    </w:p>
    <w:p>
      <w:r>
        <w:pict>
          <v:rect style="width:0;height:1.5pt" o:hralign="center" o:hrstd="t" o:hr="t"/>
        </w:pict>
      </w:r>
    </w:p>
    <w:bookmarkEnd w:id="40"/>
    <w:bookmarkEnd w:id="41"/>
    <w:bookmarkStart w:id="45" w:name="discussion"/>
    <w:p>
      <w:pPr>
        <w:pStyle w:val="Heading2"/>
      </w:pPr>
      <w:r>
        <w:t xml:space="preserve">6. Discussion</w:t>
      </w:r>
    </w:p>
    <w:bookmarkStart w:id="42" w:name="why-the-fixed-point-framing-is-stronger"/>
    <w:p>
      <w:pPr>
        <w:pStyle w:val="Heading3"/>
      </w:pPr>
      <w:r>
        <w:t xml:space="preserve">6.1 Why the Fixed-Point Framing Is Stronger</w:t>
      </w:r>
    </w:p>
    <w:p>
      <w:pPr>
        <w:pStyle w:val="FirstParagraph"/>
      </w:pPr>
      <w:r>
        <w:t xml:space="preserve">The conventional approach treats Δ as output: sum interactions → extract gap. This fails at strong coupling.</w:t>
      </w:r>
    </w:p>
    <w:p>
      <w:pPr>
        <w:pStyle w:val="BodyText"/>
      </w:pPr>
      <w:r>
        <w:t xml:space="preserve">The fixed-point framing treats Δ as a constraint: find the unique self-consistent value at which geometry and spectrum agree. This is well-posed even at strong coupling, because it does not require the perturbation series to converge — it requires only that the fixed point exist and be unique.</w:t>
      </w:r>
    </w:p>
    <w:bookmarkEnd w:id="42"/>
    <w:bookmarkStart w:id="43" w:name="the-self-organising-structure"/>
    <w:p>
      <w:pPr>
        <w:pStyle w:val="Heading3"/>
      </w:pPr>
      <w:r>
        <w:t xml:space="preserve">6.2 The Self-Organising Structure</w:t>
      </w:r>
    </w:p>
    <w:p>
      <w:pPr>
        <w:pStyle w:val="FirstParagraph"/>
      </w:pPr>
      <w:r>
        <w:t xml:space="preserve">The bootstrap equation implies that Yang-Mills theory is self-organising in a strong sense: the interaction spectrum, the geometry of configuration space, and the minimum excitation energy are mutually determining. They form a closed system with no external parameters. Changing one changes all three.</w:t>
      </w:r>
    </w:p>
    <w:p>
      <w:pPr>
        <w:pStyle w:val="BodyText"/>
      </w:pPr>
      <w:r>
        <w:t xml:space="preserve">This is a stronger claim than</w:t>
      </w:r>
      <w:r>
        <w:t xml:space="preserve"> </w:t>
      </w:r>
      <w:r>
        <w:t xml:space="preserve">“</w:t>
      </w:r>
      <w:r>
        <w:t xml:space="preserve">a mass gap exists.</w:t>
      </w:r>
      <w:r>
        <w:t xml:space="preserve">”</w:t>
      </w:r>
      <w:r>
        <w:t xml:space="preserve"> </w:t>
      </w:r>
      <w:r>
        <w:t xml:space="preserve">It implies the</w:t>
      </w:r>
      <w:r>
        <w:t xml:space="preserve"> </w:t>
      </w:r>
      <w:r>
        <w:rPr>
          <w:bCs/>
          <w:b/>
        </w:rPr>
        <w:t xml:space="preserve">value</w:t>
      </w:r>
      <w:r>
        <w:t xml:space="preserve"> </w:t>
      </w:r>
      <w:r>
        <w:t xml:space="preserve">of the gap is locked in by the geometry — that Δ is not a free parameter but a necessary consequence of the structure.</w:t>
      </w:r>
    </w:p>
    <w:bookmarkEnd w:id="43"/>
    <w:bookmarkStart w:id="44" w:name="relationship-to-existing-work"/>
    <w:p>
      <w:pPr>
        <w:pStyle w:val="Heading3"/>
      </w:pPr>
      <w:r>
        <w:t xml:space="preserve">6.3 Relationship to Existing Work</w:t>
      </w:r>
    </w:p>
    <w:p>
      <w:pPr>
        <w:pStyle w:val="FirstParagraph"/>
      </w:pPr>
      <w:r>
        <w:t xml:space="preserve">This framework connects to several established structures:</w:t>
      </w:r>
    </w:p>
    <w:p>
      <w:pPr>
        <w:numPr>
          <w:ilvl w:val="0"/>
          <w:numId w:val="1001"/>
        </w:numPr>
        <w:pStyle w:val="Compact"/>
      </w:pPr>
      <w:r>
        <w:rPr>
          <w:bCs/>
          <w:b/>
        </w:rPr>
        <w:t xml:space="preserve">Gribov-Zwanziger theory</w:t>
      </w:r>
      <w:r>
        <w:t xml:space="preserve"> </w:t>
      </w:r>
      <w:r>
        <w:t xml:space="preserve">— the restriction of the path integral to Ω and its consequences for ghost and gluon propagators</w:t>
      </w:r>
    </w:p>
    <w:p>
      <w:pPr>
        <w:numPr>
          <w:ilvl w:val="0"/>
          <w:numId w:val="1001"/>
        </w:numPr>
        <w:pStyle w:val="Compact"/>
      </w:pPr>
      <w:r>
        <w:rPr>
          <w:bCs/>
          <w:b/>
        </w:rPr>
        <w:t xml:space="preserve">Kugo-Ojima criterion</w:t>
      </w:r>
      <w:r>
        <w:t xml:space="preserve"> </w:t>
      </w:r>
      <w:r>
        <w:t xml:space="preserve">— the confinement criterion expressed as a condition on the ghost form factor</w:t>
      </w:r>
    </w:p>
    <w:p>
      <w:pPr>
        <w:numPr>
          <w:ilvl w:val="0"/>
          <w:numId w:val="1001"/>
        </w:numPr>
        <w:pStyle w:val="Compact"/>
      </w:pPr>
      <w:r>
        <w:rPr>
          <w:bCs/>
          <w:b/>
        </w:rPr>
        <w:t xml:space="preserve">Lichnerowicz theorem</w:t>
      </w:r>
      <w:r>
        <w:t xml:space="preserve"> </w:t>
      </w:r>
      <w:r>
        <w:t xml:space="preserve">— the prototype for eigenvalue bounds from curvature in Riemannian geometry</w:t>
      </w:r>
    </w:p>
    <w:p>
      <w:pPr>
        <w:numPr>
          <w:ilvl w:val="0"/>
          <w:numId w:val="1001"/>
        </w:numPr>
        <w:pStyle w:val="Compact"/>
      </w:pPr>
      <w:r>
        <w:rPr>
          <w:bCs/>
          <w:b/>
        </w:rPr>
        <w:t xml:space="preserve">Functional renormalisation group</w:t>
      </w:r>
      <w:r>
        <w:t xml:space="preserve"> </w:t>
      </w:r>
      <w:r>
        <w:t xml:space="preserve">— non-perturbative flow equations that approach the problem from a different direction but are consistent with a mass gap</w:t>
      </w:r>
    </w:p>
    <w:p>
      <w:pPr>
        <w:pStyle w:val="FirstParagraph"/>
      </w:pPr>
      <w:r>
        <w:t xml:space="preserve">The contribution here is the explicit identification of the Gribov horizon and the spectral zero as the same object, and the derivation of the fixed-point equation as the natural consequence of this identity.</w:t>
      </w:r>
    </w:p>
    <w:p>
      <w:r>
        <w:pict>
          <v:rect style="width:0;height:1.5pt" o:hralign="center" o:hrstd="t" o:hr="t"/>
        </w:pict>
      </w:r>
    </w:p>
    <w:bookmarkEnd w:id="44"/>
    <w:bookmarkEnd w:id="45"/>
    <w:bookmarkStart w:id="46" w:name="open-questions"/>
    <w:p>
      <w:pPr>
        <w:pStyle w:val="Heading2"/>
      </w:pPr>
      <w:r>
        <w:t xml:space="preserve">7. Open Questions</w:t>
      </w:r>
    </w:p>
    <w:p>
      <w:pPr>
        <w:numPr>
          <w:ilvl w:val="0"/>
          <w:numId w:val="1002"/>
        </w:numPr>
      </w:pPr>
      <w:r>
        <w:rPr>
          <w:bCs/>
          <w:b/>
        </w:rPr>
        <w:t xml:space="preserve">Rigorous derivation of κ ~ 1/λ₀</w:t>
      </w:r>
      <w:r>
        <w:t xml:space="preserve">: The curvature scaling is physically motivated but requires proof in the functional-analytic setting of infinite-dimensional manifolds.</w:t>
      </w:r>
    </w:p>
    <w:p>
      <w:pPr>
        <w:numPr>
          <w:ilvl w:val="0"/>
          <w:numId w:val="1002"/>
        </w:numPr>
      </w:pPr>
      <w:r>
        <w:rPr>
          <w:bCs/>
          <w:b/>
        </w:rPr>
        <w:t xml:space="preserve">Functional analysis on A/G</w:t>
      </w:r>
      <w:r>
        <w:t xml:space="preserve">: The Lichnerowicz analogy applies to finite-dimensional compact Riemannian manifolds. Extending spectral bounds to infinite-dimensional orbit spaces requires new mathematical machinery.</w:t>
      </w:r>
    </w:p>
    <w:p>
      <w:pPr>
        <w:numPr>
          <w:ilvl w:val="0"/>
          <w:numId w:val="1002"/>
        </w:numPr>
      </w:pPr>
      <w:r>
        <w:rPr>
          <w:bCs/>
          <w:b/>
        </w:rPr>
        <w:t xml:space="preserve">Uniqueness of the fixed point</w:t>
      </w:r>
      <w:r>
        <w:t xml:space="preserve">: The bootstrap equation may admit multiple solutions. Proving that the physical mass gap corresponds to a unique, stable fixed point is essential.</w:t>
      </w:r>
    </w:p>
    <w:p>
      <w:pPr>
        <w:numPr>
          <w:ilvl w:val="0"/>
          <w:numId w:val="1002"/>
        </w:numPr>
      </w:pPr>
      <w:r>
        <w:rPr>
          <w:bCs/>
          <w:b/>
        </w:rPr>
        <w:t xml:space="preserve">Finite volume in 4D</w:t>
      </w:r>
      <w:r>
        <w:t xml:space="preserve">: Zwanziger’s results are most complete in lower dimensions. The four-dimensional case requires additional work.</w:t>
      </w:r>
    </w:p>
    <w:p>
      <w:r>
        <w:pict>
          <v:rect style="width:0;height:1.5pt" o:hralign="center" o:hrstd="t" o:hr="t"/>
        </w:pict>
      </w:r>
    </w:p>
    <w:bookmarkEnd w:id="46"/>
    <w:bookmarkStart w:id="47" w:name="conclusion"/>
    <w:p>
      <w:pPr>
        <w:pStyle w:val="Heading2"/>
      </w:pPr>
      <w:r>
        <w:t xml:space="preserve">8. Conclusion</w:t>
      </w:r>
    </w:p>
    <w:p>
      <w:pPr>
        <w:pStyle w:val="FirstParagraph"/>
      </w:pPr>
      <w:r>
        <w:t xml:space="preserve">The Yang-Mills mass gap is conventionally framed as a mystery: why does quantization produce a minimum energy when the classical theory has none?</w:t>
      </w:r>
    </w:p>
    <w:p>
      <w:pPr>
        <w:pStyle w:val="BodyText"/>
      </w:pPr>
      <w:r>
        <w:t xml:space="preserve">This framework reframes the question. The mass gap is not something the theory produces. It is something the theory</w:t>
      </w:r>
      <w:r>
        <w:t xml:space="preserve"> </w:t>
      </w:r>
      <w:r>
        <w:rPr>
          <w:bCs/>
          <w:b/>
        </w:rPr>
        <w:t xml:space="preserve">is</w:t>
      </w:r>
      <w:r>
        <w:t xml:space="preserve"> </w:t>
      </w:r>
      <w:r>
        <w:t xml:space="preserve">— the incompressibility of the gauge orbit space at strong coupling, expressed as a curvature bound, which forces a minimum denomination on all quantum excitations.</w:t>
      </w:r>
    </w:p>
    <w:p>
      <w:pPr>
        <w:pStyle w:val="BodyText"/>
      </w:pPr>
      <w:r>
        <w:t xml:space="preserve">The field cannot be excited below Δ for the same reason a fully packed room cannot admit another person. Not because of a force preventing entry. Because there is no geometric space for the configuration to exist in.</w:t>
      </w:r>
    </w:p>
    <w:p>
      <w:pPr>
        <w:pStyle w:val="BodyText"/>
      </w:pPr>
      <w:r>
        <w:t xml:space="preserve">The medium is the message. The message constraints are the medium constraints. The denomination is set by the geometry of the mint — and the mint’s blueprint is printed on the currency it produces.</w:t>
      </w:r>
    </w:p>
    <w:p>
      <w:r>
        <w:pict>
          <v:rect style="width:0;height:1.5pt" o:hralign="center" o:hrstd="t" o:hr="t"/>
        </w:pict>
      </w:r>
    </w:p>
    <w:bookmarkEnd w:id="47"/>
    <w:bookmarkStart w:id="48" w:name="references-and-related-work"/>
    <w:p>
      <w:pPr>
        <w:pStyle w:val="Heading2"/>
      </w:pPr>
      <w:r>
        <w:t xml:space="preserve">References and Related Work</w:t>
      </w:r>
    </w:p>
    <w:p>
      <w:pPr>
        <w:numPr>
          <w:ilvl w:val="0"/>
          <w:numId w:val="1003"/>
        </w:numPr>
        <w:pStyle w:val="Compact"/>
      </w:pPr>
      <w:r>
        <w:t xml:space="preserve">Gribov, V.N. (1978).</w:t>
      </w:r>
      <w:r>
        <w:t xml:space="preserve"> </w:t>
      </w:r>
      <w:r>
        <w:rPr>
          <w:iCs/>
          <w:i/>
        </w:rPr>
        <w:t xml:space="preserve">Quantization of non-Abelian gauge theories</w:t>
      </w:r>
      <w:r>
        <w:t xml:space="preserve">. Nuclear Physics B, 139(1), 1–19.</w:t>
      </w:r>
    </w:p>
    <w:p>
      <w:pPr>
        <w:numPr>
          <w:ilvl w:val="0"/>
          <w:numId w:val="1003"/>
        </w:numPr>
        <w:pStyle w:val="Compact"/>
      </w:pPr>
      <w:r>
        <w:t xml:space="preserve">Zwanziger, D. (1989).</w:t>
      </w:r>
      <w:r>
        <w:t xml:space="preserve"> </w:t>
      </w:r>
      <w:r>
        <w:rPr>
          <w:iCs/>
          <w:i/>
        </w:rPr>
        <w:t xml:space="preserve">Local and renormalizable action from the Gribov horizon</w:t>
      </w:r>
      <w:r>
        <w:t xml:space="preserve">. Nuclear Physics B, 323(3), 513–544.</w:t>
      </w:r>
    </w:p>
    <w:p>
      <w:pPr>
        <w:numPr>
          <w:ilvl w:val="0"/>
          <w:numId w:val="1003"/>
        </w:numPr>
        <w:pStyle w:val="Compact"/>
      </w:pPr>
      <w:r>
        <w:t xml:space="preserve">Singer, I.M. (1978).</w:t>
      </w:r>
      <w:r>
        <w:t xml:space="preserve"> </w:t>
      </w:r>
      <w:r>
        <w:rPr>
          <w:iCs/>
          <w:i/>
        </w:rPr>
        <w:t xml:space="preserve">Some remarks on the Gribov ambiguity</w:t>
      </w:r>
      <w:r>
        <w:t xml:space="preserve">. Communications in Mathematical Physics, 60(1), 7–12.</w:t>
      </w:r>
    </w:p>
    <w:p>
      <w:pPr>
        <w:numPr>
          <w:ilvl w:val="0"/>
          <w:numId w:val="1003"/>
        </w:numPr>
        <w:pStyle w:val="Compact"/>
      </w:pPr>
      <w:r>
        <w:t xml:space="preserve">Lichnerowicz, A. (1958).</w:t>
      </w:r>
      <w:r>
        <w:t xml:space="preserve"> </w:t>
      </w:r>
      <w:r>
        <w:rPr>
          <w:iCs/>
          <w:i/>
        </w:rPr>
        <w:t xml:space="preserve">Géométrie des groupes de transformations</w:t>
      </w:r>
      <w:r>
        <w:t xml:space="preserve">. Dunod, Paris.</w:t>
      </w:r>
    </w:p>
    <w:p>
      <w:pPr>
        <w:numPr>
          <w:ilvl w:val="0"/>
          <w:numId w:val="1003"/>
        </w:numPr>
        <w:pStyle w:val="Compact"/>
      </w:pPr>
      <w:r>
        <w:t xml:space="preserve">Zwanziger, D. (2003).</w:t>
      </w:r>
      <w:r>
        <w:t xml:space="preserve"> </w:t>
      </w:r>
      <w:r>
        <w:rPr>
          <w:iCs/>
          <w:i/>
        </w:rPr>
        <w:t xml:space="preserve">No confinement without Coulomb confinement</w:t>
      </w:r>
      <w:r>
        <w:t xml:space="preserve">. Physical Review Letters, 90(10), 102001.</w:t>
      </w:r>
    </w:p>
    <w:p>
      <w:pPr>
        <w:numPr>
          <w:ilvl w:val="0"/>
          <w:numId w:val="1003"/>
        </w:numPr>
        <w:pStyle w:val="Compact"/>
      </w:pPr>
      <w:r>
        <w:t xml:space="preserve">Dudal, D., Gracey, J.A., Sorella, S.P., Vandersickel, N., Verschelde, H. (2008).</w:t>
      </w:r>
      <w:r>
        <w:t xml:space="preserve"> </w:t>
      </w:r>
      <w:r>
        <w:rPr>
          <w:iCs/>
          <w:i/>
        </w:rPr>
        <w:t xml:space="preserve">A refinement of the Gribov-Zwanziger approach</w:t>
      </w:r>
      <w:r>
        <w:t xml:space="preserve">. Physical Review D, 78(6), 065047.</w:t>
      </w:r>
    </w:p>
    <w:p>
      <w:r>
        <w:pict>
          <v:rect style="width:0;height:1.5pt" o:hralign="center" o:hrstd="t" o:hr="t"/>
        </w:pict>
      </w:r>
    </w:p>
    <w:p>
      <w:pPr>
        <w:pStyle w:val="FirstParagraph"/>
      </w:pPr>
      <w:r>
        <w:rPr>
          <w:iCs/>
          <w:i/>
        </w:rPr>
        <w:t xml:space="preserve">This document represents a conjectural geometric research programme, not a completed proof. The equations presented are physically motivated and connect to established structures in the literature, but require rigorous mathematical development — in particular, functional analysis on infinite-dimensional Riemannian manifolds — to constitute a proof of the Millennium Prize problem.</w:t>
      </w:r>
    </w:p>
    <w:p>
      <w:pPr>
        <w:pStyle w:val="BodyText"/>
      </w:pPr>
      <w:r>
        <w:rPr>
          <w:iCs/>
          <w:i/>
        </w:rPr>
        <w:t xml:space="preserve">Author: James Squire, Tasmanian Shack Dweller</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Yang-Mills Mass Gap: A Geometric Framework</dc:title>
  <dc:creator/>
  <cp:keywords/>
  <dcterms:created xsi:type="dcterms:W3CDTF">2026-03-09T18:19:43Z</dcterms:created>
  <dcterms:modified xsi:type="dcterms:W3CDTF">2026-03-09T18:19:43Z</dcterms:modified>
</cp:coreProperties>
</file>

<file path=docProps/custom.xml><?xml version="1.0" encoding="utf-8"?>
<Properties xmlns="http://schemas.openxmlformats.org/officeDocument/2006/custom-properties" xmlns:vt="http://schemas.openxmlformats.org/officeDocument/2006/docPropsVTypes"/>
</file>