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说明：本小节以表格的形式列出系统所涉及的功能。</w:t>
      </w:r>
    </w:p>
    <w:tbl>
      <w:tblPr>
        <w:tblStyle w:val="6"/>
        <w:tblW w:w="88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569"/>
        <w:gridCol w:w="1703"/>
        <w:gridCol w:w="4642"/>
      </w:tblGrid>
      <w:tr>
        <w:trPr>
          <w:trHeight w:val="20" w:hRule="atLeast"/>
          <w:tblHeader/>
          <w:jc w:val="center"/>
        </w:trPr>
        <w:tc>
          <w:tcPr>
            <w:tcW w:w="948" w:type="dxa"/>
            <w:shd w:val="clear" w:color="auto" w:fill="BFBFBF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序号</w:t>
            </w:r>
          </w:p>
        </w:tc>
        <w:tc>
          <w:tcPr>
            <w:tcW w:w="1569" w:type="dxa"/>
            <w:shd w:val="clear" w:color="auto" w:fill="BFBFBF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功能项编号</w:t>
            </w:r>
          </w:p>
        </w:tc>
        <w:tc>
          <w:tcPr>
            <w:tcW w:w="1703" w:type="dxa"/>
            <w:shd w:val="clear" w:color="auto" w:fill="BFBFBF"/>
            <w:vAlign w:val="top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功能项名称</w:t>
            </w:r>
          </w:p>
        </w:tc>
        <w:tc>
          <w:tcPr>
            <w:tcW w:w="4642" w:type="dxa"/>
            <w:shd w:val="clear" w:color="auto" w:fill="BFBFBF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说明</w:t>
            </w:r>
          </w:p>
        </w:tc>
      </w:tr>
      <w:tr>
        <w:trPr>
          <w:trHeight w:val="20" w:hRule="atLeast"/>
          <w:jc w:val="center"/>
        </w:trPr>
        <w:tc>
          <w:tcPr>
            <w:tcW w:w="948" w:type="dxa"/>
            <w:shd w:val="clear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</w:t>
            </w:r>
          </w:p>
        </w:tc>
        <w:tc>
          <w:tcPr>
            <w:tcW w:w="1703" w:type="dxa"/>
            <w:shd w:val="clear" w:color="auto" w:fill="auto"/>
            <w:vAlign w:val="top"/>
          </w:tcPr>
          <w:p>
            <w:pPr>
              <w:snapToGrid w:val="0"/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监控mysql</w:t>
            </w:r>
          </w:p>
        </w:tc>
        <w:tc>
          <w:tcPr>
            <w:tcW w:w="4642" w:type="dxa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内存占用情况；CPU占用情况；监控端口是否正常连接；</w:t>
            </w:r>
          </w:p>
          <w:p>
            <w:pPr>
              <w:snapToGrid w:val="0"/>
              <w:spacing w:after="0" w:line="240" w:lineRule="auto"/>
              <w:rPr>
                <w:rFonts w:ascii="宋体" w:hAnsi="宋体" w:eastAsia="宋体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948" w:type="dxa"/>
            <w:shd w:val="clear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2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1</w:t>
            </w:r>
          </w:p>
        </w:tc>
        <w:tc>
          <w:tcPr>
            <w:tcW w:w="1703" w:type="dxa"/>
            <w:shd w:val="clear" w:color="auto" w:fill="auto"/>
            <w:vAlign w:val="top"/>
          </w:tcPr>
          <w:p>
            <w:r>
              <w:t>监控</w:t>
            </w:r>
            <w:r>
              <w:rPr>
                <w:lang w:val="en-US" w:eastAsia="zh-CN"/>
              </w:rPr>
              <w:t>Memcache</w:t>
            </w:r>
          </w:p>
          <w:p>
            <w:pPr>
              <w:snapToGrid w:val="0"/>
              <w:spacing w:after="0" w:line="240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4642" w:type="dxa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监控 11211 端口是否正常服务</w:t>
            </w:r>
          </w:p>
          <w:p>
            <w:pPr>
              <w:snapToGrid w:val="0"/>
              <w:spacing w:after="0" w:line="240" w:lineRule="auto"/>
              <w:jc w:val="center"/>
              <w:rPr>
                <w:rFonts w:ascii="宋体" w:hAnsi="宋体" w:eastAsia="宋体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948" w:type="dxa"/>
            <w:shd w:val="clear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3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1</w:t>
            </w:r>
          </w:p>
        </w:tc>
        <w:tc>
          <w:tcPr>
            <w:tcW w:w="1703" w:type="dxa"/>
            <w:shd w:val="clear" w:color="auto" w:fill="auto"/>
            <w:vAlign w:val="top"/>
          </w:tcPr>
          <w:p>
            <w:r>
              <w:rPr>
                <w:rFonts w:ascii="宋体" w:hAnsi="宋体" w:eastAsia="宋体"/>
              </w:rPr>
              <w:t>监控</w:t>
            </w:r>
            <w:r>
              <w:rPr>
                <w:lang w:val="en-US" w:eastAsia="zh-CN"/>
              </w:rPr>
              <w:t>Libvirt</w:t>
            </w:r>
          </w:p>
          <w:p/>
        </w:tc>
        <w:tc>
          <w:tcPr>
            <w:tcW w:w="4642" w:type="dxa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监控服务是否正常响应请求；</w:t>
            </w:r>
          </w:p>
          <w:p/>
        </w:tc>
      </w:tr>
      <w:tr>
        <w:trPr>
          <w:trHeight w:val="20" w:hRule="atLeast"/>
          <w:jc w:val="center"/>
        </w:trPr>
        <w:tc>
          <w:tcPr>
            <w:tcW w:w="948" w:type="dxa"/>
            <w:shd w:val="clear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4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1</w:t>
            </w:r>
          </w:p>
        </w:tc>
        <w:tc>
          <w:tcPr>
            <w:tcW w:w="1703" w:type="dxa"/>
            <w:shd w:val="clear" w:color="auto" w:fill="auto"/>
            <w:vAlign w:val="top"/>
          </w:tcPr>
          <w:p>
            <w:r>
              <w:rPr>
                <w:rFonts w:ascii="宋体" w:hAnsi="宋体" w:eastAsia="宋体"/>
              </w:rPr>
              <w:t>监控</w:t>
            </w:r>
            <w:r>
              <w:rPr>
                <w:lang w:val="en-US" w:eastAsia="zh-CN"/>
              </w:rPr>
              <w:t>open-vswitch</w:t>
            </w:r>
          </w:p>
          <w:p/>
        </w:tc>
        <w:tc>
          <w:tcPr>
            <w:tcW w:w="4642" w:type="dxa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监控服务是否存在并且是否正常相应请求；</w:t>
            </w:r>
          </w:p>
          <w:p/>
        </w:tc>
      </w:tr>
      <w:tr>
        <w:trPr>
          <w:trHeight w:val="20" w:hRule="atLeast"/>
          <w:jc w:val="center"/>
        </w:trPr>
        <w:tc>
          <w:tcPr>
            <w:tcW w:w="948" w:type="dxa"/>
            <w:shd w:val="clear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5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1</w:t>
            </w:r>
          </w:p>
        </w:tc>
        <w:tc>
          <w:tcPr>
            <w:tcW w:w="1703" w:type="dxa"/>
            <w:shd w:val="clear" w:color="auto" w:fill="auto"/>
            <w:vAlign w:val="top"/>
          </w:tcPr>
          <w:p>
            <w:r>
              <w:rPr>
                <w:rFonts w:ascii="宋体" w:hAnsi="宋体" w:eastAsia="宋体"/>
              </w:rPr>
              <w:t>监控</w:t>
            </w:r>
            <w:r>
              <w:rPr>
                <w:lang w:val="en-US" w:eastAsia="zh-CN"/>
              </w:rPr>
              <w:t>RabbitMQ</w:t>
            </w:r>
          </w:p>
          <w:p/>
        </w:tc>
        <w:tc>
          <w:tcPr>
            <w:tcW w:w="4642" w:type="dxa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>监控服务是否存在；内存使用情况；磁盘使用情况，连接数；队列消费者数量；队列残余消息数</w:t>
            </w:r>
          </w:p>
          <w:p/>
        </w:tc>
      </w:tr>
      <w:tr>
        <w:trPr>
          <w:trHeight w:val="20" w:hRule="atLeast"/>
          <w:jc w:val="center"/>
        </w:trPr>
        <w:tc>
          <w:tcPr>
            <w:tcW w:w="948" w:type="dxa"/>
            <w:shd w:val="clear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6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2</w:t>
            </w:r>
          </w:p>
        </w:tc>
        <w:tc>
          <w:tcPr>
            <w:tcW w:w="1703" w:type="dxa"/>
            <w:shd w:val="clear" w:color="auto" w:fill="auto"/>
            <w:vAlign w:val="top"/>
          </w:tcPr>
          <w:p>
            <w:pPr>
              <w:snapToGrid w:val="0"/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监控openstack服务</w:t>
            </w:r>
          </w:p>
        </w:tc>
        <w:tc>
          <w:tcPr>
            <w:tcW w:w="4642" w:type="dxa"/>
            <w:shd w:val="clear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进程是否存在；端口是否可以访问；服务是否可以使用</w:t>
            </w:r>
          </w:p>
        </w:tc>
      </w:tr>
      <w:tr>
        <w:trPr>
          <w:trHeight w:val="20" w:hRule="atLeast"/>
          <w:jc w:val="center"/>
        </w:trPr>
        <w:tc>
          <w:tcPr>
            <w:tcW w:w="948" w:type="dxa"/>
            <w:shd w:val="clear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7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3</w:t>
            </w:r>
          </w:p>
        </w:tc>
        <w:tc>
          <w:tcPr>
            <w:tcW w:w="1703" w:type="dxa"/>
            <w:shd w:val="clear" w:color="auto" w:fill="auto"/>
            <w:vAlign w:val="top"/>
          </w:tcPr>
          <w:p>
            <w:pPr>
              <w:snapToGrid w:val="0"/>
              <w:spacing w:after="0" w:line="240" w:lineRule="auto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监控openstack</w:t>
            </w:r>
            <w:r>
              <w:rPr>
                <w:rFonts w:ascii="宋体" w:hAnsi="宋体" w:eastAsia="宋体"/>
              </w:rPr>
              <w:t>资源使用</w:t>
            </w:r>
          </w:p>
        </w:tc>
        <w:tc>
          <w:tcPr>
            <w:tcW w:w="4642" w:type="dxa"/>
            <w:shd w:val="clear" w:color="auto" w:fill="auto"/>
            <w:vAlign w:val="center"/>
          </w:tcPr>
          <w:p>
            <w:pPr>
              <w:snapToGrid w:val="0"/>
              <w:spacing w:after="0" w:line="240" w:lineRule="auto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虚拟机数目;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每台虚拟机的内存使用百分比；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虚拟机占用的主机RAM的大小；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虚拟机占用的磁盘空间大小；</w:t>
            </w:r>
          </w:p>
          <w:p>
            <w:pPr>
              <w:snapToGrid w:val="0"/>
              <w:spacing w:after="0" w:line="240" w:lineRule="auto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浮动IP的数目</w:t>
            </w:r>
          </w:p>
        </w:tc>
      </w:tr>
    </w:tbl>
    <w:p>
      <w:pPr/>
      <w:bookmarkStart w:id="0" w:name="_GoBack"/>
      <w:bookmarkEnd w:id="0"/>
    </w:p>
    <w:p>
      <w:pPr/>
      <w:r>
        <w:t>参考：</w:t>
      </w:r>
    </w:p>
    <w:p>
      <w:pPr>
        <w:rPr>
          <w:rFonts w:hint="default"/>
        </w:rPr>
      </w:pPr>
      <w:r>
        <w:rPr>
          <w:rFonts w:hint="default"/>
        </w:rPr>
        <w:t xml:space="preserve">[1]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"http://www.zhongkerd.com/news/content-985.html"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http://www.zhongkerd.com/news/content-985.html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[2] http://docs.openstack.org/admin-guide/telemetry-measurements.html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Abyssinica SIL"/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华文楷体">
    <w:altName w:val="Droid Sans Fallback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50132695">
    <w:nsid w:val="26C03CD7"/>
    <w:multiLevelType w:val="multilevel"/>
    <w:tmpl w:val="26C03CD7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501326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A1BF7"/>
    <w:rsid w:val="3FFFCAC6"/>
    <w:rsid w:val="5CFFE302"/>
    <w:rsid w:val="6BDFBB7A"/>
    <w:rsid w:val="7F6EC442"/>
    <w:rsid w:val="7FDA1BF7"/>
    <w:rsid w:val="BFFDC1D9"/>
    <w:rsid w:val="E7DF6FCB"/>
    <w:rsid w:val="EDF78620"/>
    <w:rsid w:val="FFFF3F2D"/>
    <w:rsid w:val="FFFFA7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="华文楷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outlineLvl w:val="0"/>
    </w:pPr>
    <w:rPr>
      <w:rFonts w:ascii="Times New Roman" w:hAnsi="Times New Roman"/>
      <w:b/>
      <w:sz w:val="28"/>
      <w:szCs w:val="32"/>
    </w:rPr>
  </w:style>
  <w:style w:type="paragraph" w:styleId="3">
    <w:name w:val="heading 3"/>
    <w:basedOn w:val="2"/>
    <w:next w:val="1"/>
    <w:unhideWhenUsed/>
    <w:qFormat/>
    <w:uiPriority w:val="0"/>
    <w:pPr>
      <w:numPr>
        <w:ilvl w:val="2"/>
        <w:numId w:val="1"/>
      </w:numPr>
      <w:outlineLvl w:val="2"/>
    </w:pPr>
    <w:rPr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7">
    <w:name w:val="正文格式"/>
    <w:basedOn w:val="1"/>
    <w:uiPriority w:val="0"/>
    <w:pPr>
      <w:spacing w:after="0" w:line="360" w:lineRule="auto"/>
      <w:ind w:firstLine="480" w:firstLineChars="200"/>
    </w:pPr>
    <w:rPr>
      <w:rFonts w:ascii="Calibri" w:hAnsi="Calibri" w:eastAsia="宋体"/>
      <w:szCs w:val="24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2016-12-09T09:23:00Z</dcterms:created>
  <dc:creator>roger</dc:creator>
  <cp:lastModifiedBy>roger</cp:lastModifiedBy>
  <dcterms:modified xsi:type="dcterms:W3CDTF">2016-12-09T10:09:27Z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