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bookmarkStart w:id="0" w:name="_Toc250966275"/>
      <w:bookmarkStart w:id="1" w:name="_Toc213555686"/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详细设计说明书</w:t>
      </w:r>
      <w:bookmarkEnd w:id="0"/>
      <w:bookmarkEnd w:id="1"/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jc w:val="center"/>
      </w:pPr>
    </w:p>
    <w:p>
      <w:pPr>
        <w:jc w:val="center"/>
      </w:pPr>
    </w:p>
    <w:p>
      <w:pPr/>
    </w:p>
    <w:p>
      <w:pPr>
        <w:pStyle w:val="3"/>
        <w:spacing w:before="93" w:after="93"/>
        <w:ind w:firstLine="420"/>
      </w:pPr>
    </w:p>
    <w:p>
      <w:pPr>
        <w:pStyle w:val="3"/>
        <w:spacing w:before="93" w:after="93"/>
        <w:ind w:firstLine="420"/>
        <w:jc w:val="center"/>
      </w:pPr>
      <w:r>
        <w:rPr>
          <w:bCs w:val="0"/>
        </w:rPr>
        <w:br w:type="page"/>
      </w:r>
      <w:bookmarkStart w:id="2" w:name="_Toc50197069"/>
      <w:bookmarkStart w:id="3" w:name="_Toc1899668"/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录</w:t>
      </w:r>
      <w:bookmarkEnd w:id="2"/>
      <w:bookmarkEnd w:id="3"/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 xml:space="preserve"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"_Toc266115737#_Toc266115737"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 </w:t>
      </w:r>
      <w:r>
        <w:rPr>
          <w:rStyle w:val="15"/>
          <w:rFonts w:hint="eastAsia"/>
          <w:lang w:val="zh-CN" w:eastAsia="zh-CN"/>
        </w:rPr>
        <w:t>引言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_Toc266115737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"_Toc266115738#_Toc266115738"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1.1 </w:t>
      </w:r>
      <w:r>
        <w:rPr>
          <w:rStyle w:val="15"/>
          <w:rFonts w:hint="eastAsia"/>
          <w:lang w:val="zh-CN" w:eastAsia="zh-CN"/>
        </w:rPr>
        <w:t>编写目的和范围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_Toc266115738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"_Toc266115739#_Toc266115739"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1.2 </w:t>
      </w:r>
      <w:r>
        <w:rPr>
          <w:rStyle w:val="15"/>
          <w:rFonts w:hint="eastAsia"/>
          <w:lang w:val="zh-CN" w:eastAsia="zh-CN"/>
        </w:rPr>
        <w:t>术语表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_Toc266115739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"_Toc266115740#_Toc266115740"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1.3 </w:t>
      </w:r>
      <w:r>
        <w:rPr>
          <w:rStyle w:val="15"/>
          <w:rFonts w:hint="eastAsia"/>
          <w:lang w:val="zh-CN" w:eastAsia="zh-CN"/>
        </w:rPr>
        <w:t>参考资料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_Toc266115740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"_Toc266115741#_Toc266115741"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1.4 </w:t>
      </w:r>
      <w:r>
        <w:rPr>
          <w:rStyle w:val="15"/>
          <w:rFonts w:hint="eastAsia"/>
          <w:lang w:val="zh-CN" w:eastAsia="zh-CN"/>
        </w:rPr>
        <w:t>使用的文字处理和绘图工具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_Toc266115741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"_Toc266115742#_Toc266115742"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 </w:t>
      </w:r>
      <w:r>
        <w:rPr>
          <w:rStyle w:val="15"/>
          <w:rFonts w:hint="eastAsia"/>
          <w:lang w:val="zh-CN" w:eastAsia="zh-CN"/>
        </w:rPr>
        <w:t>全局数据结构说明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_Toc266115742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"_Toc266115743#_Toc266115743"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2.1 </w:t>
      </w:r>
      <w:r>
        <w:rPr>
          <w:rStyle w:val="15"/>
          <w:rFonts w:hint="eastAsia"/>
          <w:lang w:val="zh-CN" w:eastAsia="zh-CN"/>
        </w:rPr>
        <w:t>常量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_Toc266115743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"_Toc266115744#_Toc266115744"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2.2 </w:t>
      </w:r>
      <w:r>
        <w:rPr>
          <w:rStyle w:val="15"/>
          <w:rFonts w:hint="eastAsia"/>
          <w:lang w:val="zh-CN" w:eastAsia="zh-CN"/>
        </w:rPr>
        <w:t>变量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_Toc266115744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"_Toc266115745#_Toc266115745"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2.3 </w:t>
      </w:r>
      <w:r>
        <w:rPr>
          <w:rStyle w:val="15"/>
          <w:rFonts w:hint="eastAsia"/>
          <w:lang w:val="zh-CN" w:eastAsia="zh-CN"/>
        </w:rPr>
        <w:t>数据结构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_Toc266115745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"_Toc266115746#_Toc266115746"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 </w:t>
      </w:r>
      <w:r>
        <w:rPr>
          <w:rStyle w:val="15"/>
          <w:rFonts w:hint="eastAsia"/>
          <w:lang w:val="zh-CN" w:eastAsia="zh-CN"/>
        </w:rPr>
        <w:t>模块设计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_Toc266115746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"_Toc266115747#_Toc266115747"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3.1 </w:t>
      </w:r>
      <w:r>
        <w:rPr>
          <w:rStyle w:val="15"/>
          <w:rFonts w:hint="eastAsia"/>
          <w:lang w:val="zh-CN" w:eastAsia="zh-CN"/>
        </w:rPr>
        <w:t>用例图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_Toc266115747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"_Toc266115748#_Toc266115748"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3.2 </w:t>
      </w:r>
      <w:r>
        <w:rPr>
          <w:rStyle w:val="15"/>
          <w:rFonts w:hint="eastAsia"/>
          <w:lang w:val="zh-CN" w:eastAsia="zh-CN"/>
        </w:rPr>
        <w:t>功能设计说明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_Toc266115748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"_Toc266115749#_Toc266115749"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3.2.1 </w:t>
      </w:r>
      <w:r>
        <w:rPr>
          <w:rStyle w:val="15"/>
          <w:rFonts w:hint="eastAsia"/>
          <w:lang w:val="zh-CN" w:eastAsia="zh-CN"/>
        </w:rPr>
        <w:t>模块</w:t>
      </w:r>
      <w:r>
        <w:rPr>
          <w:rStyle w:val="15"/>
          <w:lang w:val="zh-CN" w:eastAsia="zh-CN"/>
        </w:rPr>
        <w:t>1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_Toc266115749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"_Toc266115750#_Toc266115750"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3.2.2 </w:t>
      </w:r>
      <w:r>
        <w:rPr>
          <w:rStyle w:val="15"/>
          <w:rFonts w:hint="eastAsia"/>
          <w:lang w:val="zh-CN" w:eastAsia="zh-CN"/>
        </w:rPr>
        <w:t>模块</w:t>
      </w:r>
      <w:r>
        <w:rPr>
          <w:rStyle w:val="15"/>
          <w:lang w:val="zh-CN" w:eastAsia="zh-CN"/>
        </w:rPr>
        <w:t>2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_Toc266115750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6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"_Toc266115751#_Toc266115751"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 </w:t>
      </w:r>
      <w:r>
        <w:rPr>
          <w:rStyle w:val="15"/>
          <w:rFonts w:hint="eastAsia"/>
          <w:lang w:val="zh-CN" w:eastAsia="zh-CN"/>
        </w:rPr>
        <w:t>接口设计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_Toc266115751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"_Toc266115752#_Toc266115752"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4.1 </w:t>
      </w:r>
      <w:r>
        <w:rPr>
          <w:rStyle w:val="15"/>
          <w:rFonts w:hint="eastAsia"/>
          <w:lang w:val="zh-CN" w:eastAsia="zh-CN"/>
        </w:rPr>
        <w:t>内部接口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_Toc266115752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"_Toc266115753#_Toc266115753"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4.2 </w:t>
      </w:r>
      <w:r>
        <w:rPr>
          <w:rStyle w:val="15"/>
          <w:rFonts w:hint="eastAsia"/>
          <w:lang w:val="zh-CN" w:eastAsia="zh-CN"/>
        </w:rPr>
        <w:t>外部接口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_Toc266115753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"_Toc266115754#_Toc266115754"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4.2.1 </w:t>
      </w:r>
      <w:r>
        <w:rPr>
          <w:rStyle w:val="15"/>
          <w:rFonts w:hint="eastAsia"/>
          <w:lang w:val="zh-CN" w:eastAsia="zh-CN"/>
        </w:rPr>
        <w:t>接口说明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_Toc266115754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"_Toc266115755#_Toc266115755"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4.2.2 </w:t>
      </w:r>
      <w:r>
        <w:rPr>
          <w:rStyle w:val="15"/>
          <w:rFonts w:hint="eastAsia"/>
          <w:lang w:val="zh-CN" w:eastAsia="zh-CN"/>
        </w:rPr>
        <w:t>调用方式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_Toc266115755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"_Toc266115756#_Toc266115756"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5. </w:t>
      </w:r>
      <w:r>
        <w:rPr>
          <w:rStyle w:val="15"/>
          <w:rFonts w:hint="eastAsia"/>
          <w:lang w:val="zh-CN" w:eastAsia="zh-CN"/>
        </w:rPr>
        <w:t>数据库设计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_Toc266115756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"_Toc266115757#_Toc266115757"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 </w:t>
      </w:r>
      <w:r>
        <w:rPr>
          <w:rStyle w:val="15"/>
          <w:rFonts w:hint="eastAsia"/>
          <w:lang w:val="zh-CN" w:eastAsia="zh-CN"/>
        </w:rPr>
        <w:t>系统安全保密设计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_Toc266115757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"_Toc266115758#_Toc266115758"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6.1 </w:t>
      </w:r>
      <w:r>
        <w:rPr>
          <w:rStyle w:val="15"/>
          <w:rFonts w:hint="eastAsia"/>
          <w:lang w:val="zh-CN" w:eastAsia="zh-CN"/>
        </w:rPr>
        <w:t>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_Toc266115758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"_Toc266115759#_Toc266115759"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6.2 </w:t>
      </w:r>
      <w:r>
        <w:rPr>
          <w:rStyle w:val="15"/>
          <w:rFonts w:hint="eastAsia"/>
          <w:lang w:val="zh-CN" w:eastAsia="zh-CN"/>
        </w:rPr>
        <w:t>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_Toc266115759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"_Toc266115760#_Toc266115760"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6.2.1 </w:t>
      </w:r>
      <w:r>
        <w:rPr>
          <w:rStyle w:val="15"/>
          <w:rFonts w:hint="eastAsia"/>
          <w:lang w:val="zh-CN" w:eastAsia="zh-CN"/>
        </w:rPr>
        <w:t>数据传输部分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_Toc266115760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"_Toc266115761#_Toc266115761"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>6.2.2 IP</w:t>
      </w:r>
      <w:r>
        <w:rPr>
          <w:rStyle w:val="15"/>
          <w:rFonts w:hint="eastAsia"/>
          <w:lang w:val="zh-CN" w:eastAsia="zh-CN"/>
        </w:rPr>
        <w:t>过滤分部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_Toc266115761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"_Toc266115762#_Toc266115762"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6.2.3 </w:t>
      </w:r>
      <w:r>
        <w:rPr>
          <w:rStyle w:val="15"/>
          <w:rFonts w:hint="eastAsia"/>
          <w:lang w:val="zh-CN" w:eastAsia="zh-CN"/>
        </w:rPr>
        <w:t>身份验证部分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_Toc266115762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"_Toc266115763#_Toc266115763"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7. </w:t>
      </w:r>
      <w:r>
        <w:rPr>
          <w:rStyle w:val="15"/>
          <w:rFonts w:hint="eastAsia"/>
          <w:lang w:val="zh-CN" w:eastAsia="zh-CN"/>
        </w:rPr>
        <w:t>系统性能设计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_Toc266115763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9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"_Toc266115764#_Toc266115764"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8. </w:t>
      </w:r>
      <w:r>
        <w:rPr>
          <w:rStyle w:val="15"/>
          <w:rFonts w:hint="eastAsia"/>
          <w:lang w:val="zh-CN" w:eastAsia="zh-CN"/>
        </w:rPr>
        <w:t>系统出错处理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_Toc266115764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9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bookmarkStart w:id="4" w:name="_Toc236717075"/>
      <w:bookmarkStart w:id="5" w:name="_Toc266115737"/>
      <w:bookmarkStart w:id="6" w:name="_Toc50197070"/>
      <w:bookmarkStart w:id="7" w:name="_Toc450098940"/>
      <w:bookmarkStart w:id="8" w:name="_Toc448738433"/>
      <w:r>
        <w:rPr>
          <w:rFonts w:hint="eastAsia"/>
        </w:rPr>
        <w:t>引言</w:t>
      </w:r>
      <w:bookmarkEnd w:id="4"/>
      <w:bookmarkEnd w:id="5"/>
      <w:bookmarkEnd w:id="6"/>
    </w:p>
    <w:p>
      <w:pPr>
        <w:pStyle w:val="4"/>
      </w:pPr>
      <w:bookmarkStart w:id="9" w:name="_Toc266115738"/>
      <w:r>
        <w:rPr>
          <w:rFonts w:hint="eastAsia"/>
        </w:rPr>
        <w:t>编写目的和范围</w:t>
      </w:r>
      <w:bookmarkEnd w:id="9"/>
      <w:bookmarkStart w:id="10" w:name="_Toc147137130"/>
      <w:bookmarkStart w:id="11" w:name="_Toc213555688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本详细设计说明书编写的目的是说明程序模块的设计考虑，包括程序描述、输入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输出、算法和流程逻辑等，为软件编程和系统维护提供基础。本说明书的预期读者为系统设计人员、软件开发人员、软件测试人员和项目评审人员。</w:t>
      </w:r>
    </w:p>
    <w:bookmarkEnd w:id="10"/>
    <w:bookmarkEnd w:id="11"/>
    <w:p>
      <w:pPr>
        <w:pStyle w:val="4"/>
      </w:pPr>
      <w:bookmarkStart w:id="12" w:name="_Toc147137132"/>
      <w:bookmarkStart w:id="13" w:name="_Toc266115739"/>
      <w:bookmarkStart w:id="14" w:name="_Toc213555689"/>
      <w:r>
        <w:rPr>
          <w:rFonts w:hint="eastAsia"/>
        </w:rPr>
        <w:t>术语表</w:t>
      </w:r>
      <w:bookmarkEnd w:id="12"/>
      <w:bookmarkEnd w:id="13"/>
      <w:bookmarkEnd w:id="14"/>
    </w:p>
    <w:tbl>
      <w:tblPr>
        <w:tblStyle w:val="16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rPr>
          <w:trHeight w:val="626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Nagios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Ansi="宋体"/>
                <w:sz w:val="24"/>
              </w:rPr>
              <w:t>一个开源的监控框架，简单易扩展。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default"/>
                <w:sz w:val="24"/>
              </w:rPr>
              <w:t>Ganglia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Ansi="宋体"/>
                <w:sz w:val="24"/>
              </w:rPr>
              <w:t>一个开源的监控工具，能够获取大量节点的性能信息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Graphite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一个开源的性能数据存储软件</w:t>
            </w:r>
            <w:r>
              <w:rPr>
                <w:rFonts w:hAnsi="Arial"/>
                <w:color w:val="000000"/>
                <w:sz w:val="24"/>
              </w:rPr>
              <w:t>。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default"/>
                <w:color w:val="000000"/>
                <w:sz w:val="24"/>
              </w:rPr>
              <w:t>Grafana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一个开源的展示时序图表的仪表盘。</w:t>
            </w:r>
          </w:p>
        </w:tc>
      </w:tr>
    </w:tbl>
    <w:p>
      <w:pPr/>
    </w:p>
    <w:p>
      <w:pPr>
        <w:pStyle w:val="4"/>
      </w:pPr>
      <w:bookmarkStart w:id="15" w:name="_Toc266115740"/>
      <w:bookmarkStart w:id="16" w:name="_Toc213555690"/>
      <w:bookmarkStart w:id="17" w:name="_Toc147137134"/>
      <w:r>
        <w:rPr>
          <w:rFonts w:hint="eastAsia"/>
        </w:rPr>
        <w:t>参考资料</w:t>
      </w:r>
      <w:bookmarkEnd w:id="15"/>
      <w:bookmarkEnd w:id="16"/>
      <w:bookmarkEnd w:id="17"/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Kevin Jackson, Openstack Cloud Computing Cookbook Third Edition, Packt Publishing Ltd., 2015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>V. K. Cody Bumgardner, Openstack In Action, Manning Publications Co., 2016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David Josephsen，Nagios系统监控实践，机械工业出版社，2014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Massie，Ganglia系统监控，机械工业出版社，2013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詹姆斯 特恩布尔,第一本docker书，人民邮电出版社，2014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格林布尔，Flask Web开发：基于Python的Web应用开发实战，人民邮电出版社，2015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 xml:space="preserve">Lorin Hochstein, Ansible: Up and runing, </w:t>
      </w:r>
      <w:r>
        <w:rPr>
          <w:rFonts w:ascii="Times New Roman"/>
        </w:rPr>
        <w:t>O</w:t>
      </w:r>
      <w:r>
        <w:rPr>
          <w:rFonts w:hint="default" w:ascii="Times New Roman"/>
        </w:rPr>
        <w:t>’Reilly Media Inc., 2015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Times New Roman"/>
        </w:rPr>
        <w:t>Jason Myers&amp;Rick Copeland, Essential SQLAlchemy, O</w:t>
      </w:r>
      <w:r>
        <w:rPr>
          <w:rFonts w:hint="default" w:ascii="Times New Roman"/>
        </w:rPr>
        <w:t>’Reilly Media Inc., 2016</w:t>
      </w:r>
    </w:p>
    <w:p>
      <w:pPr>
        <w:pStyle w:val="3"/>
      </w:pPr>
    </w:p>
    <w:bookmarkEnd w:id="7"/>
    <w:bookmarkEnd w:id="8"/>
    <w:p>
      <w:pPr>
        <w:pStyle w:val="2"/>
      </w:pPr>
      <w:bookmarkStart w:id="18" w:name="_Toc266115746"/>
      <w:r>
        <w:rPr>
          <w:rFonts w:hint="eastAsia"/>
        </w:rPr>
        <w:t>模块设计</w:t>
      </w:r>
      <w:bookmarkEnd w:id="18"/>
    </w:p>
    <w:p>
      <w:pPr>
        <w:pStyle w:val="4"/>
      </w:pPr>
      <w:bookmarkStart w:id="19" w:name="_Toc266115747"/>
      <w:r>
        <w:rPr>
          <w:rFonts w:hint="eastAsia"/>
        </w:rPr>
        <w:t>用例图</w:t>
      </w:r>
      <w:bookmarkEnd w:id="19"/>
    </w:p>
    <w:p>
      <w:pPr>
        <w:pStyle w:val="3"/>
        <w:spacing w:before="93" w:after="93"/>
        <w:ind w:firstLine="420"/>
      </w:pPr>
      <w:bookmarkStart w:id="20" w:name="_Toc450098947"/>
      <w:bookmarkStart w:id="21" w:name="_Toc448738439"/>
      <w:r>
        <w:drawing>
          <wp:inline distT="0" distB="0" distL="114300" distR="114300">
            <wp:extent cx="5573395" cy="4697730"/>
            <wp:effectExtent l="0" t="0" r="8255" b="7620"/>
            <wp:docPr id="1" name="Picture 1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_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20"/>
    <w:p>
      <w:pPr>
        <w:pStyle w:val="4"/>
      </w:pPr>
      <w:bookmarkStart w:id="22" w:name="_Toc266115748"/>
      <w:bookmarkStart w:id="23" w:name="_Toc147137140"/>
      <w:r>
        <w:rPr>
          <w:rFonts w:hint="eastAsia"/>
        </w:rPr>
        <w:t>功能设计说明</w:t>
      </w:r>
    </w:p>
    <w:bookmarkEnd w:id="22"/>
    <w:bookmarkEnd w:id="23"/>
    <w:p>
      <w:pPr>
        <w:pStyle w:val="5"/>
        <w:rPr>
          <w:rFonts w:hint="eastAsia"/>
        </w:rPr>
      </w:pPr>
      <w:bookmarkStart w:id="24" w:name="_Toc383492428"/>
      <w:r>
        <w:rPr>
          <w:rFonts w:hint="eastAsia"/>
        </w:rPr>
        <w:t>数据库模型</w:t>
      </w:r>
      <w:bookmarkEnd w:id="24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管理系统是一个基于flask框架的web应用，内部使用了sqlalchemy的ORM（对象关系映射）对数据库进行操作。对象关系映射把编程语言的对象映射到关系型数据库的表，对对象的操作会被转化为对数据库表的操作，从而避免了直接写SQL语句。使用对象关系映射提高了开发效率，也避免了直接写SQL语句可能造成的粗心的错误。</w:t>
      </w:r>
      <w:r>
        <w:rPr>
          <w:rFonts w:ascii="Times New Roman"/>
          <w:b/>
          <w:color w:val="auto"/>
          <w:vertAlign w:val="superscript"/>
        </w:rPr>
        <w:t>[</w:t>
      </w:r>
      <w:r>
        <w:rPr>
          <w:rFonts w:hint="eastAsia" w:ascii="Times New Roman"/>
          <w:b/>
          <w:color w:val="auto"/>
          <w:vertAlign w:val="superscript"/>
          <w:lang w:val="en-US" w:eastAsia="zh-CN"/>
        </w:rPr>
        <w:t>10</w:t>
      </w:r>
      <w:r>
        <w:rPr>
          <w:rFonts w:ascii="Times New Roman"/>
          <w:b/>
          <w:color w:val="auto"/>
          <w:vertAlign w:val="superscript"/>
        </w:rPr>
        <w:t>]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管理系统没有直接使用sqlalchemy，而是使用flask-sqlalchemy。Flask-sqlalchemy是flask的扩展，它简化了flask应用程序对sqlalchemy的使用，并提供了有用的默认值和辅助函数使得常用的功能用起来更加方便。数据库模型模块内定义了Model类，Model类继承了sqlalchemy的模型类，从而获得映射到关系型数据库的能力。模块还定义了IdMixin和CreateAtMixin用于多重继承。继承IdMixin的模型会拥有id的列作为模型的主键，继承CreateAtMixin的模型会拥有create_at的列，当插入新的记录时该列会自动被设置为当前时间。模块内的所有其他类都继承了Model类，并成为数据库模型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类Group是主机组的模型，有以下的方法：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create_host_group(name)，用于创建物理机的组，参数name为主机组的名字。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create_vm_group(name)，用于创建虚拟机的组。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add_machine(machine), remove_machine(machine)，在主机组内添加、移除物理机或虚拟机。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add_service, remove_service，为主机组添加、移除服务。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update_service（services），将主机的服务替换为参数指定的服务。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delete，删除主机组以及主机组相关的服务，并把所有包含的主机移除主机组，如果主机只被当前的主机组包含，则删除掉主机。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类Host是物理机的模型，有以下的方法：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create(ip, hostname, ssh_user, ssh_pass），创建一个物理机实例并加入数据库。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get_all_standalone_host，获取所有没有被加入物理机组的物理机。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add_service, remove_service，添加、移除物理机的服务。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update_service(services)，把物理机的服务替换为参数指定的服务。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get_services，获取物理机关联的所有服务，如果物理机在组中，则返回所有组定义的服务的并集，否则返回物理机定义的服务。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delete，删除物理机，移除所有关联的服务，并从组中删除。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类Vm是虚拟机的模型，有如下方法：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create，创建一个虚拟机实例并加入数据库。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add_service, remove_service，update_service(services)，get_services，delete的功能类似Host。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hint="eastAsia" w:ascii="Times New Roman"/>
        </w:rPr>
      </w:pPr>
    </w:p>
    <w:p>
      <w:pPr>
        <w:pStyle w:val="5"/>
        <w:rPr>
          <w:rFonts w:hint="eastAsia" w:ascii="Times New Roman"/>
          <w:sz w:val="28"/>
          <w:szCs w:val="28"/>
        </w:rPr>
      </w:pPr>
      <w:bookmarkStart w:id="25" w:name="_Toc1123380895"/>
      <w:r>
        <w:rPr>
          <w:rFonts w:hint="default" w:ascii="Times New Roman"/>
          <w:sz w:val="28"/>
          <w:szCs w:val="28"/>
        </w:rPr>
        <w:t>调用外部系统的模块</w:t>
      </w:r>
      <w:bookmarkEnd w:id="25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要使得用户在管理系统定义的配置真正生效，需要把配置同步到外部系统中。管理系统涉及的外部系统有Ansible、Openstack、Nagios、Grafana，与这些外部系统交互的代码都放在utils文件夹。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Ansible用于在被监控的物理机上部署监控代理，这是个相当消耗时间的操作，所以部署的任务被放到一个单独的线程中执行。模块提供deploy(hosts)的方法供外部调用。调用deploy方法，则Ansible会在hosts定义的所有主机上同时安装和配置gmond守护进程。首先模块会根据hosts参数生成inventory文件，该文件记录了所有要部署的主机的IP地址和SSH账号密码，有了这些信息Ansible才能连接到主机上并拥有操作权限。接着模块会创建一个新的线程，在线程中通过shell命令来启动Ansible任务，并为任务创建一个随机的名字，该名字将被用于保存任务输出的文件的名字。在Ansible任务执行完后，线程获取任务的返回码以判断任务是否成功，并修改数据库中主机的状态。线程还把任务的标准输出保存到以任务名命名的文件中，之后管理系统要查看任务的详细状态时，将读取这个文件，并把输出显示到web页面中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管理系统会使用Openstack的API获取Openstack创建的所有虚拟机。模块提供了sync的方法供外部使用。调用sync时，模块会从Openstack中获取所有虚拟机的信息，并把虚拟机按照宿主主机分组。模块删除掉数据库中所有虚拟机和虚拟机组的相关定义，并加入新获取的内容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Nagios模块提供sync()方法把用户的定义同步到Nagios。Nagios的定义包括服务、主机、主机组三个部分，由于定义的格式一致，模块使用了add_config的方法实现了同步定义的底层实现。add_config从参数获取定义的类型、键值对和定义要保存的文件，之后根据这些参数生成Nagios的定义并追加写到了文件的末尾。模块内的add_service, add_host，add_group都调用了add_config方法，并对接口进行了简化。Sync方法做了两件事情，覆盖Nagios定义，重启Nagios服务。有无重启Nagios服务较为消耗时间，为了不影响web应用的性能，将sync方法的主要功能到放入线程中运行。但sync被调用时，就会启动一个线程。在线程中模块清空了Nagios的配置文件，并从数据库中读取用户的定义，分别调用add_service, add_host，add_group方法，把新的定义写入文件中，之后通过shell重启Nagios。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Grafana模块使用sync方法把主机和组同步到仪表盘。模块内仿照Grafana定义了Dashboard、Row、Panel、SingleStat、Graph的类，其中SingleStat和Graph继承了Panel类。一个Dashboard可以包含多个Row，一个Row可以包含多个Panel。SingleStat是简单的面板类型，只显示标题和数值，优点在于可以在有限空间内显示更多的监控项目。Graph则更为常用，可以显示复杂的图表。每个类都提供了add_children方法用于添加下一级的元素。Sync方法会从数据库读取所有用户定义的主机和组，并为每个主机生成一个详细仪表盘，为每个组生成一个总览仪表盘。</w:t>
      </w:r>
    </w:p>
    <w:p>
      <w:pPr>
        <w:pStyle w:val="5"/>
        <w:rPr>
          <w:rFonts w:hint="eastAsia" w:ascii="黑体" w:hAnsi="黑体" w:eastAsia="黑体" w:cs="黑体"/>
          <w:sz w:val="28"/>
          <w:szCs w:val="28"/>
        </w:rPr>
      </w:pPr>
      <w:bookmarkStart w:id="26" w:name="_Toc140421102"/>
      <w:r>
        <w:rPr>
          <w:rFonts w:hint="eastAsia" w:ascii="黑体" w:hAnsi="黑体" w:eastAsia="黑体" w:cs="黑体"/>
          <w:sz w:val="28"/>
          <w:szCs w:val="28"/>
        </w:rPr>
        <w:t>提供web服务的模块</w:t>
      </w:r>
      <w:bookmarkEnd w:id="26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/>
        </w:rPr>
      </w:pPr>
      <w:r>
        <w:rPr>
          <w:rFonts w:hint="default" w:ascii="Times New Roman"/>
        </w:rPr>
        <w:t>该模块属于MVC中的控制层，负责渲染页面和处理用户的请求。用户从浏览器发来的请求被路由到请求的路径对应的函数上，该函数会从请求中解析参数，对参数进行检查，检查成功后执行相应的操作，并返回结果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rPr>
          <w:rFonts w:hint="default" w:ascii="Times New Roman"/>
        </w:rPr>
        <w:t>该模块内有多个文件。forms.py包含了web应用用到了所有表单。该模块使用了flask-wtf和wtform，简化了web应用对表单的使用。通过这些扩展，web应用可以直接在python代码定义表单的类，利用其解析HTTP请求中的表单并进行验证。此外，还能把表单渲染到前段页面的模板中，减少重复代码。views.py文件包含了与请求路径相互绑定的处理函数，这些函数负责检查和处理用户的请求。</w:t>
      </w:r>
    </w:p>
    <w:bookmarkEnd w:id="21"/>
    <w:p>
      <w:pPr>
        <w:pStyle w:val="2"/>
      </w:pPr>
      <w:bookmarkStart w:id="27" w:name="_Toc266115756"/>
      <w:r>
        <w:rPr>
          <w:rFonts w:hint="eastAsia"/>
        </w:rPr>
        <w:t>数据库设计</w:t>
      </w:r>
      <w:bookmarkEnd w:id="27"/>
    </w:p>
    <w:p>
      <w:pPr>
        <w:pStyle w:val="10"/>
        <w:spacing w:line="360" w:lineRule="auto"/>
        <w:ind w:left="0" w:leftChars="0" w:firstLine="0" w:firstLineChars="0"/>
        <w:jc w:val="center"/>
        <w:rPr>
          <w:rFonts w:ascii="Times New Roman"/>
          <w:szCs w:val="24"/>
        </w:rPr>
      </w:pPr>
      <w:bookmarkStart w:id="28" w:name="_Toc266115757"/>
      <w:r>
        <w:rPr>
          <w:rFonts w:ascii="Times New Roman"/>
          <w:szCs w:val="24"/>
        </w:rPr>
        <w:drawing>
          <wp:inline distT="0" distB="0" distL="114300" distR="114300">
            <wp:extent cx="4571365" cy="4761865"/>
            <wp:effectExtent l="0" t="0" r="635" b="635"/>
            <wp:docPr id="2" name="Picture 2" descr="domain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main_mod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0" w:leftChars="0" w:firstLine="0" w:firstLineChars="0"/>
        <w:jc w:val="center"/>
        <w:rPr>
          <w:rFonts w:ascii="Times New Roman"/>
          <w:szCs w:val="24"/>
        </w:rPr>
      </w:pPr>
      <w:r>
        <w:rPr>
          <w:rFonts w:ascii="Times New Roman"/>
          <w:szCs w:val="24"/>
        </w:rPr>
        <w:t>图3-2：领域模型</w:t>
      </w:r>
    </w:p>
    <w:p>
      <w:pPr>
        <w:pStyle w:val="10"/>
        <w:spacing w:line="360" w:lineRule="auto"/>
        <w:rPr>
          <w:rFonts w:ascii="Times New Roman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Times New Roman"/>
        </w:rPr>
      </w:pPr>
      <w:r>
        <w:rPr>
          <w:rFonts w:ascii="Times New Roman"/>
        </w:rPr>
        <w:t>在监控系统中有两种主机，一种是物理机，其模型为Host，一种是虚拟机，对应模型为VirtualMachine。物理机包含IP、主机名、SSH账号密码的属性。Nagios定义主机对象时，使用了IP、主机名来区分主机，因此两者都必须保持唯一性。SSH账号密码被Ansible自动部署工具用于连接到主机部署监控的代理端。虚拟机包含vm id的属性，该属性是Openstack虚拟机的唯一标识符。主机组的模型为Group，包含类型的属性，用于说明该主机组包含的是物理机还是虚拟机。一个主机组只能包含同一个类型的主机。物理机、虚拟机都可以属于多个组。每个主机、主机组都可以对应多个服务。服务有类型的属性，用于表明该服务属于物理机还是虚拟机。服务的名字是其唯一标识符，不可以重复。服务的命令属性为该服务对应的Nagios命令。服务的警告和严重属性则定义了警告和严重的阀值。</w:t>
      </w:r>
    </w:p>
    <w:bookmarkEnd w:id="28"/>
    <w:p>
      <w:pPr>
        <w:pStyle w:val="3"/>
        <w:spacing w:before="93" w:after="93"/>
        <w:ind w:firstLine="420"/>
      </w:pPr>
    </w:p>
    <w:p>
      <w:pPr>
        <w:pStyle w:val="3"/>
        <w:spacing w:before="93" w:after="93"/>
        <w:ind w:firstLine="420"/>
      </w:pPr>
    </w:p>
    <w:p>
      <w:pPr>
        <w:pStyle w:val="2"/>
      </w:pPr>
      <w:bookmarkStart w:id="29" w:name="_Toc266115764"/>
      <w:r>
        <w:rPr>
          <w:rFonts w:hint="eastAsia"/>
        </w:rPr>
        <w:t>系统出错处理</w:t>
      </w:r>
      <w:bookmarkEnd w:id="29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系统中的各种提示如表</w:t>
      </w:r>
      <w:r>
        <w:rPr>
          <w:rFonts w:hint="default"/>
          <w:sz w:val="24"/>
        </w:rPr>
        <w:t>4</w:t>
      </w:r>
      <w:bookmarkStart w:id="30" w:name="_GoBack"/>
      <w:bookmarkEnd w:id="30"/>
      <w:r>
        <w:rPr>
          <w:rFonts w:hint="eastAsia"/>
          <w:sz w:val="24"/>
        </w:rPr>
        <w:t>-1所示：</w: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default"/>
          <w:szCs w:val="21"/>
        </w:rPr>
        <w:t>4</w:t>
      </w:r>
      <w:r>
        <w:rPr>
          <w:rFonts w:hint="eastAsia"/>
          <w:szCs w:val="21"/>
        </w:rPr>
        <w:t>-1 系统出错提示</w:t>
      </w:r>
    </w:p>
    <w:tbl>
      <w:tblPr>
        <w:tblStyle w:val="16"/>
        <w:tblW w:w="87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6213"/>
      </w:tblGrid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错误类别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错误处理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输入有误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提示错误的类型，要求用户</w:t>
            </w: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同步到其他软件失败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提示同步出错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未知的错误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返回500 server error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华文楷体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3128942">
    <w:nsid w:val="46851D6E"/>
    <w:multiLevelType w:val="singleLevel"/>
    <w:tmpl w:val="46851D6E"/>
    <w:lvl w:ilvl="0" w:tentative="1">
      <w:start w:val="1"/>
      <w:numFmt w:val="decimal"/>
      <w:lvlText w:val="[%1]"/>
      <w:lvlJc w:val="left"/>
      <w:pPr>
        <w:tabs>
          <w:tab w:val="left" w:pos="680"/>
        </w:tabs>
        <w:ind w:left="680" w:hanging="680"/>
      </w:pPr>
      <w:rPr>
        <w:rFonts w:hint="eastAsia"/>
      </w:rPr>
    </w:lvl>
  </w:abstractNum>
  <w:abstractNum w:abstractNumId="2034646304">
    <w:nsid w:val="79463D20"/>
    <w:multiLevelType w:val="multilevel"/>
    <w:tmpl w:val="79463D20"/>
    <w:lvl w:ilvl="0" w:tentative="1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1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1">
      <w:start w:val="1"/>
      <w:numFmt w:val="decimal"/>
      <w:pStyle w:val="5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1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1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034646304"/>
  </w:num>
  <w:num w:numId="2">
    <w:abstractNumId w:val="1183128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9675"/>
    <w:rsid w:val="07EF8C31"/>
    <w:rsid w:val="375FCA61"/>
    <w:rsid w:val="5A5FC082"/>
    <w:rsid w:val="5A8E2E60"/>
    <w:rsid w:val="5FDB9675"/>
    <w:rsid w:val="672F512A"/>
    <w:rsid w:val="7FCEC50E"/>
    <w:rsid w:val="92A778BD"/>
    <w:rsid w:val="AA779ED1"/>
    <w:rsid w:val="DDABC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hAnsi="Arial" w:eastAsia="黑体"/>
      <w:kern w:val="0"/>
      <w:sz w:val="32"/>
      <w:szCs w:val="32"/>
      <w:lang w:bidi="he-IL"/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hAnsi="Arial" w:eastAsia="黑体"/>
      <w:kern w:val="0"/>
      <w:sz w:val="28"/>
      <w:szCs w:val="32"/>
      <w:lang w:val="zh-CN" w:eastAsia="zh-CN" w:bidi="he-IL"/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hAnsi="Arial" w:eastAsia="黑体"/>
      <w:kern w:val="0"/>
      <w:sz w:val="24"/>
      <w:szCs w:val="28"/>
      <w:lang w:val="zh-CN" w:eastAsia="zh-CN" w:bidi="he-IL"/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hAnsi="Arial" w:eastAsia="黑体"/>
      <w:kern w:val="0"/>
      <w:sz w:val="24"/>
      <w:szCs w:val="28"/>
      <w:lang w:val="zh-CN" w:eastAsia="zh-CN" w:bidi="he-IL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  <w:lang w:val="zh-CN" w:eastAsia="zh-CN" w:bidi="he-IL"/>
    </w:rPr>
  </w:style>
  <w:style w:type="paragraph" w:styleId="8">
    <w:name w:val="Body Text"/>
    <w:basedOn w:val="1"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9">
    <w:name w:val="Body Text First Indent"/>
    <w:basedOn w:val="8"/>
    <w:uiPriority w:val="0"/>
    <w:pPr>
      <w:widowControl w:val="0"/>
      <w:spacing w:beforeLines="0" w:after="120"/>
      <w:ind w:firstLine="420" w:firstLineChars="100"/>
    </w:pPr>
    <w:rPr>
      <w:bCs w:val="0"/>
      <w:kern w:val="2"/>
      <w:lang w:eastAsia="zh-CN" w:bidi="ar-SA"/>
    </w:rPr>
  </w:style>
  <w:style w:type="paragraph" w:styleId="10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11">
    <w:name w:val="toc 1"/>
    <w:basedOn w:val="1"/>
    <w:next w:val="1"/>
    <w:uiPriority w:val="0"/>
    <w:pPr>
      <w:widowControl/>
    </w:pPr>
    <w:rPr>
      <w:bCs/>
      <w:kern w:val="0"/>
      <w:lang w:eastAsia="en-US" w:bidi="he-IL"/>
    </w:rPr>
  </w:style>
  <w:style w:type="paragraph" w:styleId="12">
    <w:name w:val="toc 2"/>
    <w:basedOn w:val="1"/>
    <w:next w:val="1"/>
    <w:uiPriority w:val="0"/>
    <w:pPr>
      <w:widowControl/>
      <w:ind w:leftChars="200"/>
    </w:pPr>
    <w:rPr>
      <w:bCs/>
      <w:kern w:val="0"/>
      <w:lang w:eastAsia="en-US" w:bidi="he-IL"/>
    </w:rPr>
  </w:style>
  <w:style w:type="paragraph" w:styleId="13">
    <w:name w:val="toc 3"/>
    <w:basedOn w:val="1"/>
    <w:next w:val="1"/>
    <w:uiPriority w:val="0"/>
    <w:pPr>
      <w:widowControl/>
      <w:ind w:leftChars="400"/>
    </w:pPr>
    <w:rPr>
      <w:bCs/>
      <w:kern w:val="0"/>
      <w:lang w:eastAsia="en-US" w:bidi="he-IL"/>
    </w:rPr>
  </w:style>
  <w:style w:type="character" w:styleId="15">
    <w:name w:val="Hyperlink"/>
    <w:basedOn w:val="14"/>
    <w:uiPriority w:val="0"/>
    <w:rPr>
      <w:color w:val="0000FF"/>
      <w:sz w:val="21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文档编号"/>
    <w:basedOn w:val="1"/>
    <w:uiPriority w:val="0"/>
    <w:pPr>
      <w:widowControl/>
      <w:jc w:val="center"/>
    </w:pPr>
    <w:rPr>
      <w:bCs/>
      <w:kern w:val="0"/>
      <w:lang w:val="zh-CN" w:eastAsia="zh-CN" w:bidi="he-IL"/>
    </w:rPr>
  </w:style>
  <w:style w:type="paragraph" w:customStyle="1" w:styleId="19">
    <w:name w:val="标准"/>
    <w:basedOn w:val="1"/>
    <w:uiPriority w:val="0"/>
    <w:pPr>
      <w:pBdr>
        <w:bottom w:val="single" w:color="auto" w:sz="6" w:space="1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20">
    <w:name w:val="样式 倾斜 蓝色 首行缩进:  0.74 厘米1"/>
    <w:basedOn w:val="1"/>
    <w:next w:val="1"/>
    <w:uiPriority w:val="0"/>
    <w:pPr>
      <w:ind w:firstLine="420"/>
    </w:pPr>
    <w:rPr>
      <w:rFonts w:ascii="宋体" w:hAnsi="宋体" w:cs="宋体"/>
      <w:i/>
      <w:iCs/>
      <w:color w:val="0000FF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2016-12-26T03:56:00Z</dcterms:created>
  <dc:creator>roger</dc:creator>
  <cp:lastModifiedBy>roger</cp:lastModifiedBy>
  <dcterms:modified xsi:type="dcterms:W3CDTF">2017-04-26T23:33:09Z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