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CF78" w14:textId="77777777" w:rsidR="00271A1B" w:rsidRDefault="00000000" w:rsidP="00FE3442">
      <w:pPr>
        <w:pStyle w:val="Heading1"/>
        <w:jc w:val="both"/>
      </w:pPr>
      <w:bookmarkStart w:id="0" w:name="header"/>
      <w:bookmarkStart w:id="1" w:name="X1c50111a84fe04761223f23c2a4d9498e3e02e8"/>
      <w:bookmarkStart w:id="2" w:name="content"/>
      <w:bookmarkEnd w:id="0"/>
      <w:r>
        <w:t>Riset Literatur untuk Carbon Flux, CCI, dan CSI pada Proyek Sekuestrasi Karbon</w:t>
      </w:r>
    </w:p>
    <w:p w14:paraId="1DF51865" w14:textId="77777777" w:rsidR="00271A1B" w:rsidRDefault="00000000" w:rsidP="00FE3442">
      <w:pPr>
        <w:pStyle w:val="Heading2"/>
        <w:jc w:val="both"/>
      </w:pPr>
      <w:bookmarkStart w:id="3" w:name="ringkasan-eksekutif"/>
      <w:r>
        <w:t>Ringkasan eksekutif</w:t>
      </w:r>
    </w:p>
    <w:p w14:paraId="5EB5A073" w14:textId="77777777" w:rsidR="00271A1B" w:rsidRDefault="00000000" w:rsidP="00FE3442">
      <w:pPr>
        <w:pStyle w:val="FirstParagraph"/>
        <w:jc w:val="both"/>
      </w:pPr>
      <w:r>
        <w:t xml:space="preserve">Literatur primer menunjukkan bahwa variabel </w:t>
      </w:r>
      <w:r>
        <w:rPr>
          <w:b/>
          <w:bCs/>
        </w:rPr>
        <w:t>NEE, GPP, dan RECO</w:t>
      </w:r>
      <w:r>
        <w:t xml:space="preserve"> dari jaringan </w:t>
      </w:r>
      <w:r>
        <w:rPr>
          <w:b/>
          <w:bCs/>
        </w:rPr>
        <w:t>eddy covariance</w:t>
      </w:r>
      <w:r>
        <w:t xml:space="preserve"> seperti </w:t>
      </w:r>
      <w:r>
        <w:rPr>
          <w:b/>
          <w:bCs/>
        </w:rPr>
        <w:t>FLUXNET</w:t>
      </w:r>
      <w:r>
        <w:t xml:space="preserve"> dan </w:t>
      </w:r>
      <w:r>
        <w:rPr>
          <w:b/>
          <w:bCs/>
        </w:rPr>
        <w:t>AmeriFlux</w:t>
      </w:r>
      <w:r>
        <w:t xml:space="preserve"> adalah fondasi paling kuat untuk menilai pertukaran karbon ekosistem–atmosfer pada skala tapak. Dalam produk FLUXNET2015/ONEFlux, alur standarnya mencakup perhitungan NEE dari fluks turbulen dan storage, penyaringan berbasis </w:t>
      </w:r>
      <w:r>
        <w:rPr>
          <w:b/>
          <w:bCs/>
        </w:rPr>
        <w:t>USTAR</w:t>
      </w:r>
      <w:r>
        <w:t xml:space="preserve">, </w:t>
      </w:r>
      <w:r>
        <w:rPr>
          <w:b/>
          <w:bCs/>
        </w:rPr>
        <w:t>gap-filling</w:t>
      </w:r>
      <w:r>
        <w:t xml:space="preserve">, estimasi ketidakpastian acak, lalu </w:t>
      </w:r>
      <w:r>
        <w:rPr>
          <w:b/>
          <w:bCs/>
        </w:rPr>
        <w:t>partitioning</w:t>
      </w:r>
      <w:r>
        <w:t xml:space="preserve"> NEE menjadi </w:t>
      </w:r>
      <w:r>
        <w:rPr>
          <w:b/>
          <w:bCs/>
        </w:rPr>
        <w:t>GPP</w:t>
      </w:r>
      <w:r>
        <w:t xml:space="preserve"> dan </w:t>
      </w:r>
      <w:r>
        <w:rPr>
          <w:b/>
          <w:bCs/>
        </w:rPr>
        <w:t>RECO</w:t>
      </w:r>
      <w:r>
        <w:t xml:space="preserve">. Itu berarti, untuk proyek Anda, </w:t>
      </w:r>
      <w:r>
        <w:rPr>
          <w:rStyle w:val="VerbatimChar"/>
        </w:rPr>
        <w:t>carbon_flux</w:t>
      </w:r>
      <w:r>
        <w:t xml:space="preserve"> yang paling defensible secara ilmiah adalah variabel bertipe </w:t>
      </w:r>
      <w:r>
        <w:rPr>
          <w:b/>
          <w:bCs/>
        </w:rPr>
        <w:t>flux</w:t>
      </w:r>
      <w:r>
        <w:t xml:space="preserve"> seperti </w:t>
      </w:r>
      <w:r>
        <w:rPr>
          <w:rStyle w:val="VerbatimChar"/>
        </w:rPr>
        <w:t>FC</w:t>
      </w:r>
      <w:r>
        <w:t xml:space="preserve"> atau </w:t>
      </w:r>
      <w:r>
        <w:rPr>
          <w:rStyle w:val="VerbatimChar"/>
        </w:rPr>
        <w:t>NEE</w:t>
      </w:r>
      <w:r>
        <w:t xml:space="preserve">, bukan sekadar konsentrasi </w:t>
      </w:r>
      <w:r>
        <w:rPr>
          <w:rStyle w:val="VerbatimChar"/>
        </w:rPr>
        <w:t>CO2</w:t>
      </w:r>
      <w:r>
        <w:t xml:space="preserve"> dalam ppm atau µmol mol⁻¹. </w:t>
      </w:r>
      <w:hyperlink r:id="rId5">
        <w:r>
          <w:rPr>
            <w:rStyle w:val="Hyperlink"/>
          </w:rPr>
          <w:t>[1]</w:t>
        </w:r>
      </w:hyperlink>
    </w:p>
    <w:p w14:paraId="78D939BC" w14:textId="77777777" w:rsidR="00271A1B" w:rsidRDefault="00000000" w:rsidP="00FE3442">
      <w:pPr>
        <w:pStyle w:val="BodyText"/>
        <w:jc w:val="both"/>
      </w:pPr>
      <w:r>
        <w:t xml:space="preserve">Temuan penting kedua adalah bahwa </w:t>
      </w:r>
      <w:r>
        <w:rPr>
          <w:b/>
          <w:bCs/>
        </w:rPr>
        <w:t>CCI/CSI tidak memiliki satu definisi universal yang baku</w:t>
      </w:r>
      <w:r>
        <w:t xml:space="preserve"> dalam literatur. Di studi urban canyon, </w:t>
      </w:r>
      <w:r>
        <w:rPr>
          <w:b/>
          <w:bCs/>
        </w:rPr>
        <w:t>CCI</w:t>
      </w:r>
      <w:r>
        <w:t xml:space="preserve"> dipakai sebagai ukuran relatif kemampuan tangkap karbon antar-zona vegetasi dalam kondisi radiasi yang berbeda; di studi greenbelt dan studi Indonesia/Baghdad, </w:t>
      </w:r>
      <w:r>
        <w:rPr>
          <w:b/>
          <w:bCs/>
        </w:rPr>
        <w:t>CSI</w:t>
      </w:r>
      <w:r>
        <w:t xml:space="preserve"> dipakai sebagai rasio atau skor yang membandingkan kemampuan sequestration terhadap beban emisi; di kehutanan, indeks yang mirip seperti </w:t>
      </w:r>
      <w:r>
        <w:rPr>
          <w:b/>
          <w:bCs/>
        </w:rPr>
        <w:t>CSPI</w:t>
      </w:r>
      <w:r>
        <w:t xml:space="preserve"> dan </w:t>
      </w:r>
      <w:r>
        <w:rPr>
          <w:b/>
          <w:bCs/>
        </w:rPr>
        <w:t>FCSPI</w:t>
      </w:r>
      <w:r>
        <w:t xml:space="preserve"> dipakai untuk mengukur </w:t>
      </w:r>
      <w:r>
        <w:rPr>
          <w:b/>
          <w:bCs/>
        </w:rPr>
        <w:t>potensi</w:t>
      </w:r>
      <w:r>
        <w:t xml:space="preserve"> atau </w:t>
      </w:r>
      <w:r>
        <w:rPr>
          <w:b/>
          <w:bCs/>
        </w:rPr>
        <w:t>headroom</w:t>
      </w:r>
      <w:r>
        <w:t xml:space="preserve"> sequestration berdasarkan GPP, carbon stock, forest cover, iklim, dan data tanah. Artinya, </w:t>
      </w:r>
      <w:r>
        <w:rPr>
          <w:b/>
          <w:bCs/>
        </w:rPr>
        <w:t>carbon flux bisa dipakai untuk “mencari CCI”</w:t>
      </w:r>
      <w:r>
        <w:t xml:space="preserve">, tetapi hanya setelah flux itu diharmonisasi tandanya, diagregasi secara temporal, lalu dinormalisasi atau dikombinasikan dengan variabel pendukung seperti SOC, biomassa, dan kelembapan tanah. </w:t>
      </w:r>
      <w:hyperlink r:id="rId6">
        <w:r>
          <w:rPr>
            <w:rStyle w:val="Hyperlink"/>
          </w:rPr>
          <w:t>[2]</w:t>
        </w:r>
      </w:hyperlink>
    </w:p>
    <w:p w14:paraId="4088D8F5" w14:textId="77777777" w:rsidR="00271A1B" w:rsidRDefault="00000000" w:rsidP="00FE3442">
      <w:pPr>
        <w:pStyle w:val="BodyText"/>
        <w:jc w:val="both"/>
      </w:pPr>
      <w:r>
        <w:t xml:space="preserve">Untuk proyek Anda, jalur paling aman adalah: </w:t>
      </w:r>
      <w:r>
        <w:rPr>
          <w:b/>
          <w:bCs/>
        </w:rPr>
        <w:t>(1)</w:t>
      </w:r>
      <w:r>
        <w:t xml:space="preserve"> modelkan </w:t>
      </w:r>
      <w:r>
        <w:rPr>
          <w:rStyle w:val="VerbatimChar"/>
        </w:rPr>
        <w:t>carbon_flux</w:t>
      </w:r>
      <w:r>
        <w:t>/</w:t>
      </w:r>
      <w:r>
        <w:rPr>
          <w:rStyle w:val="VerbatimChar"/>
        </w:rPr>
        <w:t>NEE</w:t>
      </w:r>
      <w:r>
        <w:t xml:space="preserve"> terlebih dahulu, </w:t>
      </w:r>
      <w:r>
        <w:rPr>
          <w:b/>
          <w:bCs/>
        </w:rPr>
        <w:t>(2)</w:t>
      </w:r>
      <w:r>
        <w:t xml:space="preserve"> turunkan metrik tahunan atau musiman seperti </w:t>
      </w:r>
      <w:r>
        <w:rPr>
          <w:b/>
          <w:bCs/>
        </w:rPr>
        <w:t>annual uptake</w:t>
      </w:r>
      <w:r>
        <w:t xml:space="preserve">, </w:t>
      </w:r>
      <w:r>
        <w:rPr>
          <w:b/>
          <w:bCs/>
        </w:rPr>
        <w:t>CUP</w:t>
      </w:r>
      <w:r>
        <w:t xml:space="preserve"> dan </w:t>
      </w:r>
      <w:r>
        <w:rPr>
          <w:b/>
          <w:bCs/>
        </w:rPr>
        <w:t>MCU</w:t>
      </w:r>
      <w:r>
        <w:t xml:space="preserve">, lalu </w:t>
      </w:r>
      <w:r>
        <w:rPr>
          <w:b/>
          <w:bCs/>
        </w:rPr>
        <w:t>(3)</w:t>
      </w:r>
      <w:r>
        <w:t xml:space="preserve"> bangun </w:t>
      </w:r>
      <w:r>
        <w:rPr>
          <w:b/>
          <w:bCs/>
        </w:rPr>
        <w:t>CCI komposit</w:t>
      </w:r>
      <w:r>
        <w:t xml:space="preserve"> dengan menambahkan </w:t>
      </w:r>
      <w:r>
        <w:rPr>
          <w:b/>
          <w:bCs/>
        </w:rPr>
        <w:t>SOC</w:t>
      </w:r>
      <w:r>
        <w:t xml:space="preserve"> dan, bila tersedia, biomassa atau soil-moisture sebagai fitur statis per lokasi. Struktur folder lokal yang Anda unggah juga konsisten dengan pendekatan ini karena tampak sudah memisahkan data flux dan data tanah, sehingga flux bisa dijadikan tabel time-series utama dan data tanah diperlakukan sebagai atribut lokasi, bukan digabung sembarang per-baris lintas sumber. </w:t>
      </w:r>
      <w:hyperlink r:id="rId7">
        <w:r>
          <w:rPr>
            <w:rStyle w:val="Hyperlink"/>
          </w:rPr>
          <w:t>[3]</w:t>
        </w:r>
      </w:hyperlink>
      <w:r>
        <w:t xml:space="preserve"> fileciteturn0file0</w:t>
      </w:r>
    </w:p>
    <w:p w14:paraId="5CF80BFD" w14:textId="77777777" w:rsidR="00271A1B" w:rsidRDefault="00000000" w:rsidP="00FE3442">
      <w:pPr>
        <w:pStyle w:val="Heading2"/>
        <w:jc w:val="both"/>
      </w:pPr>
      <w:bookmarkStart w:id="4" w:name="referensi-inti-yang-direkomendasikan"/>
      <w:bookmarkEnd w:id="3"/>
      <w:r>
        <w:t>Referensi inti yang direkomendasikan</w:t>
      </w:r>
    </w:p>
    <w:tbl>
      <w:tblPr>
        <w:tblStyle w:val="Table"/>
        <w:tblW w:w="0" w:type="auto"/>
        <w:tblLook w:val="0020" w:firstRow="1" w:lastRow="0" w:firstColumn="0" w:lastColumn="0" w:noHBand="0" w:noVBand="0"/>
      </w:tblPr>
      <w:tblGrid>
        <w:gridCol w:w="400"/>
        <w:gridCol w:w="1118"/>
        <w:gridCol w:w="886"/>
        <w:gridCol w:w="608"/>
        <w:gridCol w:w="1218"/>
        <w:gridCol w:w="2505"/>
        <w:gridCol w:w="1305"/>
        <w:gridCol w:w="1536"/>
      </w:tblGrid>
      <w:tr w:rsidR="00271A1B" w14:paraId="55D2721C" w14:textId="77777777" w:rsidTr="00271A1B">
        <w:trPr>
          <w:cnfStyle w:val="100000000000" w:firstRow="1" w:lastRow="0" w:firstColumn="0" w:lastColumn="0" w:oddVBand="0" w:evenVBand="0" w:oddHBand="0" w:evenHBand="0" w:firstRowFirstColumn="0" w:firstRowLastColumn="0" w:lastRowFirstColumn="0" w:lastRowLastColumn="0"/>
          <w:tblHeader/>
        </w:trPr>
        <w:tc>
          <w:tcPr>
            <w:tcW w:w="0" w:type="auto"/>
          </w:tcPr>
          <w:p w14:paraId="32F0D2B6" w14:textId="77777777" w:rsidR="00271A1B" w:rsidRDefault="00000000" w:rsidP="00FE3442">
            <w:pPr>
              <w:pStyle w:val="Compact"/>
              <w:jc w:val="both"/>
            </w:pPr>
            <w:r>
              <w:t>No</w:t>
            </w:r>
          </w:p>
        </w:tc>
        <w:tc>
          <w:tcPr>
            <w:tcW w:w="0" w:type="auto"/>
          </w:tcPr>
          <w:p w14:paraId="5BD055E0" w14:textId="77777777" w:rsidR="00271A1B" w:rsidRDefault="00000000" w:rsidP="00FE3442">
            <w:pPr>
              <w:pStyle w:val="Compact"/>
              <w:jc w:val="both"/>
            </w:pPr>
            <w:r>
              <w:t>Judul</w:t>
            </w:r>
          </w:p>
        </w:tc>
        <w:tc>
          <w:tcPr>
            <w:tcW w:w="0" w:type="auto"/>
          </w:tcPr>
          <w:p w14:paraId="627B5055" w14:textId="77777777" w:rsidR="00271A1B" w:rsidRDefault="00000000" w:rsidP="00FE3442">
            <w:pPr>
              <w:pStyle w:val="Compact"/>
              <w:jc w:val="both"/>
            </w:pPr>
            <w:r>
              <w:t>Penulis</w:t>
            </w:r>
          </w:p>
        </w:tc>
        <w:tc>
          <w:tcPr>
            <w:tcW w:w="0" w:type="auto"/>
          </w:tcPr>
          <w:p w14:paraId="2FC5C48A" w14:textId="77777777" w:rsidR="00271A1B" w:rsidRDefault="00000000" w:rsidP="00FE3442">
            <w:pPr>
              <w:pStyle w:val="Compact"/>
              <w:jc w:val="both"/>
            </w:pPr>
            <w:r>
              <w:t>Tahun</w:t>
            </w:r>
          </w:p>
        </w:tc>
        <w:tc>
          <w:tcPr>
            <w:tcW w:w="0" w:type="auto"/>
          </w:tcPr>
          <w:p w14:paraId="5111BF0B" w14:textId="77777777" w:rsidR="00271A1B" w:rsidRDefault="00000000" w:rsidP="00FE3442">
            <w:pPr>
              <w:pStyle w:val="Compact"/>
              <w:jc w:val="both"/>
            </w:pPr>
            <w:r>
              <w:t>Jurnal</w:t>
            </w:r>
          </w:p>
        </w:tc>
        <w:tc>
          <w:tcPr>
            <w:tcW w:w="0" w:type="auto"/>
          </w:tcPr>
          <w:p w14:paraId="30DAEBD4" w14:textId="77777777" w:rsidR="00271A1B" w:rsidRDefault="00000000" w:rsidP="00FE3442">
            <w:pPr>
              <w:pStyle w:val="Compact"/>
              <w:jc w:val="both"/>
            </w:pPr>
            <w:r>
              <w:t>DOI / akses</w:t>
            </w:r>
          </w:p>
        </w:tc>
        <w:tc>
          <w:tcPr>
            <w:tcW w:w="0" w:type="auto"/>
          </w:tcPr>
          <w:p w14:paraId="5995EDE5" w14:textId="77777777" w:rsidR="00271A1B" w:rsidRDefault="00000000" w:rsidP="00FE3442">
            <w:pPr>
              <w:pStyle w:val="Compact"/>
              <w:jc w:val="both"/>
            </w:pPr>
            <w:r>
              <w:t>Relevansi singkat</w:t>
            </w:r>
          </w:p>
        </w:tc>
        <w:tc>
          <w:tcPr>
            <w:tcW w:w="0" w:type="auto"/>
          </w:tcPr>
          <w:p w14:paraId="67D447C6" w14:textId="77777777" w:rsidR="00271A1B" w:rsidRDefault="00000000" w:rsidP="00FE3442">
            <w:pPr>
              <w:pStyle w:val="Compact"/>
              <w:jc w:val="both"/>
            </w:pPr>
            <w:r>
              <w:t>Cocok untuk proyek Anda</w:t>
            </w:r>
          </w:p>
        </w:tc>
      </w:tr>
      <w:tr w:rsidR="00271A1B" w14:paraId="340E2C6D" w14:textId="77777777">
        <w:tc>
          <w:tcPr>
            <w:tcW w:w="0" w:type="auto"/>
          </w:tcPr>
          <w:p w14:paraId="05708DB1" w14:textId="77777777" w:rsidR="00271A1B" w:rsidRDefault="00000000" w:rsidP="00FE3442">
            <w:pPr>
              <w:pStyle w:val="Compact"/>
              <w:jc w:val="both"/>
            </w:pPr>
            <w:r>
              <w:t>1</w:t>
            </w:r>
          </w:p>
        </w:tc>
        <w:tc>
          <w:tcPr>
            <w:tcW w:w="0" w:type="auto"/>
          </w:tcPr>
          <w:p w14:paraId="49F879E5" w14:textId="77777777" w:rsidR="00271A1B" w:rsidRDefault="00000000" w:rsidP="00FE3442">
            <w:pPr>
              <w:pStyle w:val="Compact"/>
              <w:jc w:val="both"/>
            </w:pPr>
            <w:r>
              <w:rPr>
                <w:i/>
                <w:iCs/>
              </w:rPr>
              <w:t xml:space="preserve">The FLUXNET2015 dataset </w:t>
            </w:r>
            <w:r>
              <w:rPr>
                <w:i/>
                <w:iCs/>
              </w:rPr>
              <w:lastRenderedPageBreak/>
              <w:t>and the ONEFlux processing pipeline for eddy covariance data</w:t>
            </w:r>
          </w:p>
        </w:tc>
        <w:tc>
          <w:tcPr>
            <w:tcW w:w="0" w:type="auto"/>
          </w:tcPr>
          <w:p w14:paraId="5C6921AD" w14:textId="77777777" w:rsidR="00271A1B" w:rsidRDefault="00000000" w:rsidP="00FE3442">
            <w:pPr>
              <w:pStyle w:val="Compact"/>
              <w:jc w:val="both"/>
            </w:pPr>
            <w:r>
              <w:lastRenderedPageBreak/>
              <w:t xml:space="preserve">Gilberto Pastorello </w:t>
            </w:r>
            <w:r>
              <w:lastRenderedPageBreak/>
              <w:t>dkk.</w:t>
            </w:r>
          </w:p>
        </w:tc>
        <w:tc>
          <w:tcPr>
            <w:tcW w:w="0" w:type="auto"/>
          </w:tcPr>
          <w:p w14:paraId="483DE1BC" w14:textId="77777777" w:rsidR="00271A1B" w:rsidRDefault="00000000" w:rsidP="00FE3442">
            <w:pPr>
              <w:pStyle w:val="Compact"/>
              <w:jc w:val="both"/>
            </w:pPr>
            <w:r>
              <w:lastRenderedPageBreak/>
              <w:t>2020</w:t>
            </w:r>
          </w:p>
        </w:tc>
        <w:tc>
          <w:tcPr>
            <w:tcW w:w="0" w:type="auto"/>
          </w:tcPr>
          <w:p w14:paraId="0909B4C1" w14:textId="77777777" w:rsidR="00271A1B" w:rsidRDefault="00000000" w:rsidP="00FE3442">
            <w:pPr>
              <w:pStyle w:val="Compact"/>
              <w:jc w:val="both"/>
            </w:pPr>
            <w:r>
              <w:rPr>
                <w:i/>
                <w:iCs/>
              </w:rPr>
              <w:t>Scientific Data</w:t>
            </w:r>
          </w:p>
        </w:tc>
        <w:tc>
          <w:tcPr>
            <w:tcW w:w="0" w:type="auto"/>
          </w:tcPr>
          <w:p w14:paraId="54680037" w14:textId="77777777" w:rsidR="00271A1B" w:rsidRDefault="00000000" w:rsidP="00FE3442">
            <w:pPr>
              <w:pStyle w:val="Compact"/>
              <w:jc w:val="both"/>
            </w:pPr>
            <w:r>
              <w:rPr>
                <w:rStyle w:val="VerbatimChar"/>
              </w:rPr>
              <w:t>10.1038/s41597-020-0534-3</w:t>
            </w:r>
            <w:r>
              <w:t xml:space="preserve"> — OA PDF tersedia. </w:t>
            </w:r>
            <w:hyperlink r:id="rId8">
              <w:r>
                <w:rPr>
                  <w:rStyle w:val="Hyperlink"/>
                </w:rPr>
                <w:t>[4]</w:t>
              </w:r>
            </w:hyperlink>
          </w:p>
        </w:tc>
        <w:tc>
          <w:tcPr>
            <w:tcW w:w="0" w:type="auto"/>
          </w:tcPr>
          <w:p w14:paraId="34DD2F59" w14:textId="77777777" w:rsidR="00271A1B" w:rsidRDefault="00000000" w:rsidP="00FE3442">
            <w:pPr>
              <w:pStyle w:val="Compact"/>
              <w:jc w:val="both"/>
            </w:pPr>
            <w:r>
              <w:t xml:space="preserve">Sumber primer paling penting </w:t>
            </w:r>
            <w:r>
              <w:lastRenderedPageBreak/>
              <w:t>untuk memahami bagaimana NEE, GPP, dan RECO dibentuk, QC, uncertainty, dan versi variabel FLUXNET2015.</w:t>
            </w:r>
          </w:p>
        </w:tc>
        <w:tc>
          <w:tcPr>
            <w:tcW w:w="0" w:type="auto"/>
          </w:tcPr>
          <w:p w14:paraId="246E3C5B" w14:textId="77777777" w:rsidR="00271A1B" w:rsidRDefault="00000000" w:rsidP="00FE3442">
            <w:pPr>
              <w:pStyle w:val="Compact"/>
              <w:jc w:val="both"/>
            </w:pPr>
            <w:r>
              <w:rPr>
                <w:b/>
                <w:bCs/>
              </w:rPr>
              <w:lastRenderedPageBreak/>
              <w:t>Ya</w:t>
            </w:r>
            <w:r>
              <w:t xml:space="preserve"> — ini landasan utama jika model Anda </w:t>
            </w:r>
            <w:r>
              <w:lastRenderedPageBreak/>
              <w:t>memakai data FLUXNET/AmeriFlux-tipe flux.</w:t>
            </w:r>
          </w:p>
        </w:tc>
      </w:tr>
      <w:tr w:rsidR="00271A1B" w14:paraId="651FCFB1" w14:textId="77777777">
        <w:tc>
          <w:tcPr>
            <w:tcW w:w="0" w:type="auto"/>
          </w:tcPr>
          <w:p w14:paraId="1ECB225F" w14:textId="77777777" w:rsidR="00271A1B" w:rsidRDefault="00000000" w:rsidP="00FE3442">
            <w:pPr>
              <w:pStyle w:val="Compact"/>
              <w:jc w:val="both"/>
            </w:pPr>
            <w:r>
              <w:lastRenderedPageBreak/>
              <w:t>2</w:t>
            </w:r>
          </w:p>
        </w:tc>
        <w:tc>
          <w:tcPr>
            <w:tcW w:w="0" w:type="auto"/>
          </w:tcPr>
          <w:p w14:paraId="71F26901" w14:textId="77777777" w:rsidR="00271A1B" w:rsidRDefault="00000000" w:rsidP="00FE3442">
            <w:pPr>
              <w:pStyle w:val="Compact"/>
              <w:jc w:val="both"/>
            </w:pPr>
            <w:r>
              <w:rPr>
                <w:i/>
                <w:iCs/>
              </w:rPr>
              <w:t>Towards a standardized processing of Net Ecosystem Exchange measured with eddy covariance technique: algorithms and uncertainty estimation</w:t>
            </w:r>
          </w:p>
        </w:tc>
        <w:tc>
          <w:tcPr>
            <w:tcW w:w="0" w:type="auto"/>
          </w:tcPr>
          <w:p w14:paraId="7BB34B0A" w14:textId="77777777" w:rsidR="00271A1B" w:rsidRDefault="00000000" w:rsidP="00FE3442">
            <w:pPr>
              <w:pStyle w:val="Compact"/>
              <w:jc w:val="both"/>
            </w:pPr>
            <w:r>
              <w:t>D. Papale dkk.</w:t>
            </w:r>
          </w:p>
        </w:tc>
        <w:tc>
          <w:tcPr>
            <w:tcW w:w="0" w:type="auto"/>
          </w:tcPr>
          <w:p w14:paraId="2852AC41" w14:textId="77777777" w:rsidR="00271A1B" w:rsidRDefault="00000000" w:rsidP="00FE3442">
            <w:pPr>
              <w:pStyle w:val="Compact"/>
              <w:jc w:val="both"/>
            </w:pPr>
            <w:r>
              <w:t>2006</w:t>
            </w:r>
          </w:p>
        </w:tc>
        <w:tc>
          <w:tcPr>
            <w:tcW w:w="0" w:type="auto"/>
          </w:tcPr>
          <w:p w14:paraId="06A70991" w14:textId="77777777" w:rsidR="00271A1B" w:rsidRDefault="00000000" w:rsidP="00FE3442">
            <w:pPr>
              <w:pStyle w:val="Compact"/>
              <w:jc w:val="both"/>
            </w:pPr>
            <w:r>
              <w:rPr>
                <w:i/>
                <w:iCs/>
              </w:rPr>
              <w:t>Biogeosciences</w:t>
            </w:r>
          </w:p>
        </w:tc>
        <w:tc>
          <w:tcPr>
            <w:tcW w:w="0" w:type="auto"/>
          </w:tcPr>
          <w:p w14:paraId="5126ABE2" w14:textId="77777777" w:rsidR="00271A1B" w:rsidRDefault="00000000" w:rsidP="00FE3442">
            <w:pPr>
              <w:pStyle w:val="Compact"/>
              <w:jc w:val="both"/>
            </w:pPr>
            <w:r>
              <w:rPr>
                <w:rStyle w:val="VerbatimChar"/>
              </w:rPr>
              <w:t>10.5194/bg-3-571-2006</w:t>
            </w:r>
            <w:r>
              <w:t xml:space="preserve"> — OA PDF tersedia. </w:t>
            </w:r>
            <w:hyperlink r:id="rId9">
              <w:r>
                <w:rPr>
                  <w:rStyle w:val="Hyperlink"/>
                </w:rPr>
                <w:t>[5]</w:t>
              </w:r>
            </w:hyperlink>
          </w:p>
        </w:tc>
        <w:tc>
          <w:tcPr>
            <w:tcW w:w="0" w:type="auto"/>
          </w:tcPr>
          <w:p w14:paraId="539CDD62" w14:textId="77777777" w:rsidR="00271A1B" w:rsidRDefault="00000000" w:rsidP="00FE3442">
            <w:pPr>
              <w:pStyle w:val="Compact"/>
              <w:jc w:val="both"/>
            </w:pPr>
            <w:r>
              <w:t>Paper klasik tentang koreksi standar, gap-filling, dan sumber ketidakpastian pada NEE.</w:t>
            </w:r>
          </w:p>
        </w:tc>
        <w:tc>
          <w:tcPr>
            <w:tcW w:w="0" w:type="auto"/>
          </w:tcPr>
          <w:p w14:paraId="43E5E21A" w14:textId="77777777" w:rsidR="00271A1B" w:rsidRDefault="00000000" w:rsidP="00FE3442">
            <w:pPr>
              <w:pStyle w:val="Compact"/>
              <w:jc w:val="both"/>
            </w:pPr>
            <w:r>
              <w:rPr>
                <w:b/>
                <w:bCs/>
              </w:rPr>
              <w:t>Ya</w:t>
            </w:r>
            <w:r>
              <w:t xml:space="preserve"> — sangat cocok untuk justifikasi metodologi preprocessing dan uncertainty.</w:t>
            </w:r>
          </w:p>
        </w:tc>
      </w:tr>
      <w:tr w:rsidR="00271A1B" w14:paraId="17AB8878" w14:textId="77777777">
        <w:tc>
          <w:tcPr>
            <w:tcW w:w="0" w:type="auto"/>
          </w:tcPr>
          <w:p w14:paraId="106FA7C0" w14:textId="77777777" w:rsidR="00271A1B" w:rsidRDefault="00000000" w:rsidP="00FE3442">
            <w:pPr>
              <w:pStyle w:val="Compact"/>
              <w:jc w:val="both"/>
            </w:pPr>
            <w:r>
              <w:t>3</w:t>
            </w:r>
          </w:p>
        </w:tc>
        <w:tc>
          <w:tcPr>
            <w:tcW w:w="0" w:type="auto"/>
          </w:tcPr>
          <w:p w14:paraId="26831A30" w14:textId="77777777" w:rsidR="00271A1B" w:rsidRDefault="00000000" w:rsidP="00FE3442">
            <w:pPr>
              <w:pStyle w:val="Compact"/>
              <w:jc w:val="both"/>
            </w:pPr>
            <w:r>
              <w:rPr>
                <w:i/>
                <w:iCs/>
              </w:rPr>
              <w:t>On the separati</w:t>
            </w:r>
            <w:r>
              <w:rPr>
                <w:i/>
                <w:iCs/>
              </w:rPr>
              <w:lastRenderedPageBreak/>
              <w:t>on of net ecosystem exchange into assimilation and ecosystem respiration: review and improved algorithm</w:t>
            </w:r>
          </w:p>
        </w:tc>
        <w:tc>
          <w:tcPr>
            <w:tcW w:w="0" w:type="auto"/>
          </w:tcPr>
          <w:p w14:paraId="0E906813" w14:textId="77777777" w:rsidR="00271A1B" w:rsidRDefault="00000000" w:rsidP="00FE3442">
            <w:pPr>
              <w:pStyle w:val="Compact"/>
              <w:jc w:val="both"/>
            </w:pPr>
            <w:r>
              <w:lastRenderedPageBreak/>
              <w:t xml:space="preserve">Markus </w:t>
            </w:r>
            <w:r>
              <w:lastRenderedPageBreak/>
              <w:t>Reichstein dkk.</w:t>
            </w:r>
          </w:p>
        </w:tc>
        <w:tc>
          <w:tcPr>
            <w:tcW w:w="0" w:type="auto"/>
          </w:tcPr>
          <w:p w14:paraId="54F56310" w14:textId="77777777" w:rsidR="00271A1B" w:rsidRDefault="00000000" w:rsidP="00FE3442">
            <w:pPr>
              <w:pStyle w:val="Compact"/>
              <w:jc w:val="both"/>
            </w:pPr>
            <w:r>
              <w:lastRenderedPageBreak/>
              <w:t>2005</w:t>
            </w:r>
          </w:p>
        </w:tc>
        <w:tc>
          <w:tcPr>
            <w:tcW w:w="0" w:type="auto"/>
          </w:tcPr>
          <w:p w14:paraId="64E6458F" w14:textId="77777777" w:rsidR="00271A1B" w:rsidRDefault="00000000" w:rsidP="00FE3442">
            <w:pPr>
              <w:pStyle w:val="Compact"/>
              <w:jc w:val="both"/>
            </w:pPr>
            <w:r>
              <w:rPr>
                <w:i/>
                <w:iCs/>
              </w:rPr>
              <w:t xml:space="preserve">Global Change </w:t>
            </w:r>
            <w:r>
              <w:rPr>
                <w:i/>
                <w:iCs/>
              </w:rPr>
              <w:lastRenderedPageBreak/>
              <w:t>Biology</w:t>
            </w:r>
          </w:p>
        </w:tc>
        <w:tc>
          <w:tcPr>
            <w:tcW w:w="0" w:type="auto"/>
          </w:tcPr>
          <w:p w14:paraId="71077C9A" w14:textId="77777777" w:rsidR="00271A1B" w:rsidRDefault="00000000" w:rsidP="00FE3442">
            <w:pPr>
              <w:pStyle w:val="Compact"/>
              <w:jc w:val="both"/>
            </w:pPr>
            <w:r>
              <w:rPr>
                <w:rStyle w:val="VerbatimChar"/>
              </w:rPr>
              <w:lastRenderedPageBreak/>
              <w:t>10.1111/j.1365-2486.2005.001002.x</w:t>
            </w:r>
            <w:r>
              <w:t xml:space="preserve"> </w:t>
            </w:r>
            <w:r>
              <w:lastRenderedPageBreak/>
              <w:t xml:space="preserve">— metadata/abstrak tersedia. </w:t>
            </w:r>
            <w:hyperlink r:id="rId10">
              <w:r>
                <w:rPr>
                  <w:rStyle w:val="Hyperlink"/>
                </w:rPr>
                <w:t>[6]</w:t>
              </w:r>
            </w:hyperlink>
          </w:p>
        </w:tc>
        <w:tc>
          <w:tcPr>
            <w:tcW w:w="0" w:type="auto"/>
          </w:tcPr>
          <w:p w14:paraId="4744113D" w14:textId="77777777" w:rsidR="00271A1B" w:rsidRDefault="00000000" w:rsidP="00FE3442">
            <w:pPr>
              <w:pStyle w:val="Compact"/>
              <w:jc w:val="both"/>
            </w:pPr>
            <w:r>
              <w:lastRenderedPageBreak/>
              <w:t xml:space="preserve">Referensi inti untuk </w:t>
            </w:r>
            <w:r>
              <w:lastRenderedPageBreak/>
              <w:t>memisahkan NEE menjadi GPP dan RECO, terutama pendekatan nighttime-based.</w:t>
            </w:r>
          </w:p>
        </w:tc>
        <w:tc>
          <w:tcPr>
            <w:tcW w:w="0" w:type="auto"/>
          </w:tcPr>
          <w:p w14:paraId="19561D37" w14:textId="77777777" w:rsidR="00271A1B" w:rsidRDefault="00000000" w:rsidP="00FE3442">
            <w:pPr>
              <w:pStyle w:val="Compact"/>
              <w:jc w:val="both"/>
            </w:pPr>
            <w:r>
              <w:rPr>
                <w:b/>
                <w:bCs/>
              </w:rPr>
              <w:lastRenderedPageBreak/>
              <w:t>Ya</w:t>
            </w:r>
            <w:r>
              <w:t xml:space="preserve"> — penting </w:t>
            </w:r>
            <w:r>
              <w:lastRenderedPageBreak/>
              <w:t>kalau Anda ingin CCI tidak hanya berbasis annual NEE, tetapi juga komponen uptake vs respiration.</w:t>
            </w:r>
          </w:p>
        </w:tc>
      </w:tr>
      <w:tr w:rsidR="00271A1B" w14:paraId="66E3F4B5" w14:textId="77777777">
        <w:tc>
          <w:tcPr>
            <w:tcW w:w="0" w:type="auto"/>
          </w:tcPr>
          <w:p w14:paraId="2A9F33FE" w14:textId="77777777" w:rsidR="00271A1B" w:rsidRDefault="00000000" w:rsidP="00FE3442">
            <w:pPr>
              <w:pStyle w:val="Compact"/>
              <w:jc w:val="both"/>
            </w:pPr>
            <w:r>
              <w:lastRenderedPageBreak/>
              <w:t>4</w:t>
            </w:r>
          </w:p>
        </w:tc>
        <w:tc>
          <w:tcPr>
            <w:tcW w:w="0" w:type="auto"/>
          </w:tcPr>
          <w:p w14:paraId="389A6D4B" w14:textId="77777777" w:rsidR="00271A1B" w:rsidRDefault="00000000" w:rsidP="00FE3442">
            <w:pPr>
              <w:pStyle w:val="Compact"/>
              <w:jc w:val="both"/>
            </w:pPr>
            <w:r>
              <w:rPr>
                <w:i/>
                <w:iCs/>
              </w:rPr>
              <w:t>Assessing the eddy covariance technique for evaluating carbon dioxide exchange rates of ecosystems: past, present and future</w:t>
            </w:r>
          </w:p>
        </w:tc>
        <w:tc>
          <w:tcPr>
            <w:tcW w:w="0" w:type="auto"/>
          </w:tcPr>
          <w:p w14:paraId="175F9DCE" w14:textId="77777777" w:rsidR="00271A1B" w:rsidRDefault="00000000" w:rsidP="00FE3442">
            <w:pPr>
              <w:pStyle w:val="Compact"/>
              <w:jc w:val="both"/>
            </w:pPr>
            <w:r>
              <w:t>Dennis D. Baldocchi</w:t>
            </w:r>
          </w:p>
        </w:tc>
        <w:tc>
          <w:tcPr>
            <w:tcW w:w="0" w:type="auto"/>
          </w:tcPr>
          <w:p w14:paraId="4A35AD38" w14:textId="77777777" w:rsidR="00271A1B" w:rsidRDefault="00000000" w:rsidP="00FE3442">
            <w:pPr>
              <w:pStyle w:val="Compact"/>
              <w:jc w:val="both"/>
            </w:pPr>
            <w:r>
              <w:t>2003</w:t>
            </w:r>
          </w:p>
        </w:tc>
        <w:tc>
          <w:tcPr>
            <w:tcW w:w="0" w:type="auto"/>
          </w:tcPr>
          <w:p w14:paraId="08431ED4" w14:textId="77777777" w:rsidR="00271A1B" w:rsidRDefault="00000000" w:rsidP="00FE3442">
            <w:pPr>
              <w:pStyle w:val="Compact"/>
              <w:jc w:val="both"/>
            </w:pPr>
            <w:r>
              <w:rPr>
                <w:i/>
                <w:iCs/>
              </w:rPr>
              <w:t>Global Change Biology</w:t>
            </w:r>
          </w:p>
        </w:tc>
        <w:tc>
          <w:tcPr>
            <w:tcW w:w="0" w:type="auto"/>
          </w:tcPr>
          <w:p w14:paraId="12026A8F" w14:textId="77777777" w:rsidR="00271A1B" w:rsidRDefault="00000000" w:rsidP="00FE3442">
            <w:pPr>
              <w:pStyle w:val="Compact"/>
              <w:jc w:val="both"/>
            </w:pPr>
            <w:r>
              <w:rPr>
                <w:rStyle w:val="VerbatimChar"/>
              </w:rPr>
              <w:t>10.1046/j.1365-2486.2003.00629.x</w:t>
            </w:r>
            <w:r>
              <w:t xml:space="preserve"> — DOI/metadata tersedia; alternatif PDF repositori/mirror ada. </w:t>
            </w:r>
            <w:hyperlink r:id="rId11">
              <w:r>
                <w:rPr>
                  <w:rStyle w:val="Hyperlink"/>
                </w:rPr>
                <w:t>[7]</w:t>
              </w:r>
            </w:hyperlink>
          </w:p>
        </w:tc>
        <w:tc>
          <w:tcPr>
            <w:tcW w:w="0" w:type="auto"/>
          </w:tcPr>
          <w:p w14:paraId="01BEA4A1" w14:textId="77777777" w:rsidR="00271A1B" w:rsidRDefault="00000000" w:rsidP="00FE3442">
            <w:pPr>
              <w:pStyle w:val="Compact"/>
              <w:jc w:val="both"/>
            </w:pPr>
            <w:r>
              <w:t>Review metodologis tentang kekuatan dan keterbatasan teknik eddy covariance, termasuk storage, advection, data gaps, dan skala waktu.</w:t>
            </w:r>
          </w:p>
        </w:tc>
        <w:tc>
          <w:tcPr>
            <w:tcW w:w="0" w:type="auto"/>
          </w:tcPr>
          <w:p w14:paraId="09BE5C34" w14:textId="77777777" w:rsidR="00271A1B" w:rsidRDefault="00000000" w:rsidP="00FE3442">
            <w:pPr>
              <w:pStyle w:val="Compact"/>
              <w:jc w:val="both"/>
            </w:pPr>
            <w:r>
              <w:rPr>
                <w:b/>
                <w:bCs/>
              </w:rPr>
              <w:t>Ya</w:t>
            </w:r>
            <w:r>
              <w:t xml:space="preserve"> — bagus untuk bab kajian pustaka dan pembahasan keterbatasan hasil.</w:t>
            </w:r>
          </w:p>
        </w:tc>
      </w:tr>
      <w:tr w:rsidR="00271A1B" w14:paraId="01CEC46B" w14:textId="77777777">
        <w:tc>
          <w:tcPr>
            <w:tcW w:w="0" w:type="auto"/>
          </w:tcPr>
          <w:p w14:paraId="522FAEF7" w14:textId="77777777" w:rsidR="00271A1B" w:rsidRDefault="00000000" w:rsidP="00FE3442">
            <w:pPr>
              <w:pStyle w:val="Compact"/>
              <w:jc w:val="both"/>
            </w:pPr>
            <w:r>
              <w:t>5</w:t>
            </w:r>
          </w:p>
        </w:tc>
        <w:tc>
          <w:tcPr>
            <w:tcW w:w="0" w:type="auto"/>
          </w:tcPr>
          <w:p w14:paraId="0A5827E1" w14:textId="77777777" w:rsidR="00271A1B" w:rsidRDefault="00000000" w:rsidP="00FE3442">
            <w:pPr>
              <w:pStyle w:val="Compact"/>
              <w:jc w:val="both"/>
            </w:pPr>
            <w:r>
              <w:rPr>
                <w:i/>
                <w:iCs/>
              </w:rPr>
              <w:t xml:space="preserve">SoilGrids 2.0: producing soil </w:t>
            </w:r>
            <w:r>
              <w:rPr>
                <w:i/>
                <w:iCs/>
              </w:rPr>
              <w:lastRenderedPageBreak/>
              <w:t>information for the globe with quantified spatial uncertainty</w:t>
            </w:r>
          </w:p>
        </w:tc>
        <w:tc>
          <w:tcPr>
            <w:tcW w:w="0" w:type="auto"/>
          </w:tcPr>
          <w:p w14:paraId="72FE96A9" w14:textId="77777777" w:rsidR="00271A1B" w:rsidRDefault="00000000" w:rsidP="00FE3442">
            <w:pPr>
              <w:pStyle w:val="Compact"/>
              <w:jc w:val="both"/>
            </w:pPr>
            <w:r>
              <w:lastRenderedPageBreak/>
              <w:t>Laura Poggio dkk.</w:t>
            </w:r>
          </w:p>
        </w:tc>
        <w:tc>
          <w:tcPr>
            <w:tcW w:w="0" w:type="auto"/>
          </w:tcPr>
          <w:p w14:paraId="2BE6CCE1" w14:textId="77777777" w:rsidR="00271A1B" w:rsidRDefault="00000000" w:rsidP="00FE3442">
            <w:pPr>
              <w:pStyle w:val="Compact"/>
              <w:jc w:val="both"/>
            </w:pPr>
            <w:r>
              <w:t>2021</w:t>
            </w:r>
          </w:p>
        </w:tc>
        <w:tc>
          <w:tcPr>
            <w:tcW w:w="0" w:type="auto"/>
          </w:tcPr>
          <w:p w14:paraId="504E9467" w14:textId="77777777" w:rsidR="00271A1B" w:rsidRDefault="00000000" w:rsidP="00FE3442">
            <w:pPr>
              <w:pStyle w:val="Compact"/>
              <w:jc w:val="both"/>
            </w:pPr>
            <w:r>
              <w:rPr>
                <w:i/>
                <w:iCs/>
              </w:rPr>
              <w:t>SOIL</w:t>
            </w:r>
          </w:p>
        </w:tc>
        <w:tc>
          <w:tcPr>
            <w:tcW w:w="0" w:type="auto"/>
          </w:tcPr>
          <w:p w14:paraId="71A003E3" w14:textId="77777777" w:rsidR="00271A1B" w:rsidRDefault="00000000" w:rsidP="00FE3442">
            <w:pPr>
              <w:pStyle w:val="Compact"/>
              <w:jc w:val="both"/>
            </w:pPr>
            <w:r>
              <w:rPr>
                <w:rStyle w:val="VerbatimChar"/>
              </w:rPr>
              <w:t>10.5194/soil-7-217-2021</w:t>
            </w:r>
            <w:r>
              <w:t xml:space="preserve"> — OA PDF tersedia. </w:t>
            </w:r>
            <w:hyperlink r:id="rId12">
              <w:r>
                <w:rPr>
                  <w:rStyle w:val="Hyperlink"/>
                </w:rPr>
                <w:t>[8]</w:t>
              </w:r>
            </w:hyperlink>
          </w:p>
        </w:tc>
        <w:tc>
          <w:tcPr>
            <w:tcW w:w="0" w:type="auto"/>
          </w:tcPr>
          <w:p w14:paraId="22C21ED1" w14:textId="77777777" w:rsidR="00271A1B" w:rsidRDefault="00000000" w:rsidP="00FE3442">
            <w:pPr>
              <w:pStyle w:val="Compact"/>
              <w:jc w:val="both"/>
            </w:pPr>
            <w:r>
              <w:t xml:space="preserve">Referensi utama untuk memakai </w:t>
            </w:r>
            <w:r>
              <w:lastRenderedPageBreak/>
              <w:t>SoilGrids sebagai sumber SOC, pH, bulk density, dan uncertainty spasial.</w:t>
            </w:r>
          </w:p>
        </w:tc>
        <w:tc>
          <w:tcPr>
            <w:tcW w:w="0" w:type="auto"/>
          </w:tcPr>
          <w:p w14:paraId="0C24FB71" w14:textId="77777777" w:rsidR="00271A1B" w:rsidRDefault="00000000" w:rsidP="00FE3442">
            <w:pPr>
              <w:pStyle w:val="Compact"/>
              <w:jc w:val="both"/>
            </w:pPr>
            <w:r>
              <w:rPr>
                <w:b/>
                <w:bCs/>
              </w:rPr>
              <w:lastRenderedPageBreak/>
              <w:t>Ya</w:t>
            </w:r>
            <w:r>
              <w:t xml:space="preserve"> — sangat cocok untuk fitur statis seperti </w:t>
            </w:r>
            <w:r>
              <w:lastRenderedPageBreak/>
              <w:t>SOC/pH dalam CCI komposit.</w:t>
            </w:r>
          </w:p>
        </w:tc>
      </w:tr>
      <w:tr w:rsidR="00271A1B" w14:paraId="234633F9" w14:textId="77777777">
        <w:tc>
          <w:tcPr>
            <w:tcW w:w="0" w:type="auto"/>
          </w:tcPr>
          <w:p w14:paraId="7451F058" w14:textId="77777777" w:rsidR="00271A1B" w:rsidRDefault="00000000" w:rsidP="00FE3442">
            <w:pPr>
              <w:pStyle w:val="Compact"/>
              <w:jc w:val="both"/>
            </w:pPr>
            <w:r>
              <w:lastRenderedPageBreak/>
              <w:t>6</w:t>
            </w:r>
          </w:p>
        </w:tc>
        <w:tc>
          <w:tcPr>
            <w:tcW w:w="0" w:type="auto"/>
          </w:tcPr>
          <w:p w14:paraId="067E5803" w14:textId="77777777" w:rsidR="00271A1B" w:rsidRDefault="00000000" w:rsidP="00FE3442">
            <w:pPr>
              <w:pStyle w:val="Compact"/>
              <w:jc w:val="both"/>
            </w:pPr>
            <w:r>
              <w:rPr>
                <w:i/>
                <w:iCs/>
              </w:rPr>
              <w:t>Providing quality-assessed and standardised soil data to support global mapping and modelling (WoSIS snapshot 2023)</w:t>
            </w:r>
          </w:p>
        </w:tc>
        <w:tc>
          <w:tcPr>
            <w:tcW w:w="0" w:type="auto"/>
          </w:tcPr>
          <w:p w14:paraId="38030ED5" w14:textId="77777777" w:rsidR="00271A1B" w:rsidRDefault="00000000" w:rsidP="00FE3442">
            <w:pPr>
              <w:pStyle w:val="Compact"/>
              <w:jc w:val="both"/>
            </w:pPr>
            <w:r>
              <w:t>N.H. Batjes, L. Calisto, L.M. de Sousa</w:t>
            </w:r>
          </w:p>
        </w:tc>
        <w:tc>
          <w:tcPr>
            <w:tcW w:w="0" w:type="auto"/>
          </w:tcPr>
          <w:p w14:paraId="685CCD81" w14:textId="77777777" w:rsidR="00271A1B" w:rsidRDefault="00000000" w:rsidP="00FE3442">
            <w:pPr>
              <w:pStyle w:val="Compact"/>
              <w:jc w:val="both"/>
            </w:pPr>
            <w:r>
              <w:t>2024</w:t>
            </w:r>
          </w:p>
        </w:tc>
        <w:tc>
          <w:tcPr>
            <w:tcW w:w="0" w:type="auto"/>
          </w:tcPr>
          <w:p w14:paraId="4B44BCAF" w14:textId="77777777" w:rsidR="00271A1B" w:rsidRDefault="00000000" w:rsidP="00FE3442">
            <w:pPr>
              <w:pStyle w:val="Compact"/>
              <w:jc w:val="both"/>
            </w:pPr>
            <w:r>
              <w:rPr>
                <w:i/>
                <w:iCs/>
              </w:rPr>
              <w:t>Earth System Science Data</w:t>
            </w:r>
          </w:p>
        </w:tc>
        <w:tc>
          <w:tcPr>
            <w:tcW w:w="0" w:type="auto"/>
          </w:tcPr>
          <w:p w14:paraId="270751DA" w14:textId="77777777" w:rsidR="00271A1B" w:rsidRDefault="00000000" w:rsidP="00FE3442">
            <w:pPr>
              <w:pStyle w:val="Compact"/>
              <w:jc w:val="both"/>
            </w:pPr>
            <w:r>
              <w:rPr>
                <w:rStyle w:val="VerbatimChar"/>
              </w:rPr>
              <w:t>10.5194/essd-16-4735-2024</w:t>
            </w:r>
            <w:r>
              <w:t xml:space="preserve"> — OA PDF tersedia; snapshot data punya DOI tersendiri. </w:t>
            </w:r>
            <w:hyperlink r:id="rId13">
              <w:r>
                <w:rPr>
                  <w:rStyle w:val="Hyperlink"/>
                </w:rPr>
                <w:t>[9]</w:t>
              </w:r>
            </w:hyperlink>
          </w:p>
        </w:tc>
        <w:tc>
          <w:tcPr>
            <w:tcW w:w="0" w:type="auto"/>
          </w:tcPr>
          <w:p w14:paraId="5EDBEE96" w14:textId="77777777" w:rsidR="00271A1B" w:rsidRDefault="00000000" w:rsidP="00FE3442">
            <w:pPr>
              <w:pStyle w:val="Compact"/>
              <w:jc w:val="both"/>
            </w:pPr>
            <w:r>
              <w:t>Menjelaskan WoSIS sebagai basis profil tanah terstandar untuk pemetaan dan pemodelan global.</w:t>
            </w:r>
          </w:p>
        </w:tc>
        <w:tc>
          <w:tcPr>
            <w:tcW w:w="0" w:type="auto"/>
          </w:tcPr>
          <w:p w14:paraId="365CDAE4" w14:textId="77777777" w:rsidR="00271A1B" w:rsidRDefault="00000000" w:rsidP="00FE3442">
            <w:pPr>
              <w:pStyle w:val="Compact"/>
              <w:jc w:val="both"/>
            </w:pPr>
            <w:r>
              <w:rPr>
                <w:b/>
                <w:bCs/>
              </w:rPr>
              <w:t>Ya</w:t>
            </w:r>
            <w:r>
              <w:t xml:space="preserve"> — cocok jika Anda butuh profil tanah yang lebih “observational” daripada peta raster SoilGrids.</w:t>
            </w:r>
          </w:p>
        </w:tc>
      </w:tr>
      <w:tr w:rsidR="00271A1B" w14:paraId="71C05E85" w14:textId="77777777">
        <w:tc>
          <w:tcPr>
            <w:tcW w:w="0" w:type="auto"/>
          </w:tcPr>
          <w:p w14:paraId="57449473" w14:textId="77777777" w:rsidR="00271A1B" w:rsidRDefault="00000000" w:rsidP="00FE3442">
            <w:pPr>
              <w:pStyle w:val="Compact"/>
              <w:jc w:val="both"/>
            </w:pPr>
            <w:r>
              <w:t>7</w:t>
            </w:r>
          </w:p>
        </w:tc>
        <w:tc>
          <w:tcPr>
            <w:tcW w:w="0" w:type="auto"/>
          </w:tcPr>
          <w:p w14:paraId="7CFFD411" w14:textId="77777777" w:rsidR="00271A1B" w:rsidRDefault="00000000" w:rsidP="00FE3442">
            <w:pPr>
              <w:pStyle w:val="Compact"/>
              <w:jc w:val="both"/>
            </w:pPr>
            <w:r>
              <w:rPr>
                <w:i/>
                <w:iCs/>
              </w:rPr>
              <w:t xml:space="preserve">Building shading affects the ecosystem service of urban green spaces: Carbon capture in street </w:t>
            </w:r>
            <w:r>
              <w:rPr>
                <w:i/>
                <w:iCs/>
              </w:rPr>
              <w:lastRenderedPageBreak/>
              <w:t>canyons</w:t>
            </w:r>
          </w:p>
        </w:tc>
        <w:tc>
          <w:tcPr>
            <w:tcW w:w="0" w:type="auto"/>
          </w:tcPr>
          <w:p w14:paraId="7D779DA3" w14:textId="77777777" w:rsidR="00271A1B" w:rsidRDefault="00000000" w:rsidP="00FE3442">
            <w:pPr>
              <w:pStyle w:val="Compact"/>
              <w:jc w:val="both"/>
            </w:pPr>
            <w:r>
              <w:lastRenderedPageBreak/>
              <w:t>Zhen Guo dkk.</w:t>
            </w:r>
          </w:p>
        </w:tc>
        <w:tc>
          <w:tcPr>
            <w:tcW w:w="0" w:type="auto"/>
          </w:tcPr>
          <w:p w14:paraId="70E77404" w14:textId="77777777" w:rsidR="00271A1B" w:rsidRDefault="00000000" w:rsidP="00FE3442">
            <w:pPr>
              <w:pStyle w:val="Compact"/>
              <w:jc w:val="both"/>
            </w:pPr>
            <w:r>
              <w:t>2020</w:t>
            </w:r>
          </w:p>
        </w:tc>
        <w:tc>
          <w:tcPr>
            <w:tcW w:w="0" w:type="auto"/>
          </w:tcPr>
          <w:p w14:paraId="7A5ABCC1" w14:textId="77777777" w:rsidR="00271A1B" w:rsidRDefault="00000000" w:rsidP="00FE3442">
            <w:pPr>
              <w:pStyle w:val="Compact"/>
              <w:jc w:val="both"/>
            </w:pPr>
            <w:r>
              <w:rPr>
                <w:i/>
                <w:iCs/>
              </w:rPr>
              <w:t>Ecological Modelling</w:t>
            </w:r>
          </w:p>
        </w:tc>
        <w:tc>
          <w:tcPr>
            <w:tcW w:w="0" w:type="auto"/>
          </w:tcPr>
          <w:p w14:paraId="06082955" w14:textId="77777777" w:rsidR="00271A1B" w:rsidRDefault="00000000" w:rsidP="00FE3442">
            <w:pPr>
              <w:pStyle w:val="Compact"/>
              <w:jc w:val="both"/>
            </w:pPr>
            <w:r>
              <w:rPr>
                <w:rStyle w:val="VerbatimChar"/>
              </w:rPr>
              <w:t>10.1016/j.ecolmodel.2020.109178</w:t>
            </w:r>
            <w:r>
              <w:t xml:space="preserve"> — abstrak/preview tersedia. </w:t>
            </w:r>
            <w:hyperlink r:id="rId14">
              <w:r>
                <w:rPr>
                  <w:rStyle w:val="Hyperlink"/>
                </w:rPr>
                <w:t>[10]</w:t>
              </w:r>
            </w:hyperlink>
          </w:p>
        </w:tc>
        <w:tc>
          <w:tcPr>
            <w:tcW w:w="0" w:type="auto"/>
          </w:tcPr>
          <w:p w14:paraId="0226670B" w14:textId="77777777" w:rsidR="00271A1B" w:rsidRDefault="00000000" w:rsidP="00FE3442">
            <w:pPr>
              <w:pStyle w:val="Compact"/>
              <w:jc w:val="both"/>
            </w:pPr>
            <w:r>
              <w:t xml:space="preserve">Salah satu paper yang secara eksplisit memakai istilah </w:t>
            </w:r>
            <w:r>
              <w:rPr>
                <w:b/>
                <w:bCs/>
              </w:rPr>
              <w:t>Carbon Capture Index (CCI)</w:t>
            </w:r>
            <w:r>
              <w:t xml:space="preserve"> pada </w:t>
            </w:r>
            <w:r>
              <w:lastRenderedPageBreak/>
              <w:t>konteks urban green space.</w:t>
            </w:r>
          </w:p>
        </w:tc>
        <w:tc>
          <w:tcPr>
            <w:tcW w:w="0" w:type="auto"/>
          </w:tcPr>
          <w:p w14:paraId="164BB736" w14:textId="77777777" w:rsidR="00271A1B" w:rsidRDefault="00000000" w:rsidP="00FE3442">
            <w:pPr>
              <w:pStyle w:val="Compact"/>
              <w:jc w:val="both"/>
            </w:pPr>
            <w:r>
              <w:rPr>
                <w:b/>
                <w:bCs/>
              </w:rPr>
              <w:lastRenderedPageBreak/>
              <w:t>Ya, tetapi terbatas</w:t>
            </w:r>
            <w:r>
              <w:t xml:space="preserve"> — berguna untuk definisi CCI sebagai skor relatif; kurang cocok jika Anda ingin indeks berbasis flux ekosistem </w:t>
            </w:r>
            <w:r>
              <w:lastRenderedPageBreak/>
              <w:t>alami.</w:t>
            </w:r>
          </w:p>
        </w:tc>
      </w:tr>
      <w:tr w:rsidR="00271A1B" w14:paraId="77193263" w14:textId="77777777">
        <w:tc>
          <w:tcPr>
            <w:tcW w:w="0" w:type="auto"/>
          </w:tcPr>
          <w:p w14:paraId="7BF7053B" w14:textId="77777777" w:rsidR="00271A1B" w:rsidRDefault="00000000" w:rsidP="00FE3442">
            <w:pPr>
              <w:pStyle w:val="Compact"/>
              <w:jc w:val="both"/>
            </w:pPr>
            <w:r>
              <w:lastRenderedPageBreak/>
              <w:t>8</w:t>
            </w:r>
          </w:p>
        </w:tc>
        <w:tc>
          <w:tcPr>
            <w:tcW w:w="0" w:type="auto"/>
          </w:tcPr>
          <w:p w14:paraId="4E909E72" w14:textId="77777777" w:rsidR="00271A1B" w:rsidRDefault="00000000" w:rsidP="00FE3442">
            <w:pPr>
              <w:pStyle w:val="Compact"/>
              <w:jc w:val="both"/>
            </w:pPr>
            <w:r>
              <w:rPr>
                <w:i/>
                <w:iCs/>
              </w:rPr>
              <w:t>A Study on Carbon Sequestration Index as a Tool to Determine the Potential of Greenbelt</w:t>
            </w:r>
          </w:p>
        </w:tc>
        <w:tc>
          <w:tcPr>
            <w:tcW w:w="0" w:type="auto"/>
          </w:tcPr>
          <w:p w14:paraId="1D1B588D" w14:textId="77777777" w:rsidR="00271A1B" w:rsidRDefault="00000000" w:rsidP="00FE3442">
            <w:pPr>
              <w:pStyle w:val="Compact"/>
              <w:jc w:val="both"/>
            </w:pPr>
            <w:r>
              <w:t>Tamanna Parida dkk.</w:t>
            </w:r>
          </w:p>
        </w:tc>
        <w:tc>
          <w:tcPr>
            <w:tcW w:w="0" w:type="auto"/>
          </w:tcPr>
          <w:p w14:paraId="3D20EA98" w14:textId="77777777" w:rsidR="00271A1B" w:rsidRDefault="00000000" w:rsidP="00FE3442">
            <w:pPr>
              <w:pStyle w:val="Compact"/>
              <w:jc w:val="both"/>
            </w:pPr>
            <w:r>
              <w:t>2022</w:t>
            </w:r>
          </w:p>
        </w:tc>
        <w:tc>
          <w:tcPr>
            <w:tcW w:w="0" w:type="auto"/>
          </w:tcPr>
          <w:p w14:paraId="32D4AD19" w14:textId="77777777" w:rsidR="00271A1B" w:rsidRDefault="00000000" w:rsidP="00FE3442">
            <w:pPr>
              <w:pStyle w:val="Compact"/>
              <w:jc w:val="both"/>
            </w:pPr>
            <w:r>
              <w:rPr>
                <w:i/>
                <w:iCs/>
              </w:rPr>
              <w:t>Journal of People, Plants, and Environment</w:t>
            </w:r>
          </w:p>
        </w:tc>
        <w:tc>
          <w:tcPr>
            <w:tcW w:w="0" w:type="auto"/>
          </w:tcPr>
          <w:p w14:paraId="240176CB" w14:textId="77777777" w:rsidR="00271A1B" w:rsidRDefault="00000000" w:rsidP="00FE3442">
            <w:pPr>
              <w:pStyle w:val="Compact"/>
              <w:jc w:val="both"/>
            </w:pPr>
            <w:r>
              <w:rPr>
                <w:rStyle w:val="VerbatimChar"/>
              </w:rPr>
              <w:t>10.11628/ksppe.2022.25.4.371</w:t>
            </w:r>
            <w:r>
              <w:t xml:space="preserve"> — metadata/abstrak tersedia. </w:t>
            </w:r>
            <w:hyperlink r:id="rId15">
              <w:r>
                <w:rPr>
                  <w:rStyle w:val="Hyperlink"/>
                </w:rPr>
                <w:t>[11]</w:t>
              </w:r>
            </w:hyperlink>
          </w:p>
        </w:tc>
        <w:tc>
          <w:tcPr>
            <w:tcW w:w="0" w:type="auto"/>
          </w:tcPr>
          <w:p w14:paraId="673713FF" w14:textId="77777777" w:rsidR="00271A1B" w:rsidRDefault="00000000" w:rsidP="00FE3442">
            <w:pPr>
              <w:pStyle w:val="Compact"/>
              <w:jc w:val="both"/>
            </w:pPr>
            <w:r>
              <w:t xml:space="preserve">Menggunakan </w:t>
            </w:r>
            <w:r>
              <w:rPr>
                <w:b/>
                <w:bCs/>
              </w:rPr>
              <w:t>Carbon Sequestration Index (CSI)</w:t>
            </w:r>
            <w:r>
              <w:t xml:space="preserve"> untuk menilai kemampuan spesies pohon/greenbelt menetralkan emisi.</w:t>
            </w:r>
          </w:p>
        </w:tc>
        <w:tc>
          <w:tcPr>
            <w:tcW w:w="0" w:type="auto"/>
          </w:tcPr>
          <w:p w14:paraId="47071E10" w14:textId="77777777" w:rsidR="00271A1B" w:rsidRDefault="00000000" w:rsidP="00FE3442">
            <w:pPr>
              <w:pStyle w:val="Compact"/>
              <w:jc w:val="both"/>
            </w:pPr>
            <w:r>
              <w:rPr>
                <w:b/>
                <w:bCs/>
              </w:rPr>
              <w:t>Ya</w:t>
            </w:r>
            <w:r>
              <w:t xml:space="preserve"> — sangat berguna jika Anda ingin CCI/CSI ditafsirkan sebagai </w:t>
            </w:r>
            <w:r>
              <w:rPr>
                <w:i/>
                <w:iCs/>
              </w:rPr>
              <w:t>offset-style index</w:t>
            </w:r>
            <w:r>
              <w:t>.</w:t>
            </w:r>
          </w:p>
        </w:tc>
      </w:tr>
      <w:tr w:rsidR="00271A1B" w14:paraId="2EF02DDA" w14:textId="77777777">
        <w:tc>
          <w:tcPr>
            <w:tcW w:w="0" w:type="auto"/>
          </w:tcPr>
          <w:p w14:paraId="1CAEF35B" w14:textId="77777777" w:rsidR="00271A1B" w:rsidRDefault="00000000" w:rsidP="00FE3442">
            <w:pPr>
              <w:pStyle w:val="Compact"/>
              <w:jc w:val="both"/>
            </w:pPr>
            <w:r>
              <w:t>9</w:t>
            </w:r>
          </w:p>
        </w:tc>
        <w:tc>
          <w:tcPr>
            <w:tcW w:w="0" w:type="auto"/>
          </w:tcPr>
          <w:p w14:paraId="7EBAB967" w14:textId="77777777" w:rsidR="00271A1B" w:rsidRDefault="00000000" w:rsidP="00FE3442">
            <w:pPr>
              <w:pStyle w:val="Compact"/>
              <w:jc w:val="both"/>
            </w:pPr>
            <w:r>
              <w:rPr>
                <w:i/>
                <w:iCs/>
              </w:rPr>
              <w:t>A new remote sensing-based carbon sequestration potential index (CSPI): A tool to support land carbon management</w:t>
            </w:r>
          </w:p>
        </w:tc>
        <w:tc>
          <w:tcPr>
            <w:tcW w:w="0" w:type="auto"/>
          </w:tcPr>
          <w:p w14:paraId="5C67B255" w14:textId="77777777" w:rsidR="00271A1B" w:rsidRDefault="00000000" w:rsidP="00FE3442">
            <w:pPr>
              <w:pStyle w:val="Compact"/>
              <w:jc w:val="both"/>
            </w:pPr>
            <w:r>
              <w:t>Adrián Pascual dkk.</w:t>
            </w:r>
          </w:p>
        </w:tc>
        <w:tc>
          <w:tcPr>
            <w:tcW w:w="0" w:type="auto"/>
          </w:tcPr>
          <w:p w14:paraId="113141EC" w14:textId="77777777" w:rsidR="00271A1B" w:rsidRDefault="00000000" w:rsidP="00FE3442">
            <w:pPr>
              <w:pStyle w:val="Compact"/>
              <w:jc w:val="both"/>
            </w:pPr>
            <w:r>
              <w:t>2021</w:t>
            </w:r>
          </w:p>
        </w:tc>
        <w:tc>
          <w:tcPr>
            <w:tcW w:w="0" w:type="auto"/>
          </w:tcPr>
          <w:p w14:paraId="29BAA273" w14:textId="77777777" w:rsidR="00271A1B" w:rsidRDefault="00000000" w:rsidP="00FE3442">
            <w:pPr>
              <w:pStyle w:val="Compact"/>
              <w:jc w:val="both"/>
            </w:pPr>
            <w:r>
              <w:rPr>
                <w:i/>
                <w:iCs/>
              </w:rPr>
              <w:t>Forest Ecology and Management</w:t>
            </w:r>
          </w:p>
        </w:tc>
        <w:tc>
          <w:tcPr>
            <w:tcW w:w="0" w:type="auto"/>
          </w:tcPr>
          <w:p w14:paraId="77F6D397" w14:textId="77777777" w:rsidR="00271A1B" w:rsidRDefault="00000000" w:rsidP="00FE3442">
            <w:pPr>
              <w:pStyle w:val="Compact"/>
              <w:jc w:val="both"/>
            </w:pPr>
            <w:r>
              <w:rPr>
                <w:rStyle w:val="VerbatimChar"/>
              </w:rPr>
              <w:t>10.1016/j.foreco.2021.119343</w:t>
            </w:r>
            <w:r>
              <w:t xml:space="preserve"> — preview tersedia; ada </w:t>
            </w:r>
            <w:r>
              <w:rPr>
                <w:i/>
                <w:iCs/>
              </w:rPr>
              <w:t>open manuscript</w:t>
            </w:r>
            <w:r>
              <w:t xml:space="preserve">. </w:t>
            </w:r>
            <w:hyperlink r:id="rId16">
              <w:r>
                <w:rPr>
                  <w:rStyle w:val="Hyperlink"/>
                </w:rPr>
                <w:t>[12]</w:t>
              </w:r>
            </w:hyperlink>
          </w:p>
        </w:tc>
        <w:tc>
          <w:tcPr>
            <w:tcW w:w="0" w:type="auto"/>
          </w:tcPr>
          <w:p w14:paraId="53204270" w14:textId="77777777" w:rsidR="00271A1B" w:rsidRDefault="00000000" w:rsidP="00FE3442">
            <w:pPr>
              <w:pStyle w:val="Compact"/>
              <w:jc w:val="both"/>
            </w:pPr>
            <w:r>
              <w:t xml:space="preserve">Mengembangkan </w:t>
            </w:r>
            <w:r>
              <w:rPr>
                <w:b/>
                <w:bCs/>
              </w:rPr>
              <w:t>CSPI</w:t>
            </w:r>
            <w:r>
              <w:t xml:space="preserve"> berbasis GPP, aboveground carbon density, dan forest cover untuk penilaian potensi sequestration.</w:t>
            </w:r>
          </w:p>
        </w:tc>
        <w:tc>
          <w:tcPr>
            <w:tcW w:w="0" w:type="auto"/>
          </w:tcPr>
          <w:p w14:paraId="17A1A2D3" w14:textId="77777777" w:rsidR="00271A1B" w:rsidRDefault="00000000" w:rsidP="00FE3442">
            <w:pPr>
              <w:pStyle w:val="Compact"/>
              <w:jc w:val="both"/>
            </w:pPr>
            <w:r>
              <w:rPr>
                <w:b/>
                <w:bCs/>
              </w:rPr>
              <w:t>Ya</w:t>
            </w:r>
            <w:r>
              <w:t xml:space="preserve"> — sangat cocok sebagai contoh indeks komposit yang menggabungkan flux/produktivitas dan stok/potensi lahan.</w:t>
            </w:r>
          </w:p>
        </w:tc>
      </w:tr>
      <w:tr w:rsidR="00271A1B" w14:paraId="0BE81AB5" w14:textId="77777777">
        <w:tc>
          <w:tcPr>
            <w:tcW w:w="0" w:type="auto"/>
          </w:tcPr>
          <w:p w14:paraId="4F1BDCAF" w14:textId="77777777" w:rsidR="00271A1B" w:rsidRDefault="00000000" w:rsidP="00FE3442">
            <w:pPr>
              <w:pStyle w:val="Compact"/>
              <w:jc w:val="both"/>
            </w:pPr>
            <w:r>
              <w:t>10</w:t>
            </w:r>
          </w:p>
        </w:tc>
        <w:tc>
          <w:tcPr>
            <w:tcW w:w="0" w:type="auto"/>
          </w:tcPr>
          <w:p w14:paraId="7AEE1344" w14:textId="77777777" w:rsidR="00271A1B" w:rsidRDefault="00000000" w:rsidP="00FE3442">
            <w:pPr>
              <w:pStyle w:val="Compact"/>
              <w:jc w:val="both"/>
            </w:pPr>
            <w:r>
              <w:rPr>
                <w:i/>
                <w:iCs/>
              </w:rPr>
              <w:t xml:space="preserve">A new index integrating forestry </w:t>
            </w:r>
            <w:r>
              <w:rPr>
                <w:i/>
                <w:iCs/>
              </w:rPr>
              <w:lastRenderedPageBreak/>
              <w:t>and ecology models for quantitatively characterizing forest carbon sequestration potential ability in a subtropical region</w:t>
            </w:r>
          </w:p>
        </w:tc>
        <w:tc>
          <w:tcPr>
            <w:tcW w:w="0" w:type="auto"/>
          </w:tcPr>
          <w:p w14:paraId="1A6614E9" w14:textId="77777777" w:rsidR="00271A1B" w:rsidRDefault="00000000" w:rsidP="00FE3442">
            <w:pPr>
              <w:pStyle w:val="Compact"/>
              <w:jc w:val="both"/>
            </w:pPr>
            <w:r>
              <w:lastRenderedPageBreak/>
              <w:t>Yuanyong Dian dkk.</w:t>
            </w:r>
          </w:p>
        </w:tc>
        <w:tc>
          <w:tcPr>
            <w:tcW w:w="0" w:type="auto"/>
          </w:tcPr>
          <w:p w14:paraId="593CF633" w14:textId="77777777" w:rsidR="00271A1B" w:rsidRDefault="00000000" w:rsidP="00FE3442">
            <w:pPr>
              <w:pStyle w:val="Compact"/>
              <w:jc w:val="both"/>
            </w:pPr>
            <w:r>
              <w:t>2024</w:t>
            </w:r>
          </w:p>
        </w:tc>
        <w:tc>
          <w:tcPr>
            <w:tcW w:w="0" w:type="auto"/>
          </w:tcPr>
          <w:p w14:paraId="12BDEE47" w14:textId="77777777" w:rsidR="00271A1B" w:rsidRDefault="00000000" w:rsidP="00FE3442">
            <w:pPr>
              <w:pStyle w:val="Compact"/>
              <w:jc w:val="both"/>
            </w:pPr>
            <w:r>
              <w:rPr>
                <w:i/>
                <w:iCs/>
              </w:rPr>
              <w:t>Ecological Indicators</w:t>
            </w:r>
          </w:p>
        </w:tc>
        <w:tc>
          <w:tcPr>
            <w:tcW w:w="0" w:type="auto"/>
          </w:tcPr>
          <w:p w14:paraId="1B6AD4EA" w14:textId="77777777" w:rsidR="00271A1B" w:rsidRDefault="00000000" w:rsidP="00FE3442">
            <w:pPr>
              <w:pStyle w:val="Compact"/>
              <w:jc w:val="both"/>
            </w:pPr>
            <w:r>
              <w:rPr>
                <w:rStyle w:val="VerbatimChar"/>
              </w:rPr>
              <w:t>10.1016/j.ecolind.2023.111358</w:t>
            </w:r>
            <w:r>
              <w:t xml:space="preserve"> — article preview/open access tersedia. </w:t>
            </w:r>
            <w:hyperlink r:id="rId17">
              <w:r>
                <w:rPr>
                  <w:rStyle w:val="Hyperlink"/>
                </w:rPr>
                <w:t>[13]</w:t>
              </w:r>
            </w:hyperlink>
          </w:p>
        </w:tc>
        <w:tc>
          <w:tcPr>
            <w:tcW w:w="0" w:type="auto"/>
          </w:tcPr>
          <w:p w14:paraId="6C76D48B" w14:textId="77777777" w:rsidR="00271A1B" w:rsidRDefault="00000000" w:rsidP="00FE3442">
            <w:pPr>
              <w:pStyle w:val="Compact"/>
              <w:jc w:val="both"/>
            </w:pPr>
            <w:r>
              <w:t xml:space="preserve">Mengusulkan </w:t>
            </w:r>
            <w:r>
              <w:rPr>
                <w:b/>
                <w:bCs/>
              </w:rPr>
              <w:t>FCSPI</w:t>
            </w:r>
            <w:r>
              <w:t xml:space="preserve"> sebagai </w:t>
            </w:r>
            <w:r>
              <w:rPr>
                <w:i/>
                <w:iCs/>
              </w:rPr>
              <w:t>fractional deficiency</w:t>
            </w:r>
            <w:r>
              <w:t xml:space="preserve"> </w:t>
            </w:r>
            <w:r>
              <w:lastRenderedPageBreak/>
              <w:t>dari karbon saat ini terhadap level maksimum.</w:t>
            </w:r>
          </w:p>
        </w:tc>
        <w:tc>
          <w:tcPr>
            <w:tcW w:w="0" w:type="auto"/>
          </w:tcPr>
          <w:p w14:paraId="25C4D9E6" w14:textId="77777777" w:rsidR="00271A1B" w:rsidRDefault="00000000" w:rsidP="00FE3442">
            <w:pPr>
              <w:pStyle w:val="Compact"/>
              <w:jc w:val="both"/>
            </w:pPr>
            <w:r>
              <w:rPr>
                <w:b/>
                <w:bCs/>
              </w:rPr>
              <w:lastRenderedPageBreak/>
              <w:t>Ya</w:t>
            </w:r>
            <w:r>
              <w:t xml:space="preserve"> — sangat cocok jika Anda ingin CCI didefinisika</w:t>
            </w:r>
            <w:r>
              <w:lastRenderedPageBreak/>
              <w:t xml:space="preserve">n sebagai </w:t>
            </w:r>
            <w:r>
              <w:rPr>
                <w:i/>
                <w:iCs/>
              </w:rPr>
              <w:t>remaining sequestration headroom</w:t>
            </w:r>
            <w:r>
              <w:t>.</w:t>
            </w:r>
          </w:p>
        </w:tc>
      </w:tr>
      <w:tr w:rsidR="00271A1B" w14:paraId="58B1DBB8" w14:textId="77777777">
        <w:tc>
          <w:tcPr>
            <w:tcW w:w="0" w:type="auto"/>
          </w:tcPr>
          <w:p w14:paraId="62555689" w14:textId="77777777" w:rsidR="00271A1B" w:rsidRDefault="00000000" w:rsidP="00FE3442">
            <w:pPr>
              <w:pStyle w:val="Compact"/>
              <w:jc w:val="both"/>
            </w:pPr>
            <w:r>
              <w:lastRenderedPageBreak/>
              <w:t>11</w:t>
            </w:r>
          </w:p>
        </w:tc>
        <w:tc>
          <w:tcPr>
            <w:tcW w:w="0" w:type="auto"/>
          </w:tcPr>
          <w:p w14:paraId="7EE5BC3A" w14:textId="77777777" w:rsidR="00271A1B" w:rsidRDefault="00000000" w:rsidP="00FE3442">
            <w:pPr>
              <w:pStyle w:val="Compact"/>
              <w:jc w:val="both"/>
            </w:pPr>
            <w:r>
              <w:rPr>
                <w:i/>
                <w:iCs/>
              </w:rPr>
              <w:t>Maximum carbon uptake rate dominates the interannual variability of global net ecosystem exchange</w:t>
            </w:r>
          </w:p>
        </w:tc>
        <w:tc>
          <w:tcPr>
            <w:tcW w:w="0" w:type="auto"/>
          </w:tcPr>
          <w:p w14:paraId="4E7303F1" w14:textId="77777777" w:rsidR="00271A1B" w:rsidRDefault="00000000" w:rsidP="00FE3442">
            <w:pPr>
              <w:pStyle w:val="Compact"/>
              <w:jc w:val="both"/>
            </w:pPr>
            <w:r>
              <w:t>Zheng Fu dkk.</w:t>
            </w:r>
          </w:p>
        </w:tc>
        <w:tc>
          <w:tcPr>
            <w:tcW w:w="0" w:type="auto"/>
          </w:tcPr>
          <w:p w14:paraId="2D6B0C98" w14:textId="77777777" w:rsidR="00271A1B" w:rsidRDefault="00000000" w:rsidP="00FE3442">
            <w:pPr>
              <w:pStyle w:val="Compact"/>
              <w:jc w:val="both"/>
            </w:pPr>
            <w:r>
              <w:t>2019</w:t>
            </w:r>
          </w:p>
        </w:tc>
        <w:tc>
          <w:tcPr>
            <w:tcW w:w="0" w:type="auto"/>
          </w:tcPr>
          <w:p w14:paraId="7ECEE71A" w14:textId="77777777" w:rsidR="00271A1B" w:rsidRDefault="00000000" w:rsidP="00FE3442">
            <w:pPr>
              <w:pStyle w:val="Compact"/>
              <w:jc w:val="both"/>
            </w:pPr>
            <w:r>
              <w:rPr>
                <w:i/>
                <w:iCs/>
              </w:rPr>
              <w:t>Global Change Biology</w:t>
            </w:r>
          </w:p>
        </w:tc>
        <w:tc>
          <w:tcPr>
            <w:tcW w:w="0" w:type="auto"/>
          </w:tcPr>
          <w:p w14:paraId="6284C003" w14:textId="77777777" w:rsidR="00271A1B" w:rsidRDefault="00000000" w:rsidP="00FE3442">
            <w:pPr>
              <w:pStyle w:val="Compact"/>
              <w:jc w:val="both"/>
            </w:pPr>
            <w:r>
              <w:rPr>
                <w:rStyle w:val="VerbatimChar"/>
              </w:rPr>
              <w:t>10.1111/gcb.14731</w:t>
            </w:r>
            <w:r>
              <w:t xml:space="preserve"> — abstrak tersedia; ada PDF repositori/preprint. </w:t>
            </w:r>
            <w:hyperlink r:id="rId18">
              <w:r>
                <w:rPr>
                  <w:rStyle w:val="Hyperlink"/>
                </w:rPr>
                <w:t>[14]</w:t>
              </w:r>
            </w:hyperlink>
          </w:p>
        </w:tc>
        <w:tc>
          <w:tcPr>
            <w:tcW w:w="0" w:type="auto"/>
          </w:tcPr>
          <w:p w14:paraId="19C71EC4" w14:textId="77777777" w:rsidR="00271A1B" w:rsidRDefault="00000000" w:rsidP="00FE3442">
            <w:pPr>
              <w:pStyle w:val="Compact"/>
              <w:jc w:val="both"/>
            </w:pPr>
            <w:r>
              <w:t xml:space="preserve">Paper penting yang menunjukkan bagaimana annual NEE bisa diuraikan menjadi </w:t>
            </w:r>
            <w:r>
              <w:rPr>
                <w:b/>
                <w:bCs/>
              </w:rPr>
              <w:t>MCU, MCR, CUP, α, β</w:t>
            </w:r>
            <w:r>
              <w:t>.</w:t>
            </w:r>
          </w:p>
        </w:tc>
        <w:tc>
          <w:tcPr>
            <w:tcW w:w="0" w:type="auto"/>
          </w:tcPr>
          <w:p w14:paraId="06F3F95B" w14:textId="77777777" w:rsidR="00271A1B" w:rsidRDefault="00000000" w:rsidP="00FE3442">
            <w:pPr>
              <w:pStyle w:val="Compact"/>
              <w:jc w:val="both"/>
            </w:pPr>
            <w:r>
              <w:rPr>
                <w:b/>
                <w:bCs/>
              </w:rPr>
              <w:t>Ya</w:t>
            </w:r>
            <w:r>
              <w:t xml:space="preserve"> — paling relevan jika Anda ingin menurunkan indikator CCI langsung dari output flux time-series.</w:t>
            </w:r>
          </w:p>
        </w:tc>
      </w:tr>
    </w:tbl>
    <w:p w14:paraId="3A46FC82" w14:textId="77777777" w:rsidR="00271A1B" w:rsidRDefault="00000000" w:rsidP="00FE3442">
      <w:pPr>
        <w:pStyle w:val="BodyText"/>
        <w:jc w:val="both"/>
      </w:pPr>
      <w:r>
        <w:t xml:space="preserve">Sumber primer dan dokumentasi resmi yang juga wajib disimpan sebagai rujukan kerja adalah </w:t>
      </w:r>
      <w:r>
        <w:rPr>
          <w:b/>
          <w:bCs/>
        </w:rPr>
        <w:t>FLUXNET Variables Quick Start Guide</w:t>
      </w:r>
      <w:r>
        <w:t xml:space="preserve">, </w:t>
      </w:r>
      <w:r>
        <w:rPr>
          <w:b/>
          <w:bCs/>
        </w:rPr>
        <w:t>FLUXNET Data Processing</w:t>
      </w:r>
      <w:r>
        <w:t xml:space="preserve">, </w:t>
      </w:r>
      <w:r>
        <w:rPr>
          <w:b/>
          <w:bCs/>
        </w:rPr>
        <w:t>AmeriFlux Data Variables</w:t>
      </w:r>
      <w:r>
        <w:t xml:space="preserve">, </w:t>
      </w:r>
      <w:r>
        <w:rPr>
          <w:b/>
          <w:bCs/>
        </w:rPr>
        <w:t>dokumentasi WoSIS</w:t>
      </w:r>
      <w:r>
        <w:t xml:space="preserve">, dan </w:t>
      </w:r>
      <w:r>
        <w:rPr>
          <w:b/>
          <w:bCs/>
        </w:rPr>
        <w:t>dokumentasi SoilGrids</w:t>
      </w:r>
      <w:r>
        <w:t xml:space="preserve">. Halaman-halaman ini menjelaskan unit, variabel, QC, dan struktur data yang akan langsung Anda pakai dalam implementasi. </w:t>
      </w:r>
      <w:hyperlink r:id="rId19">
        <w:r>
          <w:rPr>
            <w:rStyle w:val="Hyperlink"/>
          </w:rPr>
          <w:t>[15]</w:t>
        </w:r>
      </w:hyperlink>
    </w:p>
    <w:p w14:paraId="5051D8D3" w14:textId="77777777" w:rsidR="00271A1B" w:rsidRDefault="00000000" w:rsidP="00FE3442">
      <w:pPr>
        <w:pStyle w:val="Heading2"/>
        <w:jc w:val="both"/>
      </w:pPr>
      <w:bookmarkStart w:id="5" w:name="sintesis-temuan-dari-referensi-utama"/>
      <w:bookmarkEnd w:id="4"/>
      <w:r>
        <w:lastRenderedPageBreak/>
        <w:t>Sintesis temuan dari referensi utama</w:t>
      </w:r>
    </w:p>
    <w:p w14:paraId="6EF7E912" w14:textId="77777777" w:rsidR="00271A1B" w:rsidRDefault="00000000" w:rsidP="00FE3442">
      <w:pPr>
        <w:pStyle w:val="FirstParagraph"/>
        <w:jc w:val="both"/>
      </w:pPr>
      <w:r>
        <w:rPr>
          <w:b/>
          <w:bCs/>
        </w:rPr>
        <w:t>Pastorello et al. 2020</w:t>
      </w:r>
      <w:r>
        <w:t xml:space="preserve"> adalah referensi primer untuk memahami produk FLUXNET2015. Paper ini menjelaskan bahwa pipeline ONEFlux menghitung NEE dari fluks turbulen dan fluks storage, lalu menerapkan spike detection, penyaringan kondisi turbulensi rendah dengan ensemble </w:t>
      </w:r>
      <w:r>
        <w:rPr>
          <w:b/>
          <w:bCs/>
        </w:rPr>
        <w:t>USTAR thresholds</w:t>
      </w:r>
      <w:r>
        <w:t xml:space="preserve">, gap-filling, estimasi random uncertainty, dan partitioning menjadi </w:t>
      </w:r>
      <w:r>
        <w:rPr>
          <w:b/>
          <w:bCs/>
        </w:rPr>
        <w:t>RECO</w:t>
      </w:r>
      <w:r>
        <w:t xml:space="preserve"> dan </w:t>
      </w:r>
      <w:r>
        <w:rPr>
          <w:b/>
          <w:bCs/>
        </w:rPr>
        <w:t>GPP</w:t>
      </w:r>
      <w:r>
        <w:t xml:space="preserve">. Untuk proyek Anda, paper ini tidak mendefinisikan CCI secara langsung, tetapi sangat penting untuk mendefinisikan </w:t>
      </w:r>
      <w:r>
        <w:rPr>
          <w:b/>
          <w:bCs/>
        </w:rPr>
        <w:t>input flux yang sah</w:t>
      </w:r>
      <w:r>
        <w:t xml:space="preserve"> untuk CCI dan untuk memilih versi variabel seperti </w:t>
      </w:r>
      <w:r>
        <w:rPr>
          <w:rStyle w:val="VerbatimChar"/>
        </w:rPr>
        <w:t>NEE_VUT_REF</w:t>
      </w:r>
      <w:r>
        <w:t xml:space="preserve">, </w:t>
      </w:r>
      <w:r>
        <w:rPr>
          <w:rStyle w:val="VerbatimChar"/>
        </w:rPr>
        <w:t>GPP_NT_VUT_REF</w:t>
      </w:r>
      <w:r>
        <w:t xml:space="preserve">, atau </w:t>
      </w:r>
      <w:r>
        <w:rPr>
          <w:rStyle w:val="VerbatimChar"/>
        </w:rPr>
        <w:t>RECO_DT_VUT_REF</w:t>
      </w:r>
      <w:r>
        <w:t xml:space="preserve">. Ini juga memberi dasar kuat untuk alasan mengapa CCI sebaiknya dibangun </w:t>
      </w:r>
      <w:r>
        <w:rPr>
          <w:b/>
          <w:bCs/>
        </w:rPr>
        <w:t>setelah</w:t>
      </w:r>
      <w:r>
        <w:t xml:space="preserve"> QC dan uncertainty handling, bukan dari data mentah sensor. </w:t>
      </w:r>
      <w:hyperlink r:id="rId20">
        <w:r>
          <w:rPr>
            <w:rStyle w:val="Hyperlink"/>
          </w:rPr>
          <w:t>[16]</w:t>
        </w:r>
      </w:hyperlink>
    </w:p>
    <w:p w14:paraId="37B55040" w14:textId="77777777" w:rsidR="00271A1B" w:rsidRDefault="00000000" w:rsidP="00FE3442">
      <w:pPr>
        <w:pStyle w:val="BodyText"/>
        <w:jc w:val="both"/>
      </w:pPr>
      <w:r>
        <w:rPr>
          <w:b/>
          <w:bCs/>
        </w:rPr>
        <w:t>Papale et al. 2006</w:t>
      </w:r>
      <w:r>
        <w:t xml:space="preserve"> menstandarkan proses koreksi NEE dan secara eksplisit menekankan bahwa ketidakpastian dari berbagai langkah koreksi bersifat penting dan sering aditif, dengan </w:t>
      </w:r>
      <w:r>
        <w:rPr>
          <w:b/>
          <w:bCs/>
        </w:rPr>
        <w:t>u*</w:t>
      </w:r>
      <w:r>
        <w:t xml:space="preserve">-correction menjadi salah satu sumber ketidakpastian terbesar. Paper ini sangat berguna untuk justifikasi teknis ketika Anda nanti menjelaskan preprocessing pada notebook atau laporan skripsi. Di konteks CCI, kontribusinya bukan definisi indeks, melainkan memastikan bahwa flux yang Anda agregasi menjadi annual uptake atau seasonal index sudah melewati prosedur yang dapat dipertanggungjawabkan. Jika Anda membandingkan Random Forest vs XGBoost untuk memprediksi flux, referensi ini membantu menjelaskan mengapa kualitas target flux sama pentingnya dengan kualitas model. </w:t>
      </w:r>
      <w:hyperlink r:id="rId21">
        <w:r>
          <w:rPr>
            <w:rStyle w:val="Hyperlink"/>
          </w:rPr>
          <w:t>[17]</w:t>
        </w:r>
      </w:hyperlink>
    </w:p>
    <w:p w14:paraId="41D472B4" w14:textId="77777777" w:rsidR="00271A1B" w:rsidRDefault="00000000" w:rsidP="00FE3442">
      <w:pPr>
        <w:pStyle w:val="BodyText"/>
        <w:jc w:val="both"/>
      </w:pPr>
      <w:r>
        <w:rPr>
          <w:b/>
          <w:bCs/>
        </w:rPr>
        <w:t>Reichstein et al. 2005</w:t>
      </w:r>
      <w:r>
        <w:t xml:space="preserve"> adalah paper kunci untuk memisahkan </w:t>
      </w:r>
      <w:r>
        <w:rPr>
          <w:b/>
          <w:bCs/>
        </w:rPr>
        <w:t>NEE</w:t>
      </w:r>
      <w:r>
        <w:t xml:space="preserve"> menjadi </w:t>
      </w:r>
      <w:r>
        <w:rPr>
          <w:b/>
          <w:bCs/>
        </w:rPr>
        <w:t>GPP</w:t>
      </w:r>
      <w:r>
        <w:t xml:space="preserve"> dan </w:t>
      </w:r>
      <w:r>
        <w:rPr>
          <w:b/>
          <w:bCs/>
        </w:rPr>
        <w:t>ecosystem respiration</w:t>
      </w:r>
      <w:r>
        <w:t xml:space="preserve">. Nilai praktisnya besar bila Anda tidak ingin CCI dihitung hanya dari total net exchange tahunan, tetapi juga dari karakter “seberapa kuat uptake” versus “seberapa kuat respiration” suatu lokasi. Secara metodologis, paper ini mendasari pendekatan nighttime-based partitioning yang juga dipakai dalam produk FLUXNET/REddyProc. Dalam proyek Anda, ini dapat dipakai untuk membangun CCI berbasis komponen, misalnya dengan memberi bobot lebih pada GPP tinggi yang disertai respiration yang lebih stabil. </w:t>
      </w:r>
      <w:hyperlink r:id="rId22">
        <w:r>
          <w:rPr>
            <w:rStyle w:val="Hyperlink"/>
          </w:rPr>
          <w:t>[18]</w:t>
        </w:r>
      </w:hyperlink>
    </w:p>
    <w:p w14:paraId="0E4139DC" w14:textId="77777777" w:rsidR="00271A1B" w:rsidRDefault="00000000" w:rsidP="00FE3442">
      <w:pPr>
        <w:pStyle w:val="BodyText"/>
        <w:jc w:val="both"/>
      </w:pPr>
      <w:r>
        <w:rPr>
          <w:b/>
          <w:bCs/>
        </w:rPr>
        <w:t>Baldocchi 2003</w:t>
      </w:r>
      <w:r>
        <w:t xml:space="preserve"> memberi konteks konseptual yang lebih luas tentang kekuatan dan keterbatasan teknik eddy covariance. Intinya, teknik ini sangat kuat untuk mengukur pertukaran CO₂ secara kontinu pada skala ekosistem, tetapi ketelitiannya dipengaruhi oleh homogenitas permukaan, keadaan atmosfer, storage, divergence, advection, dan ketersediaan data jangka panjang. Untuk proyek Anda, paper ini cocok dipakai saat membahas </w:t>
      </w:r>
      <w:r>
        <w:rPr>
          <w:b/>
          <w:bCs/>
        </w:rPr>
        <w:t>apa yang sebenarnya diukur oleh flux tower</w:t>
      </w:r>
      <w:r>
        <w:t xml:space="preserve"> dan mengapa annual NEE bukan persis sama dengan “karbon yang tersimpan permanen” dalam arti neraca bioma penuh. Ini penting agar definisi CCI Anda tidak terlalu overclaim. </w:t>
      </w:r>
      <w:hyperlink r:id="rId23">
        <w:r>
          <w:rPr>
            <w:rStyle w:val="Hyperlink"/>
          </w:rPr>
          <w:t>[19]</w:t>
        </w:r>
      </w:hyperlink>
    </w:p>
    <w:p w14:paraId="775577EC" w14:textId="77777777" w:rsidR="00271A1B" w:rsidRDefault="00000000" w:rsidP="00FE3442">
      <w:pPr>
        <w:pStyle w:val="BodyText"/>
        <w:jc w:val="both"/>
      </w:pPr>
      <w:r>
        <w:rPr>
          <w:b/>
          <w:bCs/>
        </w:rPr>
        <w:t>Poggio et al. 2021</w:t>
      </w:r>
      <w:r>
        <w:t xml:space="preserve"> menjelaskan bahwa SoilGrids 2.0 memproduksi peta global sifat tanah pada resolusi 250 m dengan machine learning dan ketidakpastian spasial terkuantifikasi. Bagi proyek Anda, fungsi utamanya adalah menyediakan </w:t>
      </w:r>
      <w:r>
        <w:rPr>
          <w:b/>
          <w:bCs/>
        </w:rPr>
        <w:t>covariate statis</w:t>
      </w:r>
      <w:r>
        <w:t xml:space="preserve"> seperti </w:t>
      </w:r>
      <w:r>
        <w:rPr>
          <w:b/>
          <w:bCs/>
        </w:rPr>
        <w:t>SOC</w:t>
      </w:r>
      <w:r>
        <w:t xml:space="preserve">, </w:t>
      </w:r>
      <w:r>
        <w:rPr>
          <w:b/>
          <w:bCs/>
        </w:rPr>
        <w:t>pH</w:t>
      </w:r>
      <w:r>
        <w:t xml:space="preserve">, </w:t>
      </w:r>
      <w:r>
        <w:rPr>
          <w:b/>
          <w:bCs/>
        </w:rPr>
        <w:t>bulk density</w:t>
      </w:r>
      <w:r>
        <w:t xml:space="preserve">, dan </w:t>
      </w:r>
      <w:r>
        <w:rPr>
          <w:b/>
          <w:bCs/>
        </w:rPr>
        <w:t>texture</w:t>
      </w:r>
      <w:r>
        <w:t xml:space="preserve"> untuk melengkapi sinyal flux. Paper ini tidak membahas CCI </w:t>
      </w:r>
      <w:r>
        <w:lastRenderedPageBreak/>
        <w:t xml:space="preserve">secara langsung, tetapi sangat cocok untuk mendefinisikan “kapasitas latar” tanah yang dapat mendukung atau membatasi sequestration jangka panjang. Karena SoilGrids punya depth intervals standar dan uncertainty layers, ia juga membantu saat Anda ingin memberi interval kepercayaan atau bobot reliabilitas pada CCI. </w:t>
      </w:r>
      <w:hyperlink r:id="rId24">
        <w:r>
          <w:rPr>
            <w:rStyle w:val="Hyperlink"/>
          </w:rPr>
          <w:t>[20]</w:t>
        </w:r>
      </w:hyperlink>
    </w:p>
    <w:p w14:paraId="24E6921F" w14:textId="77777777" w:rsidR="00271A1B" w:rsidRDefault="00000000" w:rsidP="00FE3442">
      <w:pPr>
        <w:pStyle w:val="BodyText"/>
        <w:jc w:val="both"/>
      </w:pPr>
      <w:r>
        <w:rPr>
          <w:b/>
          <w:bCs/>
        </w:rPr>
        <w:t>Batjes et al. 2024</w:t>
      </w:r>
      <w:r>
        <w:t xml:space="preserve"> memperjelas peran </w:t>
      </w:r>
      <w:r>
        <w:rPr>
          <w:b/>
          <w:bCs/>
        </w:rPr>
        <w:t>WoSIS</w:t>
      </w:r>
      <w:r>
        <w:t xml:space="preserve"> sebagai basis profil tanah yang telah dinilai kualitasnya dan distandardisasi untuk pemetaan serta pemodelan global. Dibanding SoilGrids yang berbentuk peta prediktif, WoSIS lebih dekat ke </w:t>
      </w:r>
      <w:r>
        <w:rPr>
          <w:b/>
          <w:bCs/>
        </w:rPr>
        <w:t>observasi profil tanah</w:t>
      </w:r>
      <w:r>
        <w:t xml:space="preserve"> yang menjadi bahan baku untuk pemetaan tersebut. Dalam proyek Anda, WoSIS berguna jika Anda ingin mengambil nilai SOC atau pH yang lebih “profile-based” per lokasi, atau memeriksa apakah nilai SoilGrids setempat masuk akal. Untuk CCI komposit, WoSIS paling tepat dipakai sebagai sumber verifikasi atau atribut statis per tapak, bukan sebagai time-series. </w:t>
      </w:r>
      <w:hyperlink r:id="rId25">
        <w:r>
          <w:rPr>
            <w:rStyle w:val="Hyperlink"/>
          </w:rPr>
          <w:t>[21]</w:t>
        </w:r>
      </w:hyperlink>
    </w:p>
    <w:p w14:paraId="3C806CA1" w14:textId="77777777" w:rsidR="00271A1B" w:rsidRDefault="00000000" w:rsidP="00FE3442">
      <w:pPr>
        <w:pStyle w:val="BodyText"/>
        <w:jc w:val="both"/>
      </w:pPr>
      <w:r>
        <w:rPr>
          <w:b/>
          <w:bCs/>
        </w:rPr>
        <w:t>Guo et al. 2020</w:t>
      </w:r>
      <w:r>
        <w:t xml:space="preserve"> adalah salah satu sumber yang benar-benar memakai istilah </w:t>
      </w:r>
      <w:r>
        <w:rPr>
          <w:b/>
          <w:bCs/>
        </w:rPr>
        <w:t>Carbon Capture Index (CCI)</w:t>
      </w:r>
      <w:r>
        <w:t xml:space="preserve">. Dalam studi itu, perubahan lingkungan bangunan mengubah distribusi radiasi siang hari dan selanjutnya memengaruhi carbon capture vegetasi; studi tersebut menunjukkan bahwa CCI zona pohon lebih tinggi daripada semak dan grassland. Kegunaan utamanya untuk Anda adalah menunjukkan bahwa di literatur, CCI sering dipakai sebagai </w:t>
      </w:r>
      <w:r>
        <w:rPr>
          <w:b/>
          <w:bCs/>
        </w:rPr>
        <w:t>skor relatif dan problem-specific</w:t>
      </w:r>
      <w:r>
        <w:t xml:space="preserve">, bukan metrik universal yang identik di semua domain. Paper ini cocok dijadikan pembanding konseptual saat Anda menyusun CCI untuk lahan/ekosistem, tetapi formulanya tidak bisa diadopsi mentah-mentah tanpa menyesuaikan konteks proyek Anda. </w:t>
      </w:r>
      <w:hyperlink r:id="rId26">
        <w:r>
          <w:rPr>
            <w:rStyle w:val="Hyperlink"/>
          </w:rPr>
          <w:t>[22]</w:t>
        </w:r>
      </w:hyperlink>
    </w:p>
    <w:p w14:paraId="25D42D43" w14:textId="77777777" w:rsidR="00271A1B" w:rsidRDefault="00000000" w:rsidP="00FE3442">
      <w:pPr>
        <w:pStyle w:val="BodyText"/>
        <w:jc w:val="both"/>
      </w:pPr>
      <w:r>
        <w:rPr>
          <w:b/>
          <w:bCs/>
        </w:rPr>
        <w:t>Parida et al. 2022</w:t>
      </w:r>
      <w:r>
        <w:t xml:space="preserve"> menggunakan </w:t>
      </w:r>
      <w:r>
        <w:rPr>
          <w:b/>
          <w:bCs/>
        </w:rPr>
        <w:t>Carbon Sequestration Index (CSI)</w:t>
      </w:r>
      <w:r>
        <w:t xml:space="preserve"> untuk menilai potensi greenbelt melalui pengukuran DBH, tinggi, serta estimasi biomassa above- dan below-ground. Paper ini penting karena menunjukkan satu keluarga definisi CSI yang dekat dengan pertanyaan praktis: “apakah vegetasi yang ada cukup untuk menetralkan beban emisi tertentu?”. Untuk proyek Anda, paper ini cocok bila CCI/CSI ingin diposisikan sebagai </w:t>
      </w:r>
      <w:r>
        <w:rPr>
          <w:b/>
          <w:bCs/>
        </w:rPr>
        <w:t>offset-style indicator</w:t>
      </w:r>
      <w:r>
        <w:t xml:space="preserve">, bukan sekadar skor produktivitas ekologis. Keterbatasannya, CSI di sini lebih berbasis biomassa/stock daripada flux tower, sehingga perlu jembatan metodologis bila Anda ingin menjadikannya turunan dari NEE. </w:t>
      </w:r>
      <w:hyperlink r:id="rId27">
        <w:r>
          <w:rPr>
            <w:rStyle w:val="Hyperlink"/>
          </w:rPr>
          <w:t>[23]</w:t>
        </w:r>
      </w:hyperlink>
    </w:p>
    <w:p w14:paraId="57D935D6" w14:textId="77777777" w:rsidR="00271A1B" w:rsidRDefault="00000000" w:rsidP="00FE3442">
      <w:pPr>
        <w:pStyle w:val="BodyText"/>
        <w:jc w:val="both"/>
      </w:pPr>
      <w:r>
        <w:rPr>
          <w:b/>
          <w:bCs/>
        </w:rPr>
        <w:t>Pascual et al. 2021</w:t>
      </w:r>
      <w:r>
        <w:t xml:space="preserve"> mengembangkan </w:t>
      </w:r>
      <w:r>
        <w:rPr>
          <w:b/>
          <w:bCs/>
        </w:rPr>
        <w:t>CSPI</w:t>
      </w:r>
      <w:r>
        <w:t xml:space="preserve"> dengan menggabungkan </w:t>
      </w:r>
      <w:r>
        <w:rPr>
          <w:b/>
          <w:bCs/>
        </w:rPr>
        <w:t>GPP</w:t>
      </w:r>
      <w:r>
        <w:t xml:space="preserve">, </w:t>
      </w:r>
      <w:r>
        <w:rPr>
          <w:b/>
          <w:bCs/>
        </w:rPr>
        <w:t>aboveground carbon density (ACD)</w:t>
      </w:r>
      <w:r>
        <w:t xml:space="preserve">, dan </w:t>
      </w:r>
      <w:r>
        <w:rPr>
          <w:b/>
          <w:bCs/>
        </w:rPr>
        <w:t>forest cover (FC)</w:t>
      </w:r>
      <w:r>
        <w:t xml:space="preserve"> untuk mendukung pengambilan keputusan pengelolaan karbon lahan. Ini sangat relevan untuk proyek Anda karena menunjukkan cara menggabungkan </w:t>
      </w:r>
      <w:r>
        <w:rPr>
          <w:b/>
          <w:bCs/>
        </w:rPr>
        <w:t>flux-like productivity metric</w:t>
      </w:r>
      <w:r>
        <w:t xml:space="preserve"> dengan </w:t>
      </w:r>
      <w:r>
        <w:rPr>
          <w:b/>
          <w:bCs/>
        </w:rPr>
        <w:t>stock metric</w:t>
      </w:r>
      <w:r>
        <w:t xml:space="preserve"> dan </w:t>
      </w:r>
      <w:r>
        <w:rPr>
          <w:b/>
          <w:bCs/>
        </w:rPr>
        <w:t>land-cover opportunity</w:t>
      </w:r>
      <w:r>
        <w:t xml:space="preserve"> dalam satu indeks. Walau tidak berbasis flux tower mentah per se, CSPI adalah contoh terbaik bagaimana output flux yang telah di-upscale atau diprediksi bisa ditransformasikan menjadi indeks keputusan. Jika Anda ingin CCI yang tidak hanya memberi tahu “sink sekarang” tetapi juga “potensi tambahan ke depan”, paper ini sangat layak dijadikan template. </w:t>
      </w:r>
      <w:hyperlink r:id="rId28">
        <w:r>
          <w:rPr>
            <w:rStyle w:val="Hyperlink"/>
          </w:rPr>
          <w:t>[24]</w:t>
        </w:r>
      </w:hyperlink>
    </w:p>
    <w:p w14:paraId="42F32C0F" w14:textId="77777777" w:rsidR="00271A1B" w:rsidRDefault="00000000" w:rsidP="00FE3442">
      <w:pPr>
        <w:pStyle w:val="BodyText"/>
        <w:jc w:val="both"/>
      </w:pPr>
      <w:r>
        <w:rPr>
          <w:b/>
          <w:bCs/>
        </w:rPr>
        <w:t>Dian et al. 2024</w:t>
      </w:r>
      <w:r>
        <w:t xml:space="preserve"> mengusulkan </w:t>
      </w:r>
      <w:r>
        <w:rPr>
          <w:b/>
          <w:bCs/>
        </w:rPr>
        <w:t>FCSPI</w:t>
      </w:r>
      <w:r>
        <w:t xml:space="preserve"> sebagai </w:t>
      </w:r>
      <w:r>
        <w:rPr>
          <w:i/>
          <w:iCs/>
        </w:rPr>
        <w:t>fractional deficiency of current forest carbon to its maximum level</w:t>
      </w:r>
      <w:r>
        <w:t xml:space="preserve">. Kelebihan besar paper ini adalah ia memberi kerangka yang sangat jelas untuk indeks </w:t>
      </w:r>
      <w:r>
        <w:rPr>
          <w:b/>
          <w:bCs/>
        </w:rPr>
        <w:t>potensi</w:t>
      </w:r>
      <w:r>
        <w:t xml:space="preserve">, bukan hanya kinerja saat ini: lokasi dengan stok karbon </w:t>
      </w:r>
      <w:r>
        <w:lastRenderedPageBreak/>
        <w:t xml:space="preserve">sekarang jauh dari level maksimumnya berarti masih memiliki headroom sequestration yang besar. Untuk proyek Anda, ini bisa diterjemahkan menjadi CCI yang membedakan antara lokasi yang “sudah sink kuat saat ini” dan lokasi yang “masih punya kapasitas sink tinggi di masa depan”. Jika Anda ingin CCI yang berguna untuk prioritisasi lokasi restorasi atau manajemen, FCSPI adalah salah satu referensi paling actionable. </w:t>
      </w:r>
      <w:hyperlink r:id="rId29">
        <w:r>
          <w:rPr>
            <w:rStyle w:val="Hyperlink"/>
          </w:rPr>
          <w:t>[25]</w:t>
        </w:r>
      </w:hyperlink>
    </w:p>
    <w:p w14:paraId="05EE02B6" w14:textId="77777777" w:rsidR="00271A1B" w:rsidRDefault="00000000" w:rsidP="00FE3442">
      <w:pPr>
        <w:pStyle w:val="BodyText"/>
        <w:jc w:val="both"/>
      </w:pPr>
      <w:r>
        <w:rPr>
          <w:b/>
          <w:bCs/>
        </w:rPr>
        <w:t>Fu et al. 2019</w:t>
      </w:r>
      <w:r>
        <w:t xml:space="preserve"> adalah paper yang paling dekat dengan sasaran Anda bila ingin menghitung CCI dari output </w:t>
      </w:r>
      <w:r>
        <w:rPr>
          <w:rStyle w:val="VerbatimChar"/>
        </w:rPr>
        <w:t>carbon_flux</w:t>
      </w:r>
      <w:r>
        <w:t xml:space="preserve">. Paper ini menunjukkan bahwa annual NEE dapat diuraikan menjadi indikator fisiologis dan fenologis seperti </w:t>
      </w:r>
      <w:r>
        <w:rPr>
          <w:b/>
          <w:bCs/>
        </w:rPr>
        <w:t>maximum carbon uptake (MCU)</w:t>
      </w:r>
      <w:r>
        <w:t xml:space="preserve">, </w:t>
      </w:r>
      <w:r>
        <w:rPr>
          <w:b/>
          <w:bCs/>
        </w:rPr>
        <w:t>maximum carbon release (MCR)</w:t>
      </w:r>
      <w:r>
        <w:t xml:space="preserve">, </w:t>
      </w:r>
      <w:r>
        <w:rPr>
          <w:b/>
          <w:bCs/>
        </w:rPr>
        <w:t>carbon uptake period (CUP)</w:t>
      </w:r>
      <w:r>
        <w:t xml:space="preserve">, serta rasio </w:t>
      </w:r>
      <w:r>
        <w:rPr>
          <w:b/>
          <w:bCs/>
        </w:rPr>
        <w:t>α</w:t>
      </w:r>
      <w:r>
        <w:t xml:space="preserve"> dan </w:t>
      </w:r>
      <w:r>
        <w:rPr>
          <w:b/>
          <w:bCs/>
        </w:rPr>
        <w:t>β</w:t>
      </w:r>
      <w:r>
        <w:t xml:space="preserve"> untuk sink/source aktual terhadap sink/source hipotetik. Dengan kata lain, paper ini menyediakan jembatan yang sangat kuat dari </w:t>
      </w:r>
      <w:r>
        <w:rPr>
          <w:b/>
          <w:bCs/>
        </w:rPr>
        <w:t>flux time-series</w:t>
      </w:r>
      <w:r>
        <w:t xml:space="preserve"> ke </w:t>
      </w:r>
      <w:r>
        <w:rPr>
          <w:b/>
          <w:bCs/>
        </w:rPr>
        <w:t>indikator terstruktur</w:t>
      </w:r>
      <w:r>
        <w:t xml:space="preserve"> yang kemudian bisa dinormalisasi menjadi CCI. Untuk proyek Anda, inilah referensi paling kuat jika Anda ingin CCI yang benar-benar “lahir dari flux”. </w:t>
      </w:r>
      <w:hyperlink r:id="rId30">
        <w:r>
          <w:rPr>
            <w:rStyle w:val="Hyperlink"/>
          </w:rPr>
          <w:t>[26]</w:t>
        </w:r>
      </w:hyperlink>
    </w:p>
    <w:p w14:paraId="16EAA9A1" w14:textId="77777777" w:rsidR="00271A1B" w:rsidRDefault="00000000" w:rsidP="00FE3442">
      <w:pPr>
        <w:pStyle w:val="Heading2"/>
        <w:jc w:val="both"/>
      </w:pPr>
      <w:bookmarkStart w:id="6" w:name="X809efe3fa7c265b1e697cfea4003acd570c153c"/>
      <w:bookmarkEnd w:id="5"/>
      <w:r>
        <w:t>Formulasi CCI dan CSI dari flux serta data pendukung</w:t>
      </w:r>
    </w:p>
    <w:p w14:paraId="437A5117" w14:textId="77777777" w:rsidR="00271A1B" w:rsidRDefault="00000000" w:rsidP="00FE3442">
      <w:pPr>
        <w:pStyle w:val="FirstParagraph"/>
        <w:jc w:val="both"/>
      </w:pPr>
      <w:r>
        <w:t xml:space="preserve">Literatur menunjukkan bahwa CCI/CSI merupakan keluarga indeks yang </w:t>
      </w:r>
      <w:r>
        <w:rPr>
          <w:b/>
          <w:bCs/>
        </w:rPr>
        <w:t>beragam</w:t>
      </w:r>
      <w:r>
        <w:t xml:space="preserve">, bukan satu rumus tunggal. Karena itu, cara terbaik untuk proyek Anda adalah memilih definisi yang paling konsisten dengan tujuan analisis: apakah Anda ingin mengukur </w:t>
      </w:r>
      <w:r>
        <w:rPr>
          <w:b/>
          <w:bCs/>
        </w:rPr>
        <w:t>kinerja tangkap karbon saat ini</w:t>
      </w:r>
      <w:r>
        <w:t xml:space="preserve">, </w:t>
      </w:r>
      <w:r>
        <w:rPr>
          <w:b/>
          <w:bCs/>
        </w:rPr>
        <w:t>kemampuan offset terhadap emisi</w:t>
      </w:r>
      <w:r>
        <w:t xml:space="preserve">, atau </w:t>
      </w:r>
      <w:r>
        <w:rPr>
          <w:b/>
          <w:bCs/>
        </w:rPr>
        <w:t>potensi sequestration masa depan</w:t>
      </w:r>
      <w:r>
        <w:t xml:space="preserve">. </w:t>
      </w:r>
      <w:hyperlink r:id="rId31">
        <w:r>
          <w:rPr>
            <w:rStyle w:val="Hyperlink"/>
          </w:rPr>
          <w:t>[27]</w:t>
        </w:r>
      </w:hyperlink>
    </w:p>
    <w:p w14:paraId="4685C3C2" w14:textId="77777777" w:rsidR="00271A1B" w:rsidRDefault="00000000" w:rsidP="00FE3442">
      <w:pPr>
        <w:pStyle w:val="BodyText"/>
        <w:jc w:val="both"/>
      </w:pPr>
      <w:r>
        <w:t xml:space="preserve">Pendekatan pertama adalah </w:t>
      </w:r>
      <w:r>
        <w:rPr>
          <w:b/>
          <w:bCs/>
        </w:rPr>
        <w:t>rasio sequestration terhadap emisi</w:t>
      </w:r>
      <w:r>
        <w:t xml:space="preserve">, yang paling jelas terlihat pada keluarga studi </w:t>
      </w:r>
      <w:r>
        <w:rPr>
          <w:b/>
          <w:bCs/>
        </w:rPr>
        <w:t>CSI</w:t>
      </w:r>
      <w:r>
        <w:t xml:space="preserve"> seperti studi </w:t>
      </w:r>
      <w:r>
        <w:rPr>
          <w:b/>
          <w:bCs/>
        </w:rPr>
        <w:t>Bintan Island</w:t>
      </w:r>
      <w:r>
        <w:t xml:space="preserve"> dan studi median-strip di Baghdad. Bentuk umumnya bisa ditulis sebagai:</w:t>
      </w:r>
    </w:p>
    <w:p w14:paraId="14B3D29B" w14:textId="77777777" w:rsidR="00271A1B" w:rsidRDefault="00000000" w:rsidP="00FE3442">
      <w:pPr>
        <w:pStyle w:val="BodyText"/>
        <w:jc w:val="both"/>
      </w:pPr>
      <m:oMathPara>
        <m:oMathParaPr>
          <m:jc m:val="center"/>
        </m:oMathParaPr>
        <m:oMath>
          <m:sSub>
            <m:sSubPr>
              <m:ctrlPr>
                <w:rPr>
                  <w:rFonts w:ascii="Cambria Math" w:hAnsi="Cambria Math"/>
                </w:rPr>
              </m:ctrlPr>
            </m:sSubPr>
            <m:e>
              <m:r>
                <m:rPr>
                  <m:sty m:val="p"/>
                </m:rPr>
                <w:rPr>
                  <w:rFonts w:ascii="Cambria Math" w:hAnsi="Cambria Math"/>
                </w:rPr>
                <m:t>CSI</m:t>
              </m:r>
            </m:e>
            <m:sub>
              <m:r>
                <m:rPr>
                  <m:nor/>
                </m:rPr>
                <m:t>offset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E</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den>
          </m:f>
        </m:oMath>
      </m:oMathPara>
    </w:p>
    <w:p w14:paraId="51A331B7" w14:textId="77777777" w:rsidR="00271A1B" w:rsidRDefault="00000000" w:rsidP="00FE3442">
      <w:pPr>
        <w:pStyle w:val="FirstParagraph"/>
        <w:jc w:val="both"/>
      </w:pPr>
      <w:r>
        <w:t xml:space="preserve">dengan </w:t>
      </w:r>
      <m:oMath>
        <m:sSub>
          <m:sSubPr>
            <m:ctrlPr>
              <w:rPr>
                <w:rFonts w:ascii="Cambria Math" w:hAnsi="Cambria Math"/>
              </w:rPr>
            </m:ctrlPr>
          </m:sSubPr>
          <m:e>
            <m:r>
              <w:rPr>
                <w:rFonts w:ascii="Cambria Math" w:hAnsi="Cambria Math"/>
              </w:rPr>
              <m:t>S</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t xml:space="preserve"> = total karbon yang disekuestrasi per tahun dalam satuan </w:t>
      </w:r>
      <w:r>
        <w:rPr>
          <w:b/>
          <w:bCs/>
        </w:rPr>
        <w:t>tCO₂ tahun⁻¹</w:t>
      </w:r>
      <w:r>
        <w:t xml:space="preserve"> atau </w:t>
      </w:r>
      <w:r>
        <w:rPr>
          <w:b/>
          <w:bCs/>
        </w:rPr>
        <w:t>kgCO₂ tahun⁻¹</w:t>
      </w:r>
      <w:r>
        <w:t xml:space="preserve">, dan </w:t>
      </w:r>
      <m:oMath>
        <m:sSub>
          <m:sSubPr>
            <m:ctrlPr>
              <w:rPr>
                <w:rFonts w:ascii="Cambria Math" w:hAnsi="Cambria Math"/>
              </w:rPr>
            </m:ctrlPr>
          </m:sSubPr>
          <m:e>
            <m:r>
              <w:rPr>
                <w:rFonts w:ascii="Cambria Math" w:hAnsi="Cambria Math"/>
              </w:rPr>
              <m:t>E</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t xml:space="preserve"> = total emisi yang ingin di-offset pada satuan yang sama. Nilai </w:t>
      </w:r>
      <w:r>
        <w:rPr>
          <w:b/>
          <w:bCs/>
        </w:rPr>
        <w:t>CSI &gt; 1</w:t>
      </w:r>
      <w:r>
        <w:t xml:space="preserve"> berarti kapasitas sequestration melebihi emisi yang ditargetkan; </w:t>
      </w:r>
      <w:r>
        <w:rPr>
          <w:b/>
          <w:bCs/>
        </w:rPr>
        <w:t>CSI &lt; 1</w:t>
      </w:r>
      <w:r>
        <w:t xml:space="preserve"> berarti belum cukup. Ini sangat cocok bila proyek Anda ingin menghasilkan “skor kecukupan penyerapan” terhadap sumber emisi tertentu. </w:t>
      </w:r>
      <w:hyperlink r:id="rId32">
        <w:r>
          <w:rPr>
            <w:rStyle w:val="Hyperlink"/>
          </w:rPr>
          <w:t>[28]</w:t>
        </w:r>
      </w:hyperlink>
    </w:p>
    <w:p w14:paraId="7CB7162A" w14:textId="77777777" w:rsidR="00271A1B" w:rsidRDefault="00000000" w:rsidP="00FE3442">
      <w:pPr>
        <w:pStyle w:val="BodyText"/>
        <w:jc w:val="both"/>
      </w:pPr>
      <w:r>
        <w:t xml:space="preserve">Pendekatan kedua adalah </w:t>
      </w:r>
      <w:r>
        <w:rPr>
          <w:b/>
          <w:bCs/>
        </w:rPr>
        <w:t>indeks potensi/headroom</w:t>
      </w:r>
      <w:r>
        <w:t xml:space="preserve">, seperti yang tersirat pada </w:t>
      </w:r>
      <w:r>
        <w:rPr>
          <w:b/>
          <w:bCs/>
        </w:rPr>
        <w:t>FCSPI</w:t>
      </w:r>
      <w:r>
        <w:t>. Bentuk yang paling konsisten dengan definisi “fractional deficiency of current forest carbon to its maximum level” adalah:</w:t>
      </w:r>
    </w:p>
    <w:p w14:paraId="16DA3D8D" w14:textId="77777777" w:rsidR="00271A1B" w:rsidRDefault="00000000" w:rsidP="00FE3442">
      <w:pPr>
        <w:pStyle w:val="BodyText"/>
        <w:jc w:val="both"/>
      </w:pPr>
      <m:oMathPara>
        <m:oMathParaPr>
          <m:jc m:val="center"/>
        </m:oMathParaPr>
        <m:oMath>
          <m:r>
            <m:rPr>
              <m:sty m:val="p"/>
            </m:rPr>
            <w:rPr>
              <w:rFonts w:ascii="Cambria Math" w:hAnsi="Cambria Math"/>
            </w:rPr>
            <m:t>FCSPI=</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cur</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max</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cur</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max</m:t>
                  </m:r>
                </m:sub>
              </m:sSub>
            </m:den>
          </m:f>
        </m:oMath>
      </m:oMathPara>
    </w:p>
    <w:p w14:paraId="4D77FA1A" w14:textId="77777777" w:rsidR="00271A1B" w:rsidRDefault="00000000" w:rsidP="00FE3442">
      <w:pPr>
        <w:pStyle w:val="FirstParagraph"/>
        <w:jc w:val="both"/>
      </w:pPr>
      <w:r>
        <w:t xml:space="preserve">dengan </w:t>
      </w:r>
      <m:oMath>
        <m:sSub>
          <m:sSubPr>
            <m:ctrlPr>
              <w:rPr>
                <w:rFonts w:ascii="Cambria Math" w:hAnsi="Cambria Math"/>
              </w:rPr>
            </m:ctrlPr>
          </m:sSubPr>
          <m:e>
            <m:r>
              <w:rPr>
                <w:rFonts w:ascii="Cambria Math" w:hAnsi="Cambria Math"/>
              </w:rPr>
              <m:t>C</m:t>
            </m:r>
          </m:e>
          <m:sub>
            <m:r>
              <m:rPr>
                <m:sty m:val="p"/>
              </m:rPr>
              <w:rPr>
                <w:rFonts w:ascii="Cambria Math" w:hAnsi="Cambria Math"/>
              </w:rPr>
              <m:t>cur</m:t>
            </m:r>
          </m:sub>
        </m:sSub>
      </m:oMath>
      <w:r>
        <w:t xml:space="preserve"> = stok karbon saat ini dan </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t xml:space="preserve"> = stok karbon maksimumnya, umumnya pada satuan </w:t>
      </w:r>
      <w:r>
        <w:rPr>
          <w:b/>
          <w:bCs/>
        </w:rPr>
        <w:t>Mg C ha⁻¹</w:t>
      </w:r>
      <w:r>
        <w:t xml:space="preserve">. Nilai yang besar berarti lokasi tersebut masih punya ruang peningkatan sink yang besar; nilai mendekati nol berarti stok karbon sudah mendekati level </w:t>
      </w:r>
      <w:r>
        <w:lastRenderedPageBreak/>
        <w:t xml:space="preserve">maksimumnya. Ini cocok bila Anda ingin CCI untuk </w:t>
      </w:r>
      <w:r>
        <w:rPr>
          <w:b/>
          <w:bCs/>
        </w:rPr>
        <w:t>prioritas restorasi</w:t>
      </w:r>
      <w:r>
        <w:t xml:space="preserve"> atau </w:t>
      </w:r>
      <w:r>
        <w:rPr>
          <w:b/>
          <w:bCs/>
        </w:rPr>
        <w:t>manajemen lahan</w:t>
      </w:r>
      <w:r>
        <w:t xml:space="preserve">. </w:t>
      </w:r>
      <w:hyperlink r:id="rId33">
        <w:r>
          <w:rPr>
            <w:rStyle w:val="Hyperlink"/>
          </w:rPr>
          <w:t>[25]</w:t>
        </w:r>
      </w:hyperlink>
    </w:p>
    <w:p w14:paraId="0EC293E9" w14:textId="77777777" w:rsidR="00271A1B" w:rsidRDefault="00000000" w:rsidP="00FE3442">
      <w:pPr>
        <w:pStyle w:val="BodyText"/>
        <w:jc w:val="both"/>
      </w:pPr>
      <w:r>
        <w:t xml:space="preserve">Pendekatan ketiga adalah </w:t>
      </w:r>
      <w:r>
        <w:rPr>
          <w:b/>
          <w:bCs/>
        </w:rPr>
        <w:t>CCI berbasis flux aktual</w:t>
      </w:r>
      <w:r>
        <w:t xml:space="preserve">, yang sangat cocok untuk proyek Anda. Jika sign convention mengikuti atmosfer—yakni </w:t>
      </w:r>
      <w:r>
        <w:rPr>
          <w:b/>
          <w:bCs/>
        </w:rPr>
        <w:t>NEE negatif = uptake oleh ekosistem</w:t>
      </w:r>
      <w:r>
        <w:t>—maka annual net uptake dapat didefinisikan sebagai:</w:t>
      </w:r>
    </w:p>
    <w:p w14:paraId="59B10AAA" w14:textId="77777777" w:rsidR="00271A1B" w:rsidRDefault="00000000" w:rsidP="00FE3442">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m:rPr>
                  <m:nor/>
                </m:rPr>
                <m:t>annual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m:rPr>
                      <m:sty m:val="p"/>
                    </m:rPr>
                    <w:rPr>
                      <w:rFonts w:ascii="Cambria Math" w:hAnsi="Cambria Math"/>
                    </w:rPr>
                    <m:t>NEE</m:t>
                  </m:r>
                </m:e>
                <m:sub>
                  <m:r>
                    <w:rPr>
                      <w:rFonts w:ascii="Cambria Math" w:hAnsi="Cambria Math"/>
                    </w:rPr>
                    <m:t>t</m:t>
                  </m:r>
                </m:sub>
              </m:sSub>
            </m:e>
          </m:nary>
          <m:r>
            <w:rPr>
              <w:rFonts w:ascii="Cambria Math" w:hAnsi="Cambria Math"/>
            </w:rPr>
            <m:t>Δt</m:t>
          </m:r>
        </m:oMath>
      </m:oMathPara>
    </w:p>
    <w:p w14:paraId="77F2FE5C" w14:textId="77777777" w:rsidR="00271A1B" w:rsidRDefault="00000000" w:rsidP="00FE3442">
      <w:pPr>
        <w:pStyle w:val="FirstParagraph"/>
        <w:jc w:val="both"/>
      </w:pPr>
      <w:r>
        <w:t xml:space="preserve">setelah semua data diharmonisasi ke satuan yang konsisten. Jika input awal Anda sudah dalam </w:t>
      </w:r>
      <w:r>
        <w:rPr>
          <w:b/>
          <w:bCs/>
        </w:rPr>
        <w:t>g C m⁻² day⁻¹</w:t>
      </w:r>
      <w:r>
        <w:t xml:space="preserve">, maka </w:t>
      </w:r>
      <m:oMath>
        <m:r>
          <w:rPr>
            <w:rFonts w:ascii="Cambria Math" w:hAnsi="Cambria Math"/>
          </w:rPr>
          <m:t>Δt</m:t>
        </m:r>
      </m:oMath>
      <w:r>
        <w:t xml:space="preserve"> cukup 1 hari; jika masih half-hourly/hourly dalam </w:t>
      </w:r>
      <w:r>
        <w:rPr>
          <w:b/>
          <w:bCs/>
        </w:rPr>
        <w:t>µmolCO₂ m⁻² s⁻¹</w:t>
      </w:r>
      <w:r>
        <w:t>, lakukan konversi waktu dan molar terlebih dahulu. Sesudah itu, CCI komposit yang praktis untuk proyek Anda dapat ditulis sebagai:</w:t>
      </w:r>
    </w:p>
    <w:p w14:paraId="40151120" w14:textId="77777777" w:rsidR="00271A1B" w:rsidRDefault="00000000" w:rsidP="00FE3442">
      <w:pPr>
        <w:pStyle w:val="BodyText"/>
        <w:jc w:val="both"/>
      </w:pPr>
      <m:oMathPara>
        <m:oMathParaPr>
          <m:jc m:val="center"/>
        </m:oMathParaPr>
        <m:oMath>
          <m:sSub>
            <m:sSubPr>
              <m:ctrlPr>
                <w:rPr>
                  <w:rFonts w:ascii="Cambria Math" w:hAnsi="Cambria Math"/>
                </w:rPr>
              </m:ctrlPr>
            </m:sSubPr>
            <m:e>
              <m:r>
                <m:rPr>
                  <m:sty m:val="p"/>
                </m:rPr>
                <w:rPr>
                  <w:rFonts w:ascii="Cambria Math" w:hAnsi="Cambria Math"/>
                </w:rPr>
                <m:t>CCI</m:t>
              </m:r>
            </m:e>
            <m:sub>
              <m:r>
                <m:rPr>
                  <m:nor/>
                </m:rPr>
                <m:t>proj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r>
            <m:rPr>
              <m:sty m:val="p"/>
            </m:rP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annual</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SOC</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BiomassC</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Moisture/Stability</m:t>
              </m:r>
            </m:e>
          </m:d>
        </m:oMath>
      </m:oMathPara>
    </w:p>
    <w:p w14:paraId="033EBC4A" w14:textId="77777777" w:rsidR="00271A1B" w:rsidRDefault="00000000" w:rsidP="00FE3442">
      <w:pPr>
        <w:pStyle w:val="FirstParagraph"/>
        <w:jc w:val="both"/>
      </w:pPr>
      <w:r>
        <w:t xml:space="preserve">dengan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Ini bukan rumus baku dari satu paper, tetapi </w:t>
      </w:r>
      <w:r>
        <w:rPr>
          <w:b/>
          <w:bCs/>
        </w:rPr>
        <w:t>turunan yang konsisten</w:t>
      </w:r>
      <w:r>
        <w:t xml:space="preserve"> dengan penggunaan flux time-series dari FLUXNET/ONEFlux dan pemakaian SOC/soil properties sebagai covariate statis dari SoilGrids/WoSIS. </w:t>
      </w:r>
      <w:hyperlink r:id="rId34">
        <w:r>
          <w:rPr>
            <w:rStyle w:val="Hyperlink"/>
          </w:rPr>
          <w:t>[29]</w:t>
        </w:r>
      </w:hyperlink>
    </w:p>
    <w:p w14:paraId="18CA172F" w14:textId="77777777" w:rsidR="00271A1B" w:rsidRDefault="00000000" w:rsidP="00FE3442">
      <w:pPr>
        <w:pStyle w:val="BodyText"/>
        <w:jc w:val="both"/>
      </w:pPr>
      <w:r>
        <w:t xml:space="preserve">Pendekatan keempat adalah </w:t>
      </w:r>
      <w:r>
        <w:rPr>
          <w:b/>
          <w:bCs/>
        </w:rPr>
        <w:t>CCI musiman berbasis indikator flux</w:t>
      </w:r>
      <w:r>
        <w:t xml:space="preserve">, yang paling terinspirasi dari </w:t>
      </w:r>
      <w:r>
        <w:rPr>
          <w:b/>
          <w:bCs/>
        </w:rPr>
        <w:t>Fu et al. 2019</w:t>
      </w:r>
      <w:r>
        <w:t xml:space="preserve">. Karena paper itu menunjukkan bahwa annual NEE sangat dipengaruhi oleh </w:t>
      </w:r>
      <w:r>
        <w:rPr>
          <w:b/>
          <w:bCs/>
        </w:rPr>
        <w:t>MCU</w:t>
      </w:r>
      <w:r>
        <w:t xml:space="preserve"> dan </w:t>
      </w:r>
      <w:r>
        <w:rPr>
          <w:b/>
          <w:bCs/>
        </w:rPr>
        <w:t>CUP</w:t>
      </w:r>
      <w:r>
        <w:t>, indeks proyek dapat dibentuk sebagai:</w:t>
      </w:r>
    </w:p>
    <w:p w14:paraId="1BE837AD" w14:textId="77777777" w:rsidR="00271A1B" w:rsidRDefault="00000000" w:rsidP="00FE3442">
      <w:pPr>
        <w:pStyle w:val="BodyText"/>
        <w:jc w:val="both"/>
      </w:pPr>
      <m:oMathPara>
        <m:oMathParaPr>
          <m:jc m:val="center"/>
        </m:oMathParaPr>
        <m:oMath>
          <m:sSub>
            <m:sSubPr>
              <m:ctrlPr>
                <w:rPr>
                  <w:rFonts w:ascii="Cambria Math" w:hAnsi="Cambria Math"/>
                </w:rPr>
              </m:ctrlPr>
            </m:sSubPr>
            <m:e>
              <m:r>
                <m:rPr>
                  <m:sty m:val="p"/>
                </m:rPr>
                <w:rPr>
                  <w:rFonts w:ascii="Cambria Math" w:hAnsi="Cambria Math"/>
                </w:rPr>
                <m:t>CCI</m:t>
              </m:r>
            </m:e>
            <m:sub>
              <m:r>
                <m:rPr>
                  <m:nor/>
                </m:rPr>
                <m:t>flux-seasonal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MCU</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CUP</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r>
            <m:rPr>
              <m:sty m:val="p"/>
            </m:rPr>
            <w:rPr>
              <w:rFonts w:ascii="Cambria Math" w:hAnsi="Cambria Math"/>
            </w:rPr>
            <m:t>Norm</m:t>
          </m:r>
          <m:d>
            <m:dPr>
              <m:ctrlPr>
                <w:rPr>
                  <w:rFonts w:ascii="Cambria Math" w:hAnsi="Cambria Math"/>
                </w:rPr>
              </m:ctrlPr>
            </m:dPr>
            <m:e>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r>
            <m:rPr>
              <m:sty m:val="p"/>
            </m:rPr>
            <w:rPr>
              <w:rFonts w:ascii="Cambria Math" w:hAnsi="Cambria Math"/>
            </w:rPr>
            <m:t>Norm</m:t>
          </m:r>
          <m:d>
            <m:dPr>
              <m:ctrlPr>
                <w:rPr>
                  <w:rFonts w:ascii="Cambria Math" w:hAnsi="Cambria Math"/>
                </w:rPr>
              </m:ctrlPr>
            </m:dPr>
            <m:e>
              <m:r>
                <m:rPr>
                  <m:sty m:val="p"/>
                </m:rPr>
                <w:rPr>
                  <w:rFonts w:ascii="Cambria Math" w:hAnsi="Cambria Math"/>
                </w:rPr>
                <m:t>MCR</m:t>
              </m:r>
            </m:e>
          </m:d>
        </m:oMath>
      </m:oMathPara>
    </w:p>
    <w:p w14:paraId="36ACAAE9" w14:textId="77777777" w:rsidR="00271A1B" w:rsidRDefault="00000000" w:rsidP="00FE3442">
      <w:pPr>
        <w:pStyle w:val="FirstParagraph"/>
        <w:jc w:val="both"/>
      </w:pPr>
      <w:r>
        <w:t xml:space="preserve">di mana </w:t>
      </w:r>
      <w:r>
        <w:rPr>
          <w:b/>
          <w:bCs/>
        </w:rPr>
        <w:t>MCU</w:t>
      </w:r>
      <w:r>
        <w:t xml:space="preserve"> adalah maksimum laju uptake karbon, </w:t>
      </w:r>
      <w:r>
        <w:rPr>
          <w:b/>
          <w:bCs/>
        </w:rPr>
        <w:t>CUP</w:t>
      </w:r>
      <w:r>
        <w:t xml:space="preserve"> jumlah hari ketika ekosistem net sink, </w:t>
      </w:r>
      <w:r>
        <w:rPr>
          <w:b/>
          <w:bCs/>
        </w:rPr>
        <w:t>α</w:t>
      </w:r>
      <w:r>
        <w:t xml:space="preserve"> menggambarkan kedekatan terhadap sink musiman hipotetik, dan </w:t>
      </w:r>
      <w:r>
        <w:rPr>
          <w:b/>
          <w:bCs/>
        </w:rPr>
        <w:t>MCR</w:t>
      </w:r>
      <w:r>
        <w:t xml:space="preserve"> maksimum laju pelepasan karbon. Indeks seperti ini lebih kaya informasi daripada sekadar annual total karena membedakan </w:t>
      </w:r>
      <w:r>
        <w:rPr>
          <w:b/>
          <w:bCs/>
        </w:rPr>
        <w:t>ekosistem yang sink kuat tetapi singkat</w:t>
      </w:r>
      <w:r>
        <w:t xml:space="preserve"> dari </w:t>
      </w:r>
      <w:r>
        <w:rPr>
          <w:b/>
          <w:bCs/>
        </w:rPr>
        <w:t>ekosistem yang sink moderat tetapi stabil dan panjang</w:t>
      </w:r>
      <w:r>
        <w:t xml:space="preserve">. Untuk proyek yang ingin membandingkan dinamika antar lokasi, pendekatan ini sangat kuat. </w:t>
      </w:r>
      <w:hyperlink r:id="rId35">
        <w:r>
          <w:rPr>
            <w:rStyle w:val="Hyperlink"/>
          </w:rPr>
          <w:t>[30]</w:t>
        </w:r>
      </w:hyperlink>
    </w:p>
    <w:p w14:paraId="192575ED" w14:textId="77777777" w:rsidR="00271A1B" w:rsidRDefault="00000000" w:rsidP="00FE3442">
      <w:pPr>
        <w:pStyle w:val="BodyText"/>
        <w:jc w:val="both"/>
      </w:pPr>
      <w:r>
        <w:t xml:space="preserve">Jika Anda ingin satu rekomendasi paling praktis, saya menyarankan mulai dari </w:t>
      </w:r>
      <w:r>
        <w:rPr>
          <w:b/>
          <w:bCs/>
        </w:rPr>
        <w:t>Pendekatan ketiga</w:t>
      </w:r>
      <w:r>
        <w:t xml:space="preserve"> untuk versi awal proyek. Ia paling mudah dijalankan dari output model </w:t>
      </w:r>
      <w:r>
        <w:rPr>
          <w:rStyle w:val="VerbatimChar"/>
        </w:rPr>
        <w:t>carbon_flux</w:t>
      </w:r>
      <w:r>
        <w:t xml:space="preserve">, paling selaras dengan data FLUXNET/AmeriFlux, dan paling mudah dijelaskan pada notebook maupun laporan akademik. Setelah itu, versi lanjutannya bisa menambahkan </w:t>
      </w:r>
      <w:r>
        <w:rPr>
          <w:b/>
          <w:bCs/>
        </w:rPr>
        <w:t>MCU</w:t>
      </w:r>
      <w:r>
        <w:t xml:space="preserve"> dan </w:t>
      </w:r>
      <w:r>
        <w:rPr>
          <w:b/>
          <w:bCs/>
        </w:rPr>
        <w:t>CUP</w:t>
      </w:r>
      <w:r>
        <w:t xml:space="preserve"> dari Pendekatan keempat sebagai komponen tambahan. </w:t>
      </w:r>
      <w:hyperlink r:id="rId36">
        <w:r>
          <w:rPr>
            <w:rStyle w:val="Hyperlink"/>
          </w:rPr>
          <w:t>[31]</w:t>
        </w:r>
      </w:hyperlink>
    </w:p>
    <w:p w14:paraId="4D29D14D" w14:textId="77777777" w:rsidR="00271A1B" w:rsidRDefault="00000000" w:rsidP="00FE3442">
      <w:pPr>
        <w:pStyle w:val="Heading2"/>
        <w:jc w:val="both"/>
      </w:pPr>
      <w:bookmarkStart w:id="7" w:name="konvensi-satuan-dan-jebakan-metodologis"/>
      <w:bookmarkEnd w:id="6"/>
      <w:r>
        <w:t>Konvensi, satuan, dan jebakan metodologis</w:t>
      </w:r>
    </w:p>
    <w:p w14:paraId="584F4665" w14:textId="77777777" w:rsidR="00271A1B" w:rsidRDefault="00000000" w:rsidP="00FE3442">
      <w:pPr>
        <w:pStyle w:val="FirstParagraph"/>
        <w:jc w:val="both"/>
      </w:pPr>
      <w:r>
        <w:t xml:space="preserve">Hal terpenting yang sering tercampur adalah perbedaan antara </w:t>
      </w:r>
      <w:r>
        <w:rPr>
          <w:b/>
          <w:bCs/>
        </w:rPr>
        <w:t>konsentrasi</w:t>
      </w:r>
      <w:r>
        <w:t xml:space="preserve"> dan </w:t>
      </w:r>
      <w:r>
        <w:rPr>
          <w:b/>
          <w:bCs/>
        </w:rPr>
        <w:t>flux</w:t>
      </w:r>
      <w:r>
        <w:t xml:space="preserve">. Dalam standar variabel FLUXNET/AmeriFlux, </w:t>
      </w:r>
      <w:r>
        <w:rPr>
          <w:rStyle w:val="VerbatimChar"/>
          <w:b/>
          <w:bCs/>
        </w:rPr>
        <w:t>CO2</w:t>
      </w:r>
      <w:r>
        <w:t xml:space="preserve"> berarti </w:t>
      </w:r>
      <w:r>
        <w:rPr>
          <w:b/>
          <w:bCs/>
        </w:rPr>
        <w:t>mole fraction</w:t>
      </w:r>
      <w:r>
        <w:t xml:space="preserve"> dengan unit </w:t>
      </w:r>
      <w:r>
        <w:rPr>
          <w:b/>
          <w:bCs/>
        </w:rPr>
        <w:t>µmolCO₂ mol⁻¹</w:t>
      </w:r>
      <w:r>
        <w:t xml:space="preserve">, sedangkan </w:t>
      </w:r>
      <w:r>
        <w:rPr>
          <w:rStyle w:val="VerbatimChar"/>
          <w:b/>
          <w:bCs/>
        </w:rPr>
        <w:t>FC</w:t>
      </w:r>
      <w:r>
        <w:t xml:space="preserve"> berarti </w:t>
      </w:r>
      <w:r>
        <w:rPr>
          <w:b/>
          <w:bCs/>
        </w:rPr>
        <w:t>carbon dioxide flux</w:t>
      </w:r>
      <w:r>
        <w:t xml:space="preserve"> dengan unit </w:t>
      </w:r>
      <w:r>
        <w:rPr>
          <w:b/>
          <w:bCs/>
        </w:rPr>
        <w:t>µmolCO₂ m⁻² s⁻¹</w:t>
      </w:r>
      <w:r>
        <w:t xml:space="preserve">; </w:t>
      </w:r>
      <w:r>
        <w:lastRenderedPageBreak/>
        <w:t xml:space="preserve">pada produk FLUXNET, </w:t>
      </w:r>
      <w:r>
        <w:rPr>
          <w:rStyle w:val="VerbatimChar"/>
          <w:b/>
          <w:bCs/>
        </w:rPr>
        <w:t>NEE</w:t>
      </w:r>
      <w:r>
        <w:t xml:space="preserve">, </w:t>
      </w:r>
      <w:r>
        <w:rPr>
          <w:rStyle w:val="VerbatimChar"/>
          <w:b/>
          <w:bCs/>
        </w:rPr>
        <w:t>RECO</w:t>
      </w:r>
      <w:r>
        <w:t xml:space="preserve">, dan </w:t>
      </w:r>
      <w:r>
        <w:rPr>
          <w:rStyle w:val="VerbatimChar"/>
          <w:b/>
          <w:bCs/>
        </w:rPr>
        <w:t>GPP</w:t>
      </w:r>
      <w:r>
        <w:t xml:space="preserve"> juga berada pada unit flux yang sama di resolusi half-hourly/hourly. Karena itu, model yang memprediksi konsentrasi CO₂ di udara atau di tanah </w:t>
      </w:r>
      <w:r>
        <w:rPr>
          <w:b/>
          <w:bCs/>
        </w:rPr>
        <w:t>tidak bisa langsung</w:t>
      </w:r>
      <w:r>
        <w:t xml:space="preserve"> ditafsirkan sebagai sekuestrasi karbon tanpa model konversi flux yang valid. Untuk CCI proyek Anda, target yang aman adalah </w:t>
      </w:r>
      <w:r>
        <w:rPr>
          <w:rStyle w:val="VerbatimChar"/>
        </w:rPr>
        <w:t>FC</w:t>
      </w:r>
      <w:r>
        <w:t>/</w:t>
      </w:r>
      <w:r>
        <w:rPr>
          <w:rStyle w:val="VerbatimChar"/>
        </w:rPr>
        <w:t>NEE</w:t>
      </w:r>
      <w:r>
        <w:t xml:space="preserve">, bukan </w:t>
      </w:r>
      <w:r>
        <w:rPr>
          <w:rStyle w:val="VerbatimChar"/>
        </w:rPr>
        <w:t>CO2</w:t>
      </w:r>
      <w:r>
        <w:t xml:space="preserve"> concentration. </w:t>
      </w:r>
      <w:hyperlink r:id="rId37">
        <w:r>
          <w:rPr>
            <w:rStyle w:val="Hyperlink"/>
          </w:rPr>
          <w:t>[32]</w:t>
        </w:r>
      </w:hyperlink>
    </w:p>
    <w:p w14:paraId="744C7F35" w14:textId="77777777" w:rsidR="00271A1B" w:rsidRDefault="00000000" w:rsidP="00FE3442">
      <w:pPr>
        <w:pStyle w:val="BodyText"/>
        <w:jc w:val="both"/>
      </w:pPr>
      <w:r>
        <w:t xml:space="preserve">Konvensi tanda juga harus dicek sebelum menghitung indeks. Banyak studi eddy covariance menggunakan perspektif atmosfer, sehingga </w:t>
      </w:r>
      <w:r>
        <w:rPr>
          <w:b/>
          <w:bCs/>
        </w:rPr>
        <w:t>NEE negatif</w:t>
      </w:r>
      <w:r>
        <w:t xml:space="preserve"> berarti ekosistem menyerap CO₂ dari atmosfer dan </w:t>
      </w:r>
      <w:r>
        <w:rPr>
          <w:b/>
          <w:bCs/>
        </w:rPr>
        <w:t>NEE positif</w:t>
      </w:r>
      <w:r>
        <w:t xml:space="preserve"> berarti pelepasan CO₂ ke atmosfer. Paper tentang MCU/CUP juga menyatakan konvensi ini secara eksplisit. Namun, karena beberapa dataset turunan atau notebook pengguna bisa membalik tanda, Anda harus memverifikasi definisi pada file atau metadata yang benar-benar Anda gunakan sebelum menghitung annual uptake. </w:t>
      </w:r>
      <w:hyperlink r:id="rId38">
        <w:r>
          <w:rPr>
            <w:rStyle w:val="Hyperlink"/>
          </w:rPr>
          <w:t>[33]</w:t>
        </w:r>
      </w:hyperlink>
    </w:p>
    <w:p w14:paraId="35B91163" w14:textId="77777777" w:rsidR="00271A1B" w:rsidRDefault="00000000" w:rsidP="00FE3442">
      <w:pPr>
        <w:pStyle w:val="BodyText"/>
        <w:jc w:val="both"/>
      </w:pPr>
      <w:r>
        <w:t xml:space="preserve">Produk FLUXNET juga menegaskan bahwa perbedaan metode partitioning </w:t>
      </w:r>
      <w:r>
        <w:rPr>
          <w:b/>
          <w:bCs/>
        </w:rPr>
        <w:t>nighttime</w:t>
      </w:r>
      <w:r>
        <w:t xml:space="preserve"> dan </w:t>
      </w:r>
      <w:r>
        <w:rPr>
          <w:b/>
          <w:bCs/>
        </w:rPr>
        <w:t>daytime</w:t>
      </w:r>
      <w:r>
        <w:t xml:space="preserve"> bukan perkara kecil. Pada resolusi tahunan, selisih antar metode dapat mencapai lebih dari </w:t>
      </w:r>
      <w:r>
        <w:rPr>
          <w:b/>
          <w:bCs/>
        </w:rPr>
        <w:t>500 g C m⁻² yr⁻¹</w:t>
      </w:r>
      <w:r>
        <w:t xml:space="preserve">, dan ketidakpastian </w:t>
      </w:r>
      <w:r>
        <w:rPr>
          <w:b/>
          <w:bCs/>
        </w:rPr>
        <w:t>USTAR</w:t>
      </w:r>
      <w:r>
        <w:t xml:space="preserve"> bisa menjadi sumber utama ketidakpastian produk. Ini berarti CCI yang dibangun dari annual GPP/RECO/NEE idealnya menyertakan analisis sensitivitas sederhana, misalnya membandingkan hasil dari </w:t>
      </w:r>
      <w:r>
        <w:rPr>
          <w:b/>
          <w:bCs/>
        </w:rPr>
        <w:t>NT</w:t>
      </w:r>
      <w:r>
        <w:t xml:space="preserve"> dan </w:t>
      </w:r>
      <w:r>
        <w:rPr>
          <w:b/>
          <w:bCs/>
        </w:rPr>
        <w:t>DT</w:t>
      </w:r>
      <w:r>
        <w:t xml:space="preserve">, atau setidaknya memanfaatkan variabel referensi </w:t>
      </w:r>
      <w:r>
        <w:rPr>
          <w:rStyle w:val="VerbatimChar"/>
        </w:rPr>
        <w:t>_REF</w:t>
      </w:r>
      <w:r>
        <w:t xml:space="preserve"> yang disarankan FLUXNET. </w:t>
      </w:r>
      <w:hyperlink r:id="rId39">
        <w:r>
          <w:rPr>
            <w:rStyle w:val="Hyperlink"/>
          </w:rPr>
          <w:t>[34]</w:t>
        </w:r>
      </w:hyperlink>
    </w:p>
    <w:p w14:paraId="17DCC3A1" w14:textId="77777777" w:rsidR="00271A1B" w:rsidRDefault="00000000" w:rsidP="00FE3442">
      <w:pPr>
        <w:pStyle w:val="BodyText"/>
        <w:jc w:val="both"/>
      </w:pPr>
      <w:r>
        <w:t xml:space="preserve">Agregasi waktu juga krusial. FLUXNET mendistribusikan GPP/RECO pada unit </w:t>
      </w:r>
      <w:r>
        <w:rPr>
          <w:b/>
          <w:bCs/>
        </w:rPr>
        <w:t>µmolCO₂ m⁻² s⁻¹</w:t>
      </w:r>
      <w:r>
        <w:t xml:space="preserve"> untuk half-hourly/hourly, lalu </w:t>
      </w:r>
      <w:r>
        <w:rPr>
          <w:b/>
          <w:bCs/>
        </w:rPr>
        <w:t>g C m⁻² day⁻¹</w:t>
      </w:r>
      <w:r>
        <w:t xml:space="preserve"> untuk daily/weekly/monthly, dan </w:t>
      </w:r>
      <w:r>
        <w:rPr>
          <w:b/>
          <w:bCs/>
        </w:rPr>
        <w:t>g C m⁻² year⁻¹</w:t>
      </w:r>
      <w:r>
        <w:t xml:space="preserve"> untuk yearly. Untuk implementasi CCI, saya sarankan Anda bekerja pada satu unit karbon yang seragam, misalnya </w:t>
      </w:r>
      <w:r>
        <w:rPr>
          <w:b/>
          <w:bCs/>
        </w:rPr>
        <w:t>g C m⁻² yr⁻¹</w:t>
      </w:r>
      <w:r>
        <w:t xml:space="preserve">, supaya penggabungan dengan SOC atau biomassa lebih mudah ditafsirkan. </w:t>
      </w:r>
      <w:hyperlink r:id="rId40">
        <w:r>
          <w:rPr>
            <w:rStyle w:val="Hyperlink"/>
          </w:rPr>
          <w:t>[35]</w:t>
        </w:r>
      </w:hyperlink>
    </w:p>
    <w:p w14:paraId="0B49C7F7" w14:textId="77777777" w:rsidR="00271A1B" w:rsidRDefault="00000000" w:rsidP="00FE3442">
      <w:pPr>
        <w:pStyle w:val="BodyText"/>
        <w:jc w:val="both"/>
      </w:pPr>
      <w:r>
        <w:t xml:space="preserve">Ada satu jebakan interpretasi yang sering luput: </w:t>
      </w:r>
      <w:r>
        <w:rPr>
          <w:b/>
          <w:bCs/>
        </w:rPr>
        <w:t>NEE bukan identik dengan penyimpanan karbon jangka panjang penuh</w:t>
      </w:r>
      <w:r>
        <w:t xml:space="preserve">. NEE adalah inti penting dari sink darat, tetapi carbon balance jangka panjang juga dipengaruhi oleh gangguan, panen, kebakaran, ekspor lateral, dan komponen lain yang tidak selalu tertangkap sebagai NEE saja. Jadi, bila CCI Anda dibangun murni dari annual NEE, indeks itu paling aman ditafsirkan sebagai </w:t>
      </w:r>
      <w:r>
        <w:rPr>
          <w:b/>
          <w:bCs/>
        </w:rPr>
        <w:t>“kinerja penangkapan/pertukaran karbon di tingkat ekosistem”</w:t>
      </w:r>
      <w:r>
        <w:t xml:space="preserve">, bukan klaim final tentang stok karbon permanen. </w:t>
      </w:r>
      <w:hyperlink r:id="rId41">
        <w:r>
          <w:rPr>
            <w:rStyle w:val="Hyperlink"/>
          </w:rPr>
          <w:t>[36]</w:t>
        </w:r>
      </w:hyperlink>
    </w:p>
    <w:p w14:paraId="2889055B" w14:textId="77777777" w:rsidR="00271A1B" w:rsidRDefault="00000000" w:rsidP="00FE3442">
      <w:pPr>
        <w:pStyle w:val="BodyText"/>
        <w:jc w:val="both"/>
      </w:pPr>
      <w:r>
        <w:t xml:space="preserve">Untuk data tanah, perhatikan unit resmi ISRIC. Pada </w:t>
      </w:r>
      <w:r>
        <w:rPr>
          <w:b/>
          <w:bCs/>
        </w:rPr>
        <w:t>SoilGrids</w:t>
      </w:r>
      <w:r>
        <w:t xml:space="preserve">, nilai raster mentah disimpan sebagai integer dan beberapa layer perlu faktor konversi: misalnya </w:t>
      </w:r>
      <w:r>
        <w:rPr>
          <w:rStyle w:val="VerbatimChar"/>
          <w:b/>
          <w:bCs/>
        </w:rPr>
        <w:t>soc</w:t>
      </w:r>
      <w:r>
        <w:t xml:space="preserve"> memakai mapped units </w:t>
      </w:r>
      <w:r>
        <w:rPr>
          <w:b/>
          <w:bCs/>
        </w:rPr>
        <w:t>dg kg⁻¹</w:t>
      </w:r>
      <w:r>
        <w:t xml:space="preserve"> dan dibagi 10 untuk menjadi </w:t>
      </w:r>
      <w:r>
        <w:rPr>
          <w:b/>
          <w:bCs/>
        </w:rPr>
        <w:t>g kg⁻¹</w:t>
      </w:r>
      <w:r>
        <w:t xml:space="preserve">, sedangkan </w:t>
      </w:r>
      <w:r>
        <w:rPr>
          <w:rStyle w:val="VerbatimChar"/>
          <w:b/>
          <w:bCs/>
        </w:rPr>
        <w:t>phh2o</w:t>
      </w:r>
      <w:r>
        <w:t xml:space="preserve"> tersimpan sebagai </w:t>
      </w:r>
      <w:r>
        <w:rPr>
          <w:b/>
          <w:bCs/>
        </w:rPr>
        <w:t>pH × 10</w:t>
      </w:r>
      <w:r>
        <w:t xml:space="preserve"> dan juga perlu dibagi 10 agar menjadi pH konvensional. Pada dashboard </w:t>
      </w:r>
      <w:r>
        <w:rPr>
          <w:b/>
          <w:bCs/>
        </w:rPr>
        <w:t>WoSIS</w:t>
      </w:r>
      <w:r>
        <w:t xml:space="preserve">, organic carbon ditampilkan sebagai </w:t>
      </w:r>
      <w:r>
        <w:rPr>
          <w:b/>
          <w:bCs/>
        </w:rPr>
        <w:t>g kg⁻¹</w:t>
      </w:r>
      <w:r>
        <w:t xml:space="preserve"> dan bulk density sebagai </w:t>
      </w:r>
      <w:r>
        <w:rPr>
          <w:b/>
          <w:bCs/>
        </w:rPr>
        <w:t>g cm⁻³</w:t>
      </w:r>
      <w:r>
        <w:t xml:space="preserve">. Dalam proyek Anda, variabel tanah seperti SOC dan pH paling aman diperlakukan sebagai </w:t>
      </w:r>
      <w:r>
        <w:rPr>
          <w:b/>
          <w:bCs/>
        </w:rPr>
        <w:t>fitur statis per site/depth</w:t>
      </w:r>
      <w:r>
        <w:t xml:space="preserve">, bukan sebagai time-series yang dijoin acak ke setiap timestamp flux. </w:t>
      </w:r>
      <w:hyperlink r:id="rId42">
        <w:r>
          <w:rPr>
            <w:rStyle w:val="Hyperlink"/>
          </w:rPr>
          <w:t>[37]</w:t>
        </w:r>
      </w:hyperlink>
    </w:p>
    <w:p w14:paraId="2B9F377F" w14:textId="77777777" w:rsidR="00271A1B" w:rsidRDefault="00000000" w:rsidP="00FE3442">
      <w:pPr>
        <w:pStyle w:val="Heading2"/>
        <w:jc w:val="both"/>
      </w:pPr>
      <w:bookmarkStart w:id="8" w:name="X5ec06e5b4cf646a927df9323174a9df779356dd"/>
      <w:bookmarkEnd w:id="7"/>
      <w:r>
        <w:lastRenderedPageBreak/>
        <w:t>Urutan baca, sumber resmi, dan rencana implementasi</w:t>
      </w:r>
    </w:p>
    <w:p w14:paraId="1620C8E6" w14:textId="77777777" w:rsidR="00271A1B" w:rsidRDefault="00000000" w:rsidP="00FE3442">
      <w:pPr>
        <w:pStyle w:val="FirstParagraph"/>
        <w:jc w:val="both"/>
      </w:pPr>
      <w:r>
        <w:t xml:space="preserve">Urutan baca yang saya rekomendasikan untuk implementasi adalah: </w:t>
      </w:r>
      <w:r>
        <w:rPr>
          <w:b/>
          <w:bCs/>
        </w:rPr>
        <w:t>(1)</w:t>
      </w:r>
      <w:r>
        <w:t xml:space="preserve"> Pastorello et al. 2020 untuk memahami struktur dan provenance flux products; </w:t>
      </w:r>
      <w:r>
        <w:rPr>
          <w:b/>
          <w:bCs/>
        </w:rPr>
        <w:t>(2)</w:t>
      </w:r>
      <w:r>
        <w:t xml:space="preserve"> Papale et al. 2006 untuk preprocessing, gap-filling, dan uncertainty; </w:t>
      </w:r>
      <w:r>
        <w:rPr>
          <w:b/>
          <w:bCs/>
        </w:rPr>
        <w:t>(3)</w:t>
      </w:r>
      <w:r>
        <w:t xml:space="preserve"> Reichstein et al. 2005 untuk partitioning NEE→GPP/RECO; </w:t>
      </w:r>
      <w:r>
        <w:rPr>
          <w:b/>
          <w:bCs/>
        </w:rPr>
        <w:t>(4)</w:t>
      </w:r>
      <w:r>
        <w:t xml:space="preserve"> Fu et al. 2019 untuk menurunkan indikator flux seperti MCU dan CUP; lalu </w:t>
      </w:r>
      <w:r>
        <w:rPr>
          <w:b/>
          <w:bCs/>
        </w:rPr>
        <w:t>(5)</w:t>
      </w:r>
      <w:r>
        <w:t xml:space="preserve"> Pascual et al. 2021 atau Parida et al. 2022 tergantung apakah Anda ingin CCI bertipe </w:t>
      </w:r>
      <w:r>
        <w:rPr>
          <w:i/>
          <w:iCs/>
        </w:rPr>
        <w:t>potential index</w:t>
      </w:r>
      <w:r>
        <w:t xml:space="preserve"> atau </w:t>
      </w:r>
      <w:r>
        <w:rPr>
          <w:i/>
          <w:iCs/>
        </w:rPr>
        <w:t>offset index</w:t>
      </w:r>
      <w:r>
        <w:t xml:space="preserve">. Jika butuh kajian konsep teknik EC yang lebih umum, sisipkan Baldocchi 2003 sebelum tahap implementasi. </w:t>
      </w:r>
      <w:hyperlink r:id="rId43">
        <w:r>
          <w:rPr>
            <w:rStyle w:val="Hyperlink"/>
          </w:rPr>
          <w:t>[38]</w:t>
        </w:r>
      </w:hyperlink>
    </w:p>
    <w:p w14:paraId="02C7D728" w14:textId="77777777" w:rsidR="00271A1B" w:rsidRDefault="00000000" w:rsidP="00FE3442">
      <w:pPr>
        <w:pStyle w:val="BodyText"/>
        <w:jc w:val="both"/>
      </w:pPr>
      <w:r>
        <w:t xml:space="preserve">Dokumentasi resmi yang paling penting untuk dibookmark adalah: </w:t>
      </w:r>
      <w:r>
        <w:rPr>
          <w:b/>
          <w:bCs/>
        </w:rPr>
        <w:t>FLUXNET Variables Quick Start Guide</w:t>
      </w:r>
      <w:r>
        <w:t xml:space="preserve">, </w:t>
      </w:r>
      <w:r>
        <w:rPr>
          <w:b/>
          <w:bCs/>
        </w:rPr>
        <w:t>FLUXNET Data Processing</w:t>
      </w:r>
      <w:r>
        <w:t xml:space="preserve">, </w:t>
      </w:r>
      <w:r>
        <w:rPr>
          <w:b/>
          <w:bCs/>
        </w:rPr>
        <w:t>AmeriFlux Data Variables</w:t>
      </w:r>
      <w:r>
        <w:t xml:space="preserve">, </w:t>
      </w:r>
      <w:r>
        <w:rPr>
          <w:b/>
          <w:bCs/>
        </w:rPr>
        <w:t>WoSIS documentation</w:t>
      </w:r>
      <w:r>
        <w:t xml:space="preserve">, dan </w:t>
      </w:r>
      <w:r>
        <w:rPr>
          <w:b/>
          <w:bCs/>
        </w:rPr>
        <w:t>SoilGrids documentation</w:t>
      </w:r>
      <w:r>
        <w:t xml:space="preserve">. Inilah halaman yang akan paling sering Anda rujuk saat membaca nama variabel, unit, versi produk, QC flag, depth interval, dan konversi unit tanah. </w:t>
      </w:r>
      <w:hyperlink r:id="rId44">
        <w:r>
          <w:rPr>
            <w:rStyle w:val="Hyperlink"/>
          </w:rPr>
          <w:t>[15]</w:t>
        </w:r>
      </w:hyperlink>
    </w:p>
    <w:p w14:paraId="4795C477" w14:textId="77777777" w:rsidR="00271A1B" w:rsidRDefault="00000000" w:rsidP="00FE3442">
      <w:pPr>
        <w:pStyle w:val="BodyText"/>
        <w:jc w:val="both"/>
      </w:pPr>
      <w:r>
        <w:t xml:space="preserve">Rencana implementasi CCI dari output </w:t>
      </w:r>
      <w:r>
        <w:rPr>
          <w:rStyle w:val="VerbatimChar"/>
        </w:rPr>
        <w:t>carbon_flux</w:t>
      </w:r>
      <w:r>
        <w:t xml:space="preserve"> yang saya sarankan adalah sebagai berikut.</w:t>
      </w:r>
      <w:r>
        <w:br/>
      </w:r>
      <w:r>
        <w:rPr>
          <w:b/>
          <w:bCs/>
        </w:rPr>
        <w:t>Pertama</w:t>
      </w:r>
      <w:r>
        <w:t xml:space="preserve">, tetapkan dengan tegas apa arti </w:t>
      </w:r>
      <w:r>
        <w:rPr>
          <w:rStyle w:val="VerbatimChar"/>
        </w:rPr>
        <w:t>carbon_flux</w:t>
      </w:r>
      <w:r>
        <w:t xml:space="preserve"> di proyek Anda: bila berasal dari FLUXNET/AmeriFlux, prioritaskan </w:t>
      </w:r>
      <w:r>
        <w:rPr>
          <w:rStyle w:val="VerbatimChar"/>
          <w:b/>
          <w:bCs/>
        </w:rPr>
        <w:t>NEE</w:t>
      </w:r>
      <w:r>
        <w:rPr>
          <w:b/>
          <w:bCs/>
        </w:rPr>
        <w:t>/</w:t>
      </w:r>
      <w:r>
        <w:rPr>
          <w:rStyle w:val="VerbatimChar"/>
          <w:b/>
          <w:bCs/>
        </w:rPr>
        <w:t>FC</w:t>
      </w:r>
      <w:r>
        <w:t xml:space="preserve"> atau gunakan nama produk resminya; bila ternyata yang Anda punya adalah konsentrasi CO₂, hentikan dulu dan jangan langsung menghitung CCI. </w:t>
      </w:r>
      <w:r>
        <w:rPr>
          <w:b/>
          <w:bCs/>
        </w:rPr>
        <w:t>Kedua</w:t>
      </w:r>
      <w:r>
        <w:t xml:space="preserve">, harmonisasi </w:t>
      </w:r>
      <w:r>
        <w:rPr>
          <w:b/>
          <w:bCs/>
        </w:rPr>
        <w:t>tanda</w:t>
      </w:r>
      <w:r>
        <w:t xml:space="preserve">, </w:t>
      </w:r>
      <w:r>
        <w:rPr>
          <w:b/>
          <w:bCs/>
        </w:rPr>
        <w:t>unit</w:t>
      </w:r>
      <w:r>
        <w:t xml:space="preserve">, dan </w:t>
      </w:r>
      <w:r>
        <w:rPr>
          <w:b/>
          <w:bCs/>
        </w:rPr>
        <w:t>QC</w:t>
      </w:r>
      <w:r>
        <w:t xml:space="preserve">; gunakan agregasi official daily/yearly jika tersedia, atau konversi sendiri dari half-hourly. </w:t>
      </w:r>
      <w:r>
        <w:rPr>
          <w:b/>
          <w:bCs/>
        </w:rPr>
        <w:t>Ketiga</w:t>
      </w:r>
      <w:r>
        <w:t xml:space="preserve">, turunkan metrik utama: </w:t>
      </w:r>
      <w:r>
        <w:rPr>
          <w:b/>
          <w:bCs/>
        </w:rPr>
        <w:t>annual uptake</w:t>
      </w:r>
      <w:r>
        <w:t xml:space="preserve">, </w:t>
      </w:r>
      <w:r>
        <w:rPr>
          <w:b/>
          <w:bCs/>
        </w:rPr>
        <w:t>CUP</w:t>
      </w:r>
      <w:r>
        <w:t xml:space="preserve">, </w:t>
      </w:r>
      <w:r>
        <w:rPr>
          <w:b/>
          <w:bCs/>
        </w:rPr>
        <w:t>MCU</w:t>
      </w:r>
      <w:r>
        <w:t xml:space="preserve">, dan bila perlu </w:t>
      </w:r>
      <w:r>
        <w:rPr>
          <w:b/>
          <w:bCs/>
        </w:rPr>
        <w:t>MCR</w:t>
      </w:r>
      <w:r>
        <w:t xml:space="preserve">. </w:t>
      </w:r>
      <w:r>
        <w:rPr>
          <w:b/>
          <w:bCs/>
        </w:rPr>
        <w:t>Keempat</w:t>
      </w:r>
      <w:r>
        <w:t xml:space="preserve">, gabungkan </w:t>
      </w:r>
      <w:r>
        <w:rPr>
          <w:b/>
          <w:bCs/>
        </w:rPr>
        <w:t>SOC</w:t>
      </w:r>
      <w:r>
        <w:t xml:space="preserve">, </w:t>
      </w:r>
      <w:r>
        <w:rPr>
          <w:b/>
          <w:bCs/>
        </w:rPr>
        <w:t>pH</w:t>
      </w:r>
      <w:r>
        <w:t xml:space="preserve">, dan bila tersedia </w:t>
      </w:r>
      <w:r>
        <w:rPr>
          <w:b/>
          <w:bCs/>
        </w:rPr>
        <w:t>biomassa</w:t>
      </w:r>
      <w:r>
        <w:t xml:space="preserve"> atau soil moisture sebagai variabel statis per lokasi. </w:t>
      </w:r>
      <w:r>
        <w:rPr>
          <w:b/>
          <w:bCs/>
        </w:rPr>
        <w:t>Kelima</w:t>
      </w:r>
      <w:r>
        <w:t xml:space="preserve">, normalisasi semua komponen sesuai definisi CCI yang Anda pilih. </w:t>
      </w:r>
      <w:r>
        <w:rPr>
          <w:b/>
          <w:bCs/>
        </w:rPr>
        <w:t>Keenam</w:t>
      </w:r>
      <w:r>
        <w:t xml:space="preserve">, bawa error model flux Anda — misalnya RMSE dari Random Forest dan XGBoost — ke dalam analisis sensitivitas CCI, agar skor akhirnya tidak tampak lebih pasti daripada data dasarnya. </w:t>
      </w:r>
      <w:hyperlink r:id="rId45">
        <w:r>
          <w:rPr>
            <w:rStyle w:val="Hyperlink"/>
          </w:rPr>
          <w:t>[39]</w:t>
        </w:r>
      </w:hyperlink>
    </w:p>
    <w:p w14:paraId="579EE625" w14:textId="77777777" w:rsidR="00271A1B" w:rsidRDefault="00000000" w:rsidP="00FE3442">
      <w:pPr>
        <w:pStyle w:val="BodyText"/>
        <w:jc w:val="both"/>
      </w:pPr>
      <w:r>
        <w:t xml:space="preserve">Karena struktur folder lokal Anda tampak sudah menyiapkan campuran data flux dan tanah, saya menilai pipeline ini </w:t>
      </w:r>
      <w:r>
        <w:rPr>
          <w:b/>
          <w:bCs/>
        </w:rPr>
        <w:t>langsung realistis</w:t>
      </w:r>
      <w:r>
        <w:t xml:space="preserve"> untuk dijalankan. Yang penting, gabungkan data tanah pada level </w:t>
      </w:r>
      <w:r>
        <w:rPr>
          <w:b/>
          <w:bCs/>
        </w:rPr>
        <w:t>site/plot/koordinat</w:t>
      </w:r>
      <w:r>
        <w:t xml:space="preserve">, bukan per-baris timestamp lintas sumber, dan jadikan flux sebagai tabel utama time-series. Pendekatan ini juga paling konsisten dengan produk FLUXNET/AmeriFlux sebagai observasi dinamis dan WoSIS/SoilGrids sebagai atribut lokasi yang relatif statis. </w:t>
      </w:r>
      <w:hyperlink r:id="rId46">
        <w:r>
          <w:rPr>
            <w:rStyle w:val="Hyperlink"/>
          </w:rPr>
          <w:t>[40]</w:t>
        </w:r>
      </w:hyperlink>
      <w:r>
        <w:t xml:space="preserve"> fileciteturn0file0</w:t>
      </w:r>
    </w:p>
    <w:p w14:paraId="05EFECEA" w14:textId="77777777" w:rsidR="00271A1B" w:rsidRDefault="00000000" w:rsidP="00FE3442">
      <w:pPr>
        <w:pStyle w:val="Heading2"/>
        <w:jc w:val="both"/>
      </w:pPr>
      <w:bookmarkStart w:id="9" w:name="diagram-alur-dan-asumsi"/>
      <w:bookmarkEnd w:id="8"/>
      <w:r>
        <w:t>Diagram alur dan asumsi</w:t>
      </w:r>
    </w:p>
    <w:p w14:paraId="60608DD2" w14:textId="77777777" w:rsidR="00271A1B" w:rsidRDefault="00000000" w:rsidP="00FE3442">
      <w:pPr>
        <w:pStyle w:val="FirstParagraph"/>
        <w:jc w:val="both"/>
      </w:pPr>
      <w:r>
        <w:t xml:space="preserve">Diagram berikut merangkum langkah riset dan implementasi CCI yang paling aman untuk proyek Anda. Desain ini mengikuti alur dari sumber resmi FLUXNET/AmeriFlux dan pendekatan indeks dari literatur CCI/CSI/CSPI/FCSPI. </w:t>
      </w:r>
      <w:hyperlink r:id="rId47">
        <w:r>
          <w:rPr>
            <w:rStyle w:val="Hyperlink"/>
          </w:rPr>
          <w:t>[41]</w:t>
        </w:r>
      </w:hyperlink>
    </w:p>
    <w:p w14:paraId="732D8FB2" w14:textId="77777777" w:rsidR="00271A1B" w:rsidRDefault="00000000" w:rsidP="00FE3442">
      <w:pPr>
        <w:pStyle w:val="SourceCode"/>
        <w:jc w:val="both"/>
      </w:pPr>
      <w:r>
        <w:rPr>
          <w:rStyle w:val="VerbatimChar"/>
        </w:rPr>
        <w:t>timeline</w:t>
      </w:r>
      <w:r>
        <w:br/>
      </w:r>
      <w:r>
        <w:rPr>
          <w:rStyle w:val="VerbatimChar"/>
        </w:rPr>
        <w:t xml:space="preserve">    title Langkah riset hingga implementasi CCI</w:t>
      </w:r>
      <w:r>
        <w:br/>
      </w:r>
      <w:r>
        <w:rPr>
          <w:rStyle w:val="VerbatimChar"/>
        </w:rPr>
        <w:t xml:space="preserve">    Kajian sumber primer : FLUXNET2015/ONEFlux, Papale, Reichstein</w:t>
      </w:r>
      <w:r>
        <w:br/>
      </w:r>
      <w:r>
        <w:rPr>
          <w:rStyle w:val="VerbatimChar"/>
        </w:rPr>
        <w:t xml:space="preserve">    Harmonisasi variabel : cek unit, sign NEE, QC, gap-filling</w:t>
      </w:r>
      <w:r>
        <w:br/>
      </w:r>
      <w:r>
        <w:rPr>
          <w:rStyle w:val="VerbatimChar"/>
        </w:rPr>
        <w:lastRenderedPageBreak/>
        <w:t xml:space="preserve">    Agregasi flux : HH/HR ke harian, musiman, tahunan</w:t>
      </w:r>
      <w:r>
        <w:br/>
      </w:r>
      <w:r>
        <w:rPr>
          <w:rStyle w:val="VerbatimChar"/>
        </w:rPr>
        <w:t xml:space="preserve">    Turunan indikator : annual uptake, CUP, MCU, MCR</w:t>
      </w:r>
      <w:r>
        <w:br/>
      </w:r>
      <w:r>
        <w:rPr>
          <w:rStyle w:val="VerbatimChar"/>
        </w:rPr>
        <w:t xml:space="preserve">    Integrasi atribut statis : SOC, pH, biomassa, moisture</w:t>
      </w:r>
      <w:r>
        <w:br/>
      </w:r>
      <w:r>
        <w:rPr>
          <w:rStyle w:val="VerbatimChar"/>
        </w:rPr>
        <w:t xml:space="preserve">    Normalisasi indeks : pilih CCI/CSI/CSPI/FCSPI-style</w:t>
      </w:r>
      <w:r>
        <w:br/>
      </w:r>
      <w:r>
        <w:rPr>
          <w:rStyle w:val="VerbatimChar"/>
        </w:rPr>
        <w:t xml:space="preserve">    Validasi proyek : bandingkan RF vs XGBoost dan propagasi error</w:t>
      </w:r>
    </w:p>
    <w:p w14:paraId="35EE9AC6" w14:textId="77777777" w:rsidR="00271A1B" w:rsidRDefault="00000000" w:rsidP="00FE3442">
      <w:pPr>
        <w:pStyle w:val="SourceCode"/>
        <w:jc w:val="both"/>
      </w:pPr>
      <w:r>
        <w:rPr>
          <w:rStyle w:val="VerbatimChar"/>
        </w:rPr>
        <w:t>flowchart LR</w:t>
      </w:r>
      <w:r>
        <w:br/>
      </w:r>
      <w:r>
        <w:rPr>
          <w:rStyle w:val="VerbatimChar"/>
        </w:rPr>
        <w:t xml:space="preserve">    A[Flux data atau output model\nFC / NEE / GPP / RECO] --&gt; B[Harmonisasi unit dan sign\nQC dan gap-filling]</w:t>
      </w:r>
      <w:r>
        <w:br/>
      </w:r>
      <w:r>
        <w:rPr>
          <w:rStyle w:val="VerbatimChar"/>
        </w:rPr>
        <w:t xml:space="preserve">    B --&gt; C[Agregasi waktu\nharian musiman tahunan]</w:t>
      </w:r>
      <w:r>
        <w:br/>
      </w:r>
      <w:r>
        <w:rPr>
          <w:rStyle w:val="VerbatimChar"/>
        </w:rPr>
        <w:t xml:space="preserve">    C --&gt; D[Indikator flux\nannual uptake CUP MCU MCR]</w:t>
      </w:r>
      <w:r>
        <w:br/>
      </w:r>
      <w:r>
        <w:rPr>
          <w:rStyle w:val="VerbatimChar"/>
        </w:rPr>
        <w:t xml:space="preserve">    E[Data tanah dan ancillary\nSOC pH biomassa moisture] --&gt; F[Normalisasi]</w:t>
      </w:r>
      <w:r>
        <w:br/>
      </w:r>
      <w:r>
        <w:rPr>
          <w:rStyle w:val="VerbatimChar"/>
        </w:rPr>
        <w:t xml:space="preserve">    D --&gt; F</w:t>
      </w:r>
      <w:r>
        <w:br/>
      </w:r>
      <w:r>
        <w:rPr>
          <w:rStyle w:val="VerbatimChar"/>
        </w:rPr>
        <w:t xml:space="preserve">    F --&gt; G[CCI atau CSI]</w:t>
      </w:r>
      <w:r>
        <w:br/>
      </w:r>
      <w:r>
        <w:rPr>
          <w:rStyle w:val="VerbatimChar"/>
        </w:rPr>
        <w:t xml:space="preserve">    G --&gt; H[Analisis sensitivitas\nuncertainty dashboard]</w:t>
      </w:r>
    </w:p>
    <w:p w14:paraId="1DB46231" w14:textId="77777777" w:rsidR="00271A1B" w:rsidRDefault="00000000" w:rsidP="00FE3442">
      <w:pPr>
        <w:pStyle w:val="FirstParagraph"/>
        <w:jc w:val="both"/>
      </w:pPr>
      <w:r>
        <w:t xml:space="preserve">Asumsi yang saya pakai dalam laporan ini adalah: Anda memiliki atau akan memakai </w:t>
      </w:r>
      <w:r>
        <w:rPr>
          <w:b/>
          <w:bCs/>
        </w:rPr>
        <w:t>time-series flux half-hourly/daily</w:t>
      </w:r>
      <w:r>
        <w:t xml:space="preserve"> dari produk bergaya FLUXNET/AmeriFlux; tanda NEE pada file final Anda </w:t>
      </w:r>
      <w:r>
        <w:rPr>
          <w:b/>
          <w:bCs/>
        </w:rPr>
        <w:t>belum tentu</w:t>
      </w:r>
      <w:r>
        <w:t xml:space="preserve"> sudah diverifikasi sehingga perlu dicek ulang; </w:t>
      </w:r>
      <w:r>
        <w:rPr>
          <w:b/>
          <w:bCs/>
        </w:rPr>
        <w:t>SOC/pH</w:t>
      </w:r>
      <w:r>
        <w:t xml:space="preserve"> tersedia sebagai data per-lokasi atau dapat diambil dari </w:t>
      </w:r>
      <w:r>
        <w:rPr>
          <w:b/>
          <w:bCs/>
        </w:rPr>
        <w:t>WoSIS/SoilGrids</w:t>
      </w:r>
      <w:r>
        <w:t xml:space="preserve">; dan target proyek Anda adalah </w:t>
      </w:r>
      <w:r>
        <w:rPr>
          <w:b/>
          <w:bCs/>
        </w:rPr>
        <w:t>land-based carbon capture/sequestration index</w:t>
      </w:r>
      <w:r>
        <w:t xml:space="preserve">, bukan </w:t>
      </w:r>
      <w:r>
        <w:rPr>
          <w:b/>
          <w:bCs/>
        </w:rPr>
        <w:t>industrial CCUS index</w:t>
      </w:r>
      <w:r>
        <w:t xml:space="preserve">. Saya juga mengasumsikan flux dan data tanah yang sudah Anda unduh lokal memang akan diintegrasikan dengan logika “flux dinamis + tanah statis” seperti yang direkomendasikan di atas. </w:t>
      </w:r>
      <w:hyperlink r:id="rId48">
        <w:r>
          <w:rPr>
            <w:rStyle w:val="Hyperlink"/>
          </w:rPr>
          <w:t>[42]</w:t>
        </w:r>
      </w:hyperlink>
      <w:r>
        <w:t xml:space="preserve"> fileciteturn0file0</w:t>
      </w:r>
    </w:p>
    <w:p w14:paraId="2C27B77C" w14:textId="77777777" w:rsidR="00271A1B" w:rsidRDefault="00000000" w:rsidP="00FE3442">
      <w:pPr>
        <w:pStyle w:val="BodyText"/>
        <w:jc w:val="both"/>
      </w:pPr>
      <w:r>
        <w:t xml:space="preserve">Open questions / limitations: saya tidak menemukan satu </w:t>
      </w:r>
      <w:r>
        <w:rPr>
          <w:b/>
          <w:bCs/>
        </w:rPr>
        <w:t>rumus universal resmi</w:t>
      </w:r>
      <w:r>
        <w:t xml:space="preserve"> yang diberi nama “Carbon Capture Index” dan dipakai lintas domain; yang tersedia justru beberapa keluarga indeks yang berbeda-beda sesuai konteks urban, kehutanan, greenbelt, atau pengelolaan lahan. Karena itu, keputusan terpenting proyek Anda bukan “mencari rumus CCI baku”, melainkan </w:t>
      </w:r>
      <w:r>
        <w:rPr>
          <w:b/>
          <w:bCs/>
        </w:rPr>
        <w:t>memilih definisi CCI yang paling konsisten dengan tujuan proyek</w:t>
      </w:r>
      <w:r>
        <w:t xml:space="preserve">: apakah ingin menilai </w:t>
      </w:r>
      <w:r>
        <w:rPr>
          <w:b/>
          <w:bCs/>
        </w:rPr>
        <w:t>kinerja flux aktual</w:t>
      </w:r>
      <w:r>
        <w:t xml:space="preserve">, </w:t>
      </w:r>
      <w:r>
        <w:rPr>
          <w:b/>
          <w:bCs/>
        </w:rPr>
        <w:t>kemampuan offset terhadap emisi</w:t>
      </w:r>
      <w:r>
        <w:t xml:space="preserve">, atau </w:t>
      </w:r>
      <w:r>
        <w:rPr>
          <w:b/>
          <w:bCs/>
        </w:rPr>
        <w:t>potensi sequestration ke depan</w:t>
      </w:r>
      <w:r>
        <w:t xml:space="preserve">. Literatur yang saya himpunkan sudah cukup untuk mendukung ketiga jalur itu, tetapi Anda perlu menetapkan satu definisi operasional saja agar model dan dashboard tetap konsisten. </w:t>
      </w:r>
      <w:hyperlink r:id="rId49">
        <w:r>
          <w:rPr>
            <w:rStyle w:val="Hyperlink"/>
          </w:rPr>
          <w:t>[27]</w:t>
        </w:r>
      </w:hyperlink>
    </w:p>
    <w:bookmarkEnd w:id="1"/>
    <w:bookmarkEnd w:id="2"/>
    <w:bookmarkEnd w:id="9"/>
    <w:p w14:paraId="0AB6E70B" w14:textId="77777777" w:rsidR="00271A1B" w:rsidRDefault="00000000" w:rsidP="00FE3442">
      <w:pPr>
        <w:jc w:val="both"/>
      </w:pPr>
      <w:r>
        <w:pict w14:anchorId="2C7BD788">
          <v:rect id="_x0000_i1025" style="width:0;height:1.5pt" o:hralign="center" o:hrstd="t" o:hr="t"/>
        </w:pict>
      </w:r>
    </w:p>
    <w:bookmarkStart w:id="10" w:name="citations"/>
    <w:p w14:paraId="25CA400E" w14:textId="77777777" w:rsidR="00271A1B" w:rsidRDefault="00000000" w:rsidP="00FE3442">
      <w:pPr>
        <w:pStyle w:val="FirstParagraph"/>
        <w:jc w:val="both"/>
      </w:pPr>
      <w:r>
        <w:fldChar w:fldCharType="begin"/>
      </w:r>
      <w:r>
        <w:instrText>HYPERLINK "https://www.nature.com/articles/s41597-020-0534-3" \h</w:instrText>
      </w:r>
      <w:r>
        <w:fldChar w:fldCharType="separate"/>
      </w:r>
      <w:r>
        <w:rPr>
          <w:rStyle w:val="Hyperlink"/>
        </w:rPr>
        <w:t>[1]</w:t>
      </w:r>
      <w:r>
        <w:fldChar w:fldCharType="end"/>
      </w:r>
      <w:r>
        <w:t xml:space="preserve"> </w:t>
      </w:r>
      <w:hyperlink r:id="rId50">
        <w:r>
          <w:rPr>
            <w:rStyle w:val="Hyperlink"/>
          </w:rPr>
          <w:t>[4]</w:t>
        </w:r>
      </w:hyperlink>
      <w:r>
        <w:t xml:space="preserve"> </w:t>
      </w:r>
      <w:hyperlink r:id="rId51">
        <w:r>
          <w:rPr>
            <w:rStyle w:val="Hyperlink"/>
          </w:rPr>
          <w:t>[16]</w:t>
        </w:r>
      </w:hyperlink>
      <w:r>
        <w:t xml:space="preserve"> </w:t>
      </w:r>
      <w:hyperlink r:id="rId52">
        <w:r>
          <w:rPr>
            <w:rStyle w:val="Hyperlink"/>
          </w:rPr>
          <w:t>[31]</w:t>
        </w:r>
      </w:hyperlink>
      <w:r>
        <w:t xml:space="preserve"> </w:t>
      </w:r>
      <w:hyperlink r:id="rId53">
        <w:r>
          <w:rPr>
            <w:rStyle w:val="Hyperlink"/>
          </w:rPr>
          <w:t>[38]</w:t>
        </w:r>
      </w:hyperlink>
      <w:r>
        <w:t xml:space="preserve"> https://www.nature.com/articles/s41597-020-0534-3</w:t>
      </w:r>
    </w:p>
    <w:p w14:paraId="5B080F42" w14:textId="77777777" w:rsidR="00271A1B" w:rsidRDefault="00000000" w:rsidP="00FE3442">
      <w:pPr>
        <w:pStyle w:val="BodyText"/>
        <w:jc w:val="both"/>
      </w:pPr>
      <w:hyperlink r:id="rId54">
        <w:r>
          <w:rPr>
            <w:rStyle w:val="Hyperlink"/>
          </w:rPr>
          <w:t>https://www.nature.com/articles/s41597-020-0534-3</w:t>
        </w:r>
      </w:hyperlink>
    </w:p>
    <w:p w14:paraId="5F3E3D54" w14:textId="77777777" w:rsidR="00271A1B" w:rsidRDefault="00000000" w:rsidP="00FE3442">
      <w:pPr>
        <w:pStyle w:val="BodyText"/>
        <w:jc w:val="both"/>
      </w:pPr>
      <w:hyperlink r:id="rId55">
        <w:r>
          <w:rPr>
            <w:rStyle w:val="Hyperlink"/>
          </w:rPr>
          <w:t>[2]</w:t>
        </w:r>
      </w:hyperlink>
      <w:r>
        <w:t xml:space="preserve"> </w:t>
      </w:r>
      <w:hyperlink r:id="rId56">
        <w:r>
          <w:rPr>
            <w:rStyle w:val="Hyperlink"/>
          </w:rPr>
          <w:t>[22]</w:t>
        </w:r>
      </w:hyperlink>
      <w:r>
        <w:t xml:space="preserve"> </w:t>
      </w:r>
      <w:hyperlink r:id="rId57">
        <w:r>
          <w:rPr>
            <w:rStyle w:val="Hyperlink"/>
          </w:rPr>
          <w:t>[27]</w:t>
        </w:r>
      </w:hyperlink>
      <w:r>
        <w:t xml:space="preserve"> https://www.sciencedirect.com/science/article/abs/pii/S0304380020302490</w:t>
      </w:r>
    </w:p>
    <w:p w14:paraId="71C39DFF" w14:textId="77777777" w:rsidR="00271A1B" w:rsidRDefault="00000000" w:rsidP="00FE3442">
      <w:pPr>
        <w:pStyle w:val="BodyText"/>
        <w:jc w:val="both"/>
      </w:pPr>
      <w:hyperlink r:id="rId58">
        <w:r>
          <w:rPr>
            <w:rStyle w:val="Hyperlink"/>
          </w:rPr>
          <w:t>https://www.sciencedirect.com/science/article/abs/pii/S0304380020302490</w:t>
        </w:r>
      </w:hyperlink>
    </w:p>
    <w:p w14:paraId="789141B6" w14:textId="77777777" w:rsidR="00271A1B" w:rsidRDefault="00000000" w:rsidP="00FE3442">
      <w:pPr>
        <w:pStyle w:val="BodyText"/>
        <w:jc w:val="both"/>
      </w:pPr>
      <w:hyperlink r:id="rId59">
        <w:r>
          <w:rPr>
            <w:rStyle w:val="Hyperlink"/>
          </w:rPr>
          <w:t>[3]</w:t>
        </w:r>
      </w:hyperlink>
      <w:r>
        <w:t xml:space="preserve"> </w:t>
      </w:r>
      <w:hyperlink r:id="rId60">
        <w:r>
          <w:rPr>
            <w:rStyle w:val="Hyperlink"/>
          </w:rPr>
          <w:t>[30]</w:t>
        </w:r>
      </w:hyperlink>
      <w:r>
        <w:t xml:space="preserve"> https://ntrs.nasa.gov/citations/20190032412</w:t>
      </w:r>
    </w:p>
    <w:p w14:paraId="7792C98B" w14:textId="77777777" w:rsidR="00271A1B" w:rsidRDefault="00000000" w:rsidP="00FE3442">
      <w:pPr>
        <w:pStyle w:val="BodyText"/>
        <w:jc w:val="both"/>
      </w:pPr>
      <w:hyperlink r:id="rId61">
        <w:r>
          <w:rPr>
            <w:rStyle w:val="Hyperlink"/>
          </w:rPr>
          <w:t>https://ntrs.nasa.gov/citations/20190032412</w:t>
        </w:r>
      </w:hyperlink>
    </w:p>
    <w:p w14:paraId="554ABF06" w14:textId="77777777" w:rsidR="00271A1B" w:rsidRDefault="00000000" w:rsidP="00FE3442">
      <w:pPr>
        <w:pStyle w:val="BodyText"/>
        <w:jc w:val="both"/>
      </w:pPr>
      <w:hyperlink r:id="rId62">
        <w:r>
          <w:rPr>
            <w:rStyle w:val="Hyperlink"/>
          </w:rPr>
          <w:t>[5]</w:t>
        </w:r>
      </w:hyperlink>
      <w:r>
        <w:t xml:space="preserve"> https://orbi.uliege.be/handle/2268/32038</w:t>
      </w:r>
    </w:p>
    <w:p w14:paraId="2F8F27D1" w14:textId="77777777" w:rsidR="00271A1B" w:rsidRDefault="00000000" w:rsidP="00FE3442">
      <w:pPr>
        <w:pStyle w:val="BodyText"/>
        <w:jc w:val="both"/>
      </w:pPr>
      <w:hyperlink r:id="rId63">
        <w:r>
          <w:rPr>
            <w:rStyle w:val="Hyperlink"/>
          </w:rPr>
          <w:t>https://orbi.uliege.be/handle/2268/32038</w:t>
        </w:r>
      </w:hyperlink>
    </w:p>
    <w:p w14:paraId="21F74037" w14:textId="77777777" w:rsidR="00271A1B" w:rsidRDefault="00000000" w:rsidP="00FE3442">
      <w:pPr>
        <w:pStyle w:val="BodyText"/>
        <w:jc w:val="both"/>
      </w:pPr>
      <w:hyperlink r:id="rId64">
        <w:r>
          <w:rPr>
            <w:rStyle w:val="Hyperlink"/>
          </w:rPr>
          <w:t>[6]</w:t>
        </w:r>
      </w:hyperlink>
      <w:r>
        <w:t xml:space="preserve"> </w:t>
      </w:r>
      <w:hyperlink r:id="rId65">
        <w:r>
          <w:rPr>
            <w:rStyle w:val="Hyperlink"/>
          </w:rPr>
          <w:t>[18]</w:t>
        </w:r>
      </w:hyperlink>
      <w:r>
        <w:t xml:space="preserve"> https://researchportal.helsinki.fi/en/publications/on-the-separation-of-net-ecosystem-exchange-into-assimilation-and/</w:t>
      </w:r>
    </w:p>
    <w:p w14:paraId="256735CE" w14:textId="77777777" w:rsidR="00271A1B" w:rsidRDefault="00000000" w:rsidP="00FE3442">
      <w:pPr>
        <w:pStyle w:val="BodyText"/>
        <w:jc w:val="both"/>
      </w:pPr>
      <w:hyperlink r:id="rId66">
        <w:r>
          <w:rPr>
            <w:rStyle w:val="Hyperlink"/>
          </w:rPr>
          <w:t>https://researchportal.helsinki.fi/en/publications/on-the-separation-of-net-ecosystem-exchange-into-assimilation-and/</w:t>
        </w:r>
      </w:hyperlink>
    </w:p>
    <w:p w14:paraId="0387DFAE" w14:textId="77777777" w:rsidR="00271A1B" w:rsidRDefault="00000000" w:rsidP="00FE3442">
      <w:pPr>
        <w:pStyle w:val="BodyText"/>
        <w:jc w:val="both"/>
      </w:pPr>
      <w:hyperlink r:id="rId67">
        <w:r>
          <w:rPr>
            <w:rStyle w:val="Hyperlink"/>
          </w:rPr>
          <w:t>[7]</w:t>
        </w:r>
      </w:hyperlink>
      <w:r>
        <w:t xml:space="preserve"> https://www.scirp.org/reference/referencespapers?referenceid=2185167</w:t>
      </w:r>
    </w:p>
    <w:p w14:paraId="0E9CC066" w14:textId="77777777" w:rsidR="00271A1B" w:rsidRDefault="00000000" w:rsidP="00FE3442">
      <w:pPr>
        <w:pStyle w:val="BodyText"/>
        <w:jc w:val="both"/>
      </w:pPr>
      <w:hyperlink r:id="rId68">
        <w:r>
          <w:rPr>
            <w:rStyle w:val="Hyperlink"/>
          </w:rPr>
          <w:t>https://www.scirp.org/reference/referencespapers?referenceid=2185167</w:t>
        </w:r>
      </w:hyperlink>
    </w:p>
    <w:p w14:paraId="2E8DC6A6" w14:textId="77777777" w:rsidR="00271A1B" w:rsidRDefault="00000000" w:rsidP="00FE3442">
      <w:pPr>
        <w:pStyle w:val="BodyText"/>
        <w:jc w:val="both"/>
      </w:pPr>
      <w:hyperlink r:id="rId69">
        <w:r>
          <w:rPr>
            <w:rStyle w:val="Hyperlink"/>
          </w:rPr>
          <w:t>[8]</w:t>
        </w:r>
      </w:hyperlink>
      <w:r>
        <w:t xml:space="preserve"> </w:t>
      </w:r>
      <w:hyperlink r:id="rId70">
        <w:r>
          <w:rPr>
            <w:rStyle w:val="Hyperlink"/>
          </w:rPr>
          <w:t>[20]</w:t>
        </w:r>
      </w:hyperlink>
      <w:r>
        <w:t xml:space="preserve"> https://soil.copernicus.org/articles/7/217/2021/</w:t>
      </w:r>
    </w:p>
    <w:p w14:paraId="100A8D9F" w14:textId="77777777" w:rsidR="00271A1B" w:rsidRDefault="00000000" w:rsidP="00FE3442">
      <w:pPr>
        <w:pStyle w:val="BodyText"/>
        <w:jc w:val="both"/>
      </w:pPr>
      <w:hyperlink r:id="rId71">
        <w:r>
          <w:rPr>
            <w:rStyle w:val="Hyperlink"/>
          </w:rPr>
          <w:t>https://soil.copernicus.org/articles/7/217/2021/</w:t>
        </w:r>
      </w:hyperlink>
    </w:p>
    <w:p w14:paraId="7FE7D2E4" w14:textId="77777777" w:rsidR="00271A1B" w:rsidRDefault="00000000" w:rsidP="00FE3442">
      <w:pPr>
        <w:pStyle w:val="BodyText"/>
        <w:jc w:val="both"/>
      </w:pPr>
      <w:hyperlink r:id="rId72">
        <w:r>
          <w:rPr>
            <w:rStyle w:val="Hyperlink"/>
          </w:rPr>
          <w:t>[9]</w:t>
        </w:r>
      </w:hyperlink>
      <w:r>
        <w:t xml:space="preserve"> </w:t>
      </w:r>
      <w:hyperlink r:id="rId73">
        <w:r>
          <w:rPr>
            <w:rStyle w:val="Hyperlink"/>
          </w:rPr>
          <w:t>[21]</w:t>
        </w:r>
      </w:hyperlink>
      <w:r>
        <w:t xml:space="preserve"> </w:t>
      </w:r>
      <w:hyperlink r:id="rId74">
        <w:r>
          <w:rPr>
            <w:rStyle w:val="Hyperlink"/>
          </w:rPr>
          <w:t>[40]</w:t>
        </w:r>
      </w:hyperlink>
      <w:r>
        <w:t xml:space="preserve"> https://essd.copernicus.org/articles/16/4735/2024/</w:t>
      </w:r>
    </w:p>
    <w:p w14:paraId="7B9275A0" w14:textId="77777777" w:rsidR="00271A1B" w:rsidRDefault="00000000" w:rsidP="00FE3442">
      <w:pPr>
        <w:pStyle w:val="BodyText"/>
        <w:jc w:val="both"/>
      </w:pPr>
      <w:hyperlink r:id="rId75">
        <w:r>
          <w:rPr>
            <w:rStyle w:val="Hyperlink"/>
          </w:rPr>
          <w:t>https://essd.copernicus.org/articles/16/4735/2024/</w:t>
        </w:r>
      </w:hyperlink>
    </w:p>
    <w:p w14:paraId="3CB7849E" w14:textId="77777777" w:rsidR="00271A1B" w:rsidRDefault="00000000" w:rsidP="00FE3442">
      <w:pPr>
        <w:pStyle w:val="BodyText"/>
        <w:jc w:val="both"/>
      </w:pPr>
      <w:hyperlink r:id="rId76">
        <w:r>
          <w:rPr>
            <w:rStyle w:val="Hyperlink"/>
          </w:rPr>
          <w:t>[10]</w:t>
        </w:r>
      </w:hyperlink>
      <w:r>
        <w:t xml:space="preserve"> https://www.x-mol.com/paper/1273710237475958784</w:t>
      </w:r>
    </w:p>
    <w:p w14:paraId="67678739" w14:textId="77777777" w:rsidR="00271A1B" w:rsidRDefault="00000000" w:rsidP="00FE3442">
      <w:pPr>
        <w:pStyle w:val="BodyText"/>
        <w:jc w:val="both"/>
      </w:pPr>
      <w:hyperlink r:id="rId77">
        <w:r>
          <w:rPr>
            <w:rStyle w:val="Hyperlink"/>
          </w:rPr>
          <w:t>https://www.x-mol.com/paper/1273710237475958784</w:t>
        </w:r>
      </w:hyperlink>
    </w:p>
    <w:p w14:paraId="09BB9025" w14:textId="77777777" w:rsidR="00271A1B" w:rsidRDefault="00000000" w:rsidP="00FE3442">
      <w:pPr>
        <w:pStyle w:val="BodyText"/>
        <w:jc w:val="both"/>
      </w:pPr>
      <w:hyperlink r:id="rId78">
        <w:r>
          <w:rPr>
            <w:rStyle w:val="Hyperlink"/>
          </w:rPr>
          <w:t>[11]</w:t>
        </w:r>
      </w:hyperlink>
      <w:r>
        <w:t xml:space="preserve"> https://scholar.kyobobook.co.kr/article/detail/4010036845836</w:t>
      </w:r>
    </w:p>
    <w:p w14:paraId="7B958745" w14:textId="77777777" w:rsidR="00271A1B" w:rsidRDefault="00000000" w:rsidP="00FE3442">
      <w:pPr>
        <w:pStyle w:val="BodyText"/>
        <w:jc w:val="both"/>
      </w:pPr>
      <w:hyperlink r:id="rId79">
        <w:r>
          <w:rPr>
            <w:rStyle w:val="Hyperlink"/>
          </w:rPr>
          <w:t>https://scholar.kyobobook.co.kr/article/detail/4010036845836</w:t>
        </w:r>
      </w:hyperlink>
    </w:p>
    <w:p w14:paraId="32736C3C" w14:textId="77777777" w:rsidR="00271A1B" w:rsidRDefault="00000000" w:rsidP="00FE3442">
      <w:pPr>
        <w:pStyle w:val="BodyText"/>
        <w:jc w:val="both"/>
      </w:pPr>
      <w:hyperlink r:id="rId80">
        <w:r>
          <w:rPr>
            <w:rStyle w:val="Hyperlink"/>
          </w:rPr>
          <w:t>[12]</w:t>
        </w:r>
      </w:hyperlink>
      <w:r>
        <w:t xml:space="preserve"> </w:t>
      </w:r>
      <w:hyperlink r:id="rId81">
        <w:r>
          <w:rPr>
            <w:rStyle w:val="Hyperlink"/>
          </w:rPr>
          <w:t>[24]</w:t>
        </w:r>
      </w:hyperlink>
      <w:r>
        <w:t xml:space="preserve"> https://www.sciencedirect.com/science/article/pii/S037811272100431X</w:t>
      </w:r>
    </w:p>
    <w:p w14:paraId="110C118B" w14:textId="77777777" w:rsidR="00271A1B" w:rsidRDefault="00000000" w:rsidP="00FE3442">
      <w:pPr>
        <w:pStyle w:val="BodyText"/>
        <w:jc w:val="both"/>
      </w:pPr>
      <w:hyperlink r:id="rId82">
        <w:r>
          <w:rPr>
            <w:rStyle w:val="Hyperlink"/>
          </w:rPr>
          <w:t>https://www.sciencedirect.com/science/article/pii/S037811272100431X</w:t>
        </w:r>
      </w:hyperlink>
    </w:p>
    <w:p w14:paraId="1709A983" w14:textId="77777777" w:rsidR="00271A1B" w:rsidRDefault="00000000" w:rsidP="00FE3442">
      <w:pPr>
        <w:pStyle w:val="BodyText"/>
        <w:jc w:val="both"/>
      </w:pPr>
      <w:hyperlink r:id="rId83">
        <w:r>
          <w:rPr>
            <w:rStyle w:val="Hyperlink"/>
          </w:rPr>
          <w:t>[13]</w:t>
        </w:r>
      </w:hyperlink>
      <w:r>
        <w:t xml:space="preserve"> https://www.x-mol.com/paper/1731438014385377280?adv=</w:t>
      </w:r>
    </w:p>
    <w:p w14:paraId="68B8B9EA" w14:textId="77777777" w:rsidR="00271A1B" w:rsidRDefault="00000000" w:rsidP="00FE3442">
      <w:pPr>
        <w:pStyle w:val="BodyText"/>
        <w:jc w:val="both"/>
      </w:pPr>
      <w:hyperlink r:id="rId84">
        <w:r>
          <w:rPr>
            <w:rStyle w:val="Hyperlink"/>
          </w:rPr>
          <w:t>https://www.x-mol.com/paper/1731438014385377280?adv=</w:t>
        </w:r>
      </w:hyperlink>
    </w:p>
    <w:p w14:paraId="11C1301C" w14:textId="77777777" w:rsidR="00271A1B" w:rsidRDefault="00000000" w:rsidP="00FE3442">
      <w:pPr>
        <w:pStyle w:val="BodyText"/>
        <w:jc w:val="both"/>
      </w:pPr>
      <w:hyperlink r:id="rId85">
        <w:r>
          <w:rPr>
            <w:rStyle w:val="Hyperlink"/>
          </w:rPr>
          <w:t>[14]</w:t>
        </w:r>
      </w:hyperlink>
      <w:r>
        <w:t xml:space="preserve"> </w:t>
      </w:r>
      <w:hyperlink r:id="rId86">
        <w:r>
          <w:rPr>
            <w:rStyle w:val="Hyperlink"/>
          </w:rPr>
          <w:t>[26]</w:t>
        </w:r>
      </w:hyperlink>
      <w:r>
        <w:t xml:space="preserve"> https://colab.ws/articles/10.1111%2Fgcb.14731</w:t>
      </w:r>
    </w:p>
    <w:p w14:paraId="3B5F5D71" w14:textId="77777777" w:rsidR="00271A1B" w:rsidRDefault="00000000" w:rsidP="00FE3442">
      <w:pPr>
        <w:pStyle w:val="BodyText"/>
        <w:jc w:val="both"/>
      </w:pPr>
      <w:hyperlink r:id="rId87">
        <w:r>
          <w:rPr>
            <w:rStyle w:val="Hyperlink"/>
          </w:rPr>
          <w:t>https://colab.ws/articles/10.1111%2Fgcb.14731</w:t>
        </w:r>
      </w:hyperlink>
    </w:p>
    <w:p w14:paraId="54908587" w14:textId="77777777" w:rsidR="00271A1B" w:rsidRDefault="00000000" w:rsidP="00FE3442">
      <w:pPr>
        <w:pStyle w:val="BodyText"/>
        <w:jc w:val="both"/>
      </w:pPr>
      <w:hyperlink r:id="rId88">
        <w:r>
          <w:rPr>
            <w:rStyle w:val="Hyperlink"/>
          </w:rPr>
          <w:t>[15]</w:t>
        </w:r>
      </w:hyperlink>
      <w:r>
        <w:t xml:space="preserve"> </w:t>
      </w:r>
      <w:hyperlink r:id="rId89">
        <w:r>
          <w:rPr>
            <w:rStyle w:val="Hyperlink"/>
          </w:rPr>
          <w:t>[34]</w:t>
        </w:r>
      </w:hyperlink>
      <w:r>
        <w:t xml:space="preserve"> https://fluxnet.org/data/fluxnet2015-dataset/variables-quick-start-guide/</w:t>
      </w:r>
    </w:p>
    <w:p w14:paraId="475F5ED7" w14:textId="77777777" w:rsidR="00271A1B" w:rsidRDefault="00000000" w:rsidP="00FE3442">
      <w:pPr>
        <w:pStyle w:val="BodyText"/>
        <w:jc w:val="both"/>
      </w:pPr>
      <w:hyperlink r:id="rId90">
        <w:r>
          <w:rPr>
            <w:rStyle w:val="Hyperlink"/>
          </w:rPr>
          <w:t>https://fluxnet.org/data/fluxnet2015-dataset/variables-quick-start-guide/</w:t>
        </w:r>
      </w:hyperlink>
    </w:p>
    <w:p w14:paraId="30C62CEE" w14:textId="77777777" w:rsidR="00271A1B" w:rsidRDefault="00000000" w:rsidP="00FE3442">
      <w:pPr>
        <w:pStyle w:val="BodyText"/>
        <w:jc w:val="both"/>
      </w:pPr>
      <w:hyperlink r:id="rId91">
        <w:r>
          <w:rPr>
            <w:rStyle w:val="Hyperlink"/>
          </w:rPr>
          <w:t>[17]</w:t>
        </w:r>
      </w:hyperlink>
      <w:r>
        <w:t xml:space="preserve"> https://bg.copernicus.org/articles/3/571/2006/bg-3-571-2006.pdf</w:t>
      </w:r>
    </w:p>
    <w:p w14:paraId="3DB68399" w14:textId="77777777" w:rsidR="00271A1B" w:rsidRDefault="00000000" w:rsidP="00FE3442">
      <w:pPr>
        <w:pStyle w:val="BodyText"/>
        <w:jc w:val="both"/>
      </w:pPr>
      <w:hyperlink r:id="rId92">
        <w:r>
          <w:rPr>
            <w:rStyle w:val="Hyperlink"/>
          </w:rPr>
          <w:t>https://bg.copernicus.org/articles/3/571/2006/bg-3-571-2006.pdf</w:t>
        </w:r>
      </w:hyperlink>
    </w:p>
    <w:p w14:paraId="1DE355F5" w14:textId="77777777" w:rsidR="00271A1B" w:rsidRDefault="00000000" w:rsidP="00FE3442">
      <w:pPr>
        <w:pStyle w:val="BodyText"/>
        <w:jc w:val="both"/>
      </w:pPr>
      <w:hyperlink r:id="rId93">
        <w:r>
          <w:rPr>
            <w:rStyle w:val="Hyperlink"/>
          </w:rPr>
          <w:t>[19]</w:t>
        </w:r>
      </w:hyperlink>
      <w:r>
        <w:t xml:space="preserve"> https://www.sciencegate.app/document/10.1046/j.1365-2486.2003.00629.x</w:t>
      </w:r>
    </w:p>
    <w:p w14:paraId="35655585" w14:textId="77777777" w:rsidR="00271A1B" w:rsidRDefault="00000000" w:rsidP="00FE3442">
      <w:pPr>
        <w:pStyle w:val="BodyText"/>
        <w:jc w:val="both"/>
      </w:pPr>
      <w:hyperlink r:id="rId94">
        <w:r>
          <w:rPr>
            <w:rStyle w:val="Hyperlink"/>
          </w:rPr>
          <w:t>https://www.sciencegate.app/document/10.1046/j.1365-2486.2003.00629.x</w:t>
        </w:r>
      </w:hyperlink>
    </w:p>
    <w:p w14:paraId="0B8EAE07" w14:textId="77777777" w:rsidR="00271A1B" w:rsidRDefault="00000000" w:rsidP="00FE3442">
      <w:pPr>
        <w:pStyle w:val="BodyText"/>
        <w:jc w:val="both"/>
      </w:pPr>
      <w:hyperlink r:id="rId95">
        <w:r>
          <w:rPr>
            <w:rStyle w:val="Hyperlink"/>
          </w:rPr>
          <w:t>[23]</w:t>
        </w:r>
      </w:hyperlink>
      <w:r>
        <w:t xml:space="preserve"> https://dspace.kci.go.kr/handle/kci/1939866</w:t>
      </w:r>
    </w:p>
    <w:p w14:paraId="7BB70CCB" w14:textId="77777777" w:rsidR="00271A1B" w:rsidRDefault="00000000" w:rsidP="00FE3442">
      <w:pPr>
        <w:pStyle w:val="BodyText"/>
        <w:jc w:val="both"/>
      </w:pPr>
      <w:hyperlink r:id="rId96">
        <w:r>
          <w:rPr>
            <w:rStyle w:val="Hyperlink"/>
          </w:rPr>
          <w:t>https://dspace.kci.go.kr/handle/kci/1939866</w:t>
        </w:r>
      </w:hyperlink>
    </w:p>
    <w:p w14:paraId="3872C82D" w14:textId="77777777" w:rsidR="00271A1B" w:rsidRDefault="00000000" w:rsidP="00FE3442">
      <w:pPr>
        <w:pStyle w:val="BodyText"/>
        <w:jc w:val="both"/>
      </w:pPr>
      <w:hyperlink r:id="rId97">
        <w:r>
          <w:rPr>
            <w:rStyle w:val="Hyperlink"/>
          </w:rPr>
          <w:t>[25]</w:t>
        </w:r>
      </w:hyperlink>
      <w:r>
        <w:t xml:space="preserve"> https://www.sciencedirect.com/science/article/pii/S1470160X23015005</w:t>
      </w:r>
    </w:p>
    <w:p w14:paraId="267626B7" w14:textId="77777777" w:rsidR="00271A1B" w:rsidRDefault="00000000" w:rsidP="00FE3442">
      <w:pPr>
        <w:pStyle w:val="BodyText"/>
        <w:jc w:val="both"/>
      </w:pPr>
      <w:hyperlink r:id="rId98">
        <w:r>
          <w:rPr>
            <w:rStyle w:val="Hyperlink"/>
          </w:rPr>
          <w:t>https://www.sciencedirect.com/science/article/pii/S1470160X23015005</w:t>
        </w:r>
      </w:hyperlink>
    </w:p>
    <w:p w14:paraId="1DB7EF15" w14:textId="77777777" w:rsidR="00271A1B" w:rsidRDefault="00000000" w:rsidP="00FE3442">
      <w:pPr>
        <w:pStyle w:val="BodyText"/>
        <w:jc w:val="both"/>
      </w:pPr>
      <w:hyperlink r:id="rId99">
        <w:r>
          <w:rPr>
            <w:rStyle w:val="Hyperlink"/>
          </w:rPr>
          <w:t>[28]</w:t>
        </w:r>
      </w:hyperlink>
      <w:r>
        <w:t xml:space="preserve"> https://www.academia.edu/49839336/Carbon_sequestration_index_as_a_determinant_for_climate_change_mitigation_Case_study_of_Bintan_Island</w:t>
      </w:r>
    </w:p>
    <w:p w14:paraId="345BBFBD" w14:textId="77777777" w:rsidR="00271A1B" w:rsidRDefault="00000000" w:rsidP="00FE3442">
      <w:pPr>
        <w:pStyle w:val="BodyText"/>
        <w:jc w:val="both"/>
      </w:pPr>
      <w:hyperlink r:id="rId100">
        <w:r>
          <w:rPr>
            <w:rStyle w:val="Hyperlink"/>
          </w:rPr>
          <w:t>https://www.academia.edu/49839336/Carbon_sequestration_index_as_a_determinant_for_climate_change_mitigation_Case_study_of_Bintan_Island</w:t>
        </w:r>
      </w:hyperlink>
    </w:p>
    <w:p w14:paraId="3ED77799" w14:textId="77777777" w:rsidR="00271A1B" w:rsidRDefault="00000000" w:rsidP="00FE3442">
      <w:pPr>
        <w:pStyle w:val="BodyText"/>
        <w:jc w:val="both"/>
      </w:pPr>
      <w:hyperlink r:id="rId101">
        <w:r>
          <w:rPr>
            <w:rStyle w:val="Hyperlink"/>
          </w:rPr>
          <w:t>[29]</w:t>
        </w:r>
      </w:hyperlink>
      <w:r>
        <w:t xml:space="preserve"> </w:t>
      </w:r>
      <w:hyperlink r:id="rId102">
        <w:r>
          <w:rPr>
            <w:rStyle w:val="Hyperlink"/>
          </w:rPr>
          <w:t>[35]</w:t>
        </w:r>
      </w:hyperlink>
      <w:r>
        <w:t xml:space="preserve"> </w:t>
      </w:r>
      <w:hyperlink r:id="rId103">
        <w:r>
          <w:rPr>
            <w:rStyle w:val="Hyperlink"/>
          </w:rPr>
          <w:t>[41]</w:t>
        </w:r>
      </w:hyperlink>
      <w:r>
        <w:t xml:space="preserve"> </w:t>
      </w:r>
      <w:hyperlink r:id="rId104">
        <w:r>
          <w:rPr>
            <w:rStyle w:val="Hyperlink"/>
          </w:rPr>
          <w:t>[42]</w:t>
        </w:r>
      </w:hyperlink>
      <w:r>
        <w:t xml:space="preserve"> https://fluxnet.org/data/fluxnet2015-dataset/data-processing/</w:t>
      </w:r>
    </w:p>
    <w:p w14:paraId="6B13FC6D" w14:textId="77777777" w:rsidR="00271A1B" w:rsidRDefault="00000000" w:rsidP="00FE3442">
      <w:pPr>
        <w:pStyle w:val="BodyText"/>
        <w:jc w:val="both"/>
      </w:pPr>
      <w:hyperlink r:id="rId105">
        <w:r>
          <w:rPr>
            <w:rStyle w:val="Hyperlink"/>
          </w:rPr>
          <w:t>https://fluxnet.org/data/fluxnet2015-dataset/data-processing/</w:t>
        </w:r>
      </w:hyperlink>
    </w:p>
    <w:p w14:paraId="78C7C540" w14:textId="77777777" w:rsidR="00271A1B" w:rsidRDefault="00000000" w:rsidP="00FE3442">
      <w:pPr>
        <w:pStyle w:val="BodyText"/>
        <w:jc w:val="both"/>
      </w:pPr>
      <w:hyperlink r:id="rId106">
        <w:r>
          <w:rPr>
            <w:rStyle w:val="Hyperlink"/>
          </w:rPr>
          <w:t>[32]</w:t>
        </w:r>
      </w:hyperlink>
      <w:r>
        <w:t xml:space="preserve"> </w:t>
      </w:r>
      <w:hyperlink r:id="rId107">
        <w:r>
          <w:rPr>
            <w:rStyle w:val="Hyperlink"/>
          </w:rPr>
          <w:t>[39]</w:t>
        </w:r>
      </w:hyperlink>
      <w:r>
        <w:t xml:space="preserve"> Data Variables - FLUXNET</w:t>
      </w:r>
    </w:p>
    <w:p w14:paraId="22E71892" w14:textId="77777777" w:rsidR="00271A1B" w:rsidRDefault="00000000" w:rsidP="00FE3442">
      <w:pPr>
        <w:pStyle w:val="BodyText"/>
        <w:jc w:val="both"/>
      </w:pPr>
      <w:hyperlink r:id="rId108">
        <w:r>
          <w:rPr>
            <w:rStyle w:val="Hyperlink"/>
          </w:rPr>
          <w:t>https://fluxnet.org/data/aboutdata/data-variables/</w:t>
        </w:r>
      </w:hyperlink>
    </w:p>
    <w:p w14:paraId="16A6574F" w14:textId="77777777" w:rsidR="00271A1B" w:rsidRDefault="00000000" w:rsidP="00FE3442">
      <w:pPr>
        <w:pStyle w:val="BodyText"/>
        <w:jc w:val="both"/>
      </w:pPr>
      <w:hyperlink r:id="rId109">
        <w:r>
          <w:rPr>
            <w:rStyle w:val="Hyperlink"/>
          </w:rPr>
          <w:t>[33]</w:t>
        </w:r>
      </w:hyperlink>
      <w:r>
        <w:t xml:space="preserve"> https://ntrs.nasa.gov/api/citations/20190032412/downloads/20190032412.pdf</w:t>
      </w:r>
    </w:p>
    <w:p w14:paraId="06702302" w14:textId="77777777" w:rsidR="00271A1B" w:rsidRDefault="00000000" w:rsidP="00FE3442">
      <w:pPr>
        <w:pStyle w:val="BodyText"/>
        <w:jc w:val="both"/>
      </w:pPr>
      <w:hyperlink r:id="rId110">
        <w:r>
          <w:rPr>
            <w:rStyle w:val="Hyperlink"/>
          </w:rPr>
          <w:t>https://ntrs.nasa.gov/api/citations/20190032412/downloads/20190032412.pdf</w:t>
        </w:r>
      </w:hyperlink>
    </w:p>
    <w:p w14:paraId="16FBA4C6" w14:textId="77777777" w:rsidR="00271A1B" w:rsidRDefault="00000000" w:rsidP="00FE3442">
      <w:pPr>
        <w:pStyle w:val="BodyText"/>
        <w:jc w:val="both"/>
      </w:pPr>
      <w:hyperlink r:id="rId111">
        <w:r>
          <w:rPr>
            <w:rStyle w:val="Hyperlink"/>
          </w:rPr>
          <w:t>[36]</w:t>
        </w:r>
      </w:hyperlink>
      <w:r>
        <w:t xml:space="preserve"> https://onlinelibrary.wiley.com/doi/epdf/10.1111/gcb.70840</w:t>
      </w:r>
    </w:p>
    <w:p w14:paraId="4EECF760" w14:textId="77777777" w:rsidR="00271A1B" w:rsidRDefault="00000000" w:rsidP="00FE3442">
      <w:pPr>
        <w:pStyle w:val="BodyText"/>
        <w:jc w:val="both"/>
      </w:pPr>
      <w:hyperlink r:id="rId112">
        <w:r>
          <w:rPr>
            <w:rStyle w:val="Hyperlink"/>
          </w:rPr>
          <w:t>https://onlinelibrary.wiley.com/doi/epdf/10.1111/gcb.70840</w:t>
        </w:r>
      </w:hyperlink>
    </w:p>
    <w:p w14:paraId="73DB0799" w14:textId="77777777" w:rsidR="00271A1B" w:rsidRDefault="00000000" w:rsidP="00FE3442">
      <w:pPr>
        <w:pStyle w:val="BodyText"/>
        <w:jc w:val="both"/>
      </w:pPr>
      <w:hyperlink r:id="rId113">
        <w:r>
          <w:rPr>
            <w:rStyle w:val="Hyperlink"/>
          </w:rPr>
          <w:t>[37]</w:t>
        </w:r>
      </w:hyperlink>
      <w:r>
        <w:t xml:space="preserve"> https://docs.isric.org/globaldata/soilgrids/SoilGrids_faqs_01.html</w:t>
      </w:r>
    </w:p>
    <w:p w14:paraId="34BF5DBC" w14:textId="77777777" w:rsidR="00271A1B" w:rsidRDefault="00000000" w:rsidP="00FE3442">
      <w:pPr>
        <w:pStyle w:val="BodyText"/>
        <w:jc w:val="both"/>
      </w:pPr>
      <w:hyperlink r:id="rId114">
        <w:r>
          <w:rPr>
            <w:rStyle w:val="Hyperlink"/>
          </w:rPr>
          <w:t>https://docs.isric.org/globaldata/soilgrids/SoilGrids_faqs_01.html</w:t>
        </w:r>
      </w:hyperlink>
      <w:bookmarkEnd w:id="10"/>
    </w:p>
    <w:sectPr w:rsidR="00271A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72F9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5542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71A1B"/>
    <w:rsid w:val="00271A1B"/>
    <w:rsid w:val="00F34308"/>
    <w:rsid w:val="00FE3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B899"/>
  <w15:docId w15:val="{75A6A781-9223-4FCE-9F1A-F7DC718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abs/pii/S0304380020302490" TargetMode="External"/><Relationship Id="rId21" Type="http://schemas.openxmlformats.org/officeDocument/2006/relationships/hyperlink" Target="https://bg.copernicus.org/articles/3/571/2006/bg-3-571-2006.pdf" TargetMode="External"/><Relationship Id="rId42" Type="http://schemas.openxmlformats.org/officeDocument/2006/relationships/hyperlink" Target="https://docs.isric.org/globaldata/soilgrids/SoilGrids_faqs_01.html" TargetMode="External"/><Relationship Id="rId47" Type="http://schemas.openxmlformats.org/officeDocument/2006/relationships/hyperlink" Target="https://fluxnet.org/data/fluxnet2015-dataset/data-processing/" TargetMode="External"/><Relationship Id="rId63" Type="http://schemas.openxmlformats.org/officeDocument/2006/relationships/hyperlink" Target="https://orbi.uliege.be/handle/2268/32038" TargetMode="External"/><Relationship Id="rId68" Type="http://schemas.openxmlformats.org/officeDocument/2006/relationships/hyperlink" Target="https://www.scirp.org/reference/referencespapers?referenceid=2185167" TargetMode="External"/><Relationship Id="rId84" Type="http://schemas.openxmlformats.org/officeDocument/2006/relationships/hyperlink" Target="https://www.x-mol.com/paper/1731438014385377280?adv=" TargetMode="External"/><Relationship Id="rId89" Type="http://schemas.openxmlformats.org/officeDocument/2006/relationships/hyperlink" Target="https://fluxnet.org/data/fluxnet2015-dataset/variables-quick-start-guide/" TargetMode="External"/><Relationship Id="rId112" Type="http://schemas.openxmlformats.org/officeDocument/2006/relationships/hyperlink" Target="https://onlinelibrary.wiley.com/doi/epdf/10.1111/gcb.70840" TargetMode="External"/><Relationship Id="rId16" Type="http://schemas.openxmlformats.org/officeDocument/2006/relationships/hyperlink" Target="https://www.sciencedirect.com/science/article/pii/S037811272100431X" TargetMode="External"/><Relationship Id="rId107" Type="http://schemas.openxmlformats.org/officeDocument/2006/relationships/hyperlink" Target="https://fluxnet.org/data/aboutdata/data-variables/" TargetMode="External"/><Relationship Id="rId11" Type="http://schemas.openxmlformats.org/officeDocument/2006/relationships/hyperlink" Target="https://www.scirp.org/reference/referencespapers?referenceid=2185167" TargetMode="External"/><Relationship Id="rId32" Type="http://schemas.openxmlformats.org/officeDocument/2006/relationships/hyperlink" Target="https://www.academia.edu/49839336/Carbon_sequestration_index_as_a_determinant_for_climate_change_mitigation_Case_study_of_Bintan_Island" TargetMode="External"/><Relationship Id="rId37" Type="http://schemas.openxmlformats.org/officeDocument/2006/relationships/hyperlink" Target="https://fluxnet.org/data/aboutdata/data-variables/" TargetMode="External"/><Relationship Id="rId53" Type="http://schemas.openxmlformats.org/officeDocument/2006/relationships/hyperlink" Target="https://www.nature.com/articles/s41597-020-0534-3" TargetMode="External"/><Relationship Id="rId58" Type="http://schemas.openxmlformats.org/officeDocument/2006/relationships/hyperlink" Target="https://www.sciencedirect.com/science/article/abs/pii/S0304380020302490" TargetMode="External"/><Relationship Id="rId74" Type="http://schemas.openxmlformats.org/officeDocument/2006/relationships/hyperlink" Target="https://essd.copernicus.org/articles/16/4735/2024/" TargetMode="External"/><Relationship Id="rId79" Type="http://schemas.openxmlformats.org/officeDocument/2006/relationships/hyperlink" Target="https://scholar.kyobobook.co.kr/article/detail/4010036845836" TargetMode="External"/><Relationship Id="rId102" Type="http://schemas.openxmlformats.org/officeDocument/2006/relationships/hyperlink" Target="https://fluxnet.org/data/fluxnet2015-dataset/data-processing/" TargetMode="External"/><Relationship Id="rId5" Type="http://schemas.openxmlformats.org/officeDocument/2006/relationships/hyperlink" Target="https://www.nature.com/articles/s41597-020-0534-3" TargetMode="External"/><Relationship Id="rId90" Type="http://schemas.openxmlformats.org/officeDocument/2006/relationships/hyperlink" Target="https://fluxnet.org/data/fluxnet2015-dataset/variables-quick-start-guide/" TargetMode="External"/><Relationship Id="rId95" Type="http://schemas.openxmlformats.org/officeDocument/2006/relationships/hyperlink" Target="https://dspace.kci.go.kr/handle/kci/1939866" TargetMode="External"/><Relationship Id="rId22" Type="http://schemas.openxmlformats.org/officeDocument/2006/relationships/hyperlink" Target="https://researchportal.helsinki.fi/en/publications/on-the-separation-of-net-ecosystem-exchange-into-assimilation-and/" TargetMode="External"/><Relationship Id="rId27" Type="http://schemas.openxmlformats.org/officeDocument/2006/relationships/hyperlink" Target="https://dspace.kci.go.kr/handle/kci/1939866" TargetMode="External"/><Relationship Id="rId43" Type="http://schemas.openxmlformats.org/officeDocument/2006/relationships/hyperlink" Target="https://www.nature.com/articles/s41597-020-0534-3" TargetMode="External"/><Relationship Id="rId48" Type="http://schemas.openxmlformats.org/officeDocument/2006/relationships/hyperlink" Target="https://fluxnet.org/data/fluxnet2015-dataset/data-processing/" TargetMode="External"/><Relationship Id="rId64" Type="http://schemas.openxmlformats.org/officeDocument/2006/relationships/hyperlink" Target="https://researchportal.helsinki.fi/en/publications/on-the-separation-of-net-ecosystem-exchange-into-assimilation-and/" TargetMode="External"/><Relationship Id="rId69" Type="http://schemas.openxmlformats.org/officeDocument/2006/relationships/hyperlink" Target="https://soil.copernicus.org/articles/7/217/2021/" TargetMode="External"/><Relationship Id="rId113" Type="http://schemas.openxmlformats.org/officeDocument/2006/relationships/hyperlink" Target="https://docs.isric.org/globaldata/soilgrids/SoilGrids_faqs_01.html" TargetMode="External"/><Relationship Id="rId80" Type="http://schemas.openxmlformats.org/officeDocument/2006/relationships/hyperlink" Target="https://www.sciencedirect.com/science/article/pii/S037811272100431X" TargetMode="External"/><Relationship Id="rId85" Type="http://schemas.openxmlformats.org/officeDocument/2006/relationships/hyperlink" Target="https://colab.ws/articles/10.1111%2Fgcb.14731" TargetMode="External"/><Relationship Id="rId12" Type="http://schemas.openxmlformats.org/officeDocument/2006/relationships/hyperlink" Target="https://soil.copernicus.org/articles/7/217/2021/" TargetMode="External"/><Relationship Id="rId17" Type="http://schemas.openxmlformats.org/officeDocument/2006/relationships/hyperlink" Target="https://www.x-mol.com/paper/1731438014385377280?adv=" TargetMode="External"/><Relationship Id="rId33" Type="http://schemas.openxmlformats.org/officeDocument/2006/relationships/hyperlink" Target="https://www.sciencedirect.com/science/article/pii/S1470160X23015005" TargetMode="External"/><Relationship Id="rId38" Type="http://schemas.openxmlformats.org/officeDocument/2006/relationships/hyperlink" Target="https://ntrs.nasa.gov/api/citations/20190032412/downloads/20190032412.pdf" TargetMode="External"/><Relationship Id="rId59" Type="http://schemas.openxmlformats.org/officeDocument/2006/relationships/hyperlink" Target="https://ntrs.nasa.gov/citations/20190032412" TargetMode="External"/><Relationship Id="rId103" Type="http://schemas.openxmlformats.org/officeDocument/2006/relationships/hyperlink" Target="https://fluxnet.org/data/fluxnet2015-dataset/data-processing/" TargetMode="External"/><Relationship Id="rId108" Type="http://schemas.openxmlformats.org/officeDocument/2006/relationships/hyperlink" Target="https://fluxnet.org/data/aboutdata/data-variables/" TargetMode="External"/><Relationship Id="rId54" Type="http://schemas.openxmlformats.org/officeDocument/2006/relationships/hyperlink" Target="https://www.nature.com/articles/s41597-020-0534-3" TargetMode="External"/><Relationship Id="rId70" Type="http://schemas.openxmlformats.org/officeDocument/2006/relationships/hyperlink" Target="https://soil.copernicus.org/articles/7/217/2021/" TargetMode="External"/><Relationship Id="rId75" Type="http://schemas.openxmlformats.org/officeDocument/2006/relationships/hyperlink" Target="https://essd.copernicus.org/articles/16/4735/2024/" TargetMode="External"/><Relationship Id="rId91" Type="http://schemas.openxmlformats.org/officeDocument/2006/relationships/hyperlink" Target="https://bg.copernicus.org/articles/3/571/2006/bg-3-571-2006.pdf" TargetMode="External"/><Relationship Id="rId96" Type="http://schemas.openxmlformats.org/officeDocument/2006/relationships/hyperlink" Target="https://dspace.kci.go.kr/handle/kci/1939866" TargetMode="External"/><Relationship Id="rId1" Type="http://schemas.openxmlformats.org/officeDocument/2006/relationships/numbering" Target="numbering.xml"/><Relationship Id="rId6" Type="http://schemas.openxmlformats.org/officeDocument/2006/relationships/hyperlink" Target="https://www.sciencedirect.com/science/article/abs/pii/S0304380020302490" TargetMode="External"/><Relationship Id="rId15" Type="http://schemas.openxmlformats.org/officeDocument/2006/relationships/hyperlink" Target="https://scholar.kyobobook.co.kr/article/detail/4010036845836" TargetMode="External"/><Relationship Id="rId23" Type="http://schemas.openxmlformats.org/officeDocument/2006/relationships/hyperlink" Target="https://www.sciencegate.app/document/10.1046/j.1365-2486.2003.00629.x" TargetMode="External"/><Relationship Id="rId28" Type="http://schemas.openxmlformats.org/officeDocument/2006/relationships/hyperlink" Target="https://www.sciencedirect.com/science/article/pii/S037811272100431X" TargetMode="External"/><Relationship Id="rId36" Type="http://schemas.openxmlformats.org/officeDocument/2006/relationships/hyperlink" Target="https://www.nature.com/articles/s41597-020-0534-3" TargetMode="External"/><Relationship Id="rId49" Type="http://schemas.openxmlformats.org/officeDocument/2006/relationships/hyperlink" Target="https://www.sciencedirect.com/science/article/abs/pii/S0304380020302490" TargetMode="External"/><Relationship Id="rId57" Type="http://schemas.openxmlformats.org/officeDocument/2006/relationships/hyperlink" Target="https://www.sciencedirect.com/science/article/abs/pii/S0304380020302490" TargetMode="External"/><Relationship Id="rId106" Type="http://schemas.openxmlformats.org/officeDocument/2006/relationships/hyperlink" Target="https://fluxnet.org/data/aboutdata/data-variables/" TargetMode="External"/><Relationship Id="rId114" Type="http://schemas.openxmlformats.org/officeDocument/2006/relationships/hyperlink" Target="https://docs.isric.org/globaldata/soilgrids/SoilGrids_faqs_01.html" TargetMode="External"/><Relationship Id="rId10" Type="http://schemas.openxmlformats.org/officeDocument/2006/relationships/hyperlink" Target="https://researchportal.helsinki.fi/en/publications/on-the-separation-of-net-ecosystem-exchange-into-assimilation-and/" TargetMode="External"/><Relationship Id="rId31" Type="http://schemas.openxmlformats.org/officeDocument/2006/relationships/hyperlink" Target="https://www.sciencedirect.com/science/article/abs/pii/S0304380020302490" TargetMode="External"/><Relationship Id="rId44" Type="http://schemas.openxmlformats.org/officeDocument/2006/relationships/hyperlink" Target="https://fluxnet.org/data/fluxnet2015-dataset/variables-quick-start-guide/" TargetMode="External"/><Relationship Id="rId52" Type="http://schemas.openxmlformats.org/officeDocument/2006/relationships/hyperlink" Target="https://www.nature.com/articles/s41597-020-0534-3" TargetMode="External"/><Relationship Id="rId60" Type="http://schemas.openxmlformats.org/officeDocument/2006/relationships/hyperlink" Target="https://ntrs.nasa.gov/citations/20190032412" TargetMode="External"/><Relationship Id="rId65" Type="http://schemas.openxmlformats.org/officeDocument/2006/relationships/hyperlink" Target="https://researchportal.helsinki.fi/en/publications/on-the-separation-of-net-ecosystem-exchange-into-assimilation-and/" TargetMode="External"/><Relationship Id="rId73" Type="http://schemas.openxmlformats.org/officeDocument/2006/relationships/hyperlink" Target="https://essd.copernicus.org/articles/16/4735/2024/" TargetMode="External"/><Relationship Id="rId78" Type="http://schemas.openxmlformats.org/officeDocument/2006/relationships/hyperlink" Target="https://scholar.kyobobook.co.kr/article/detail/4010036845836" TargetMode="External"/><Relationship Id="rId81" Type="http://schemas.openxmlformats.org/officeDocument/2006/relationships/hyperlink" Target="https://www.sciencedirect.com/science/article/pii/S037811272100431X" TargetMode="External"/><Relationship Id="rId86" Type="http://schemas.openxmlformats.org/officeDocument/2006/relationships/hyperlink" Target="https://colab.ws/articles/10.1111%2Fgcb.14731" TargetMode="External"/><Relationship Id="rId94" Type="http://schemas.openxmlformats.org/officeDocument/2006/relationships/hyperlink" Target="https://www.sciencegate.app/document/10.1046/j.1365-2486.2003.00629.x" TargetMode="External"/><Relationship Id="rId99" Type="http://schemas.openxmlformats.org/officeDocument/2006/relationships/hyperlink" Target="https://www.academia.edu/49839336/Carbon_sequestration_index_as_a_determinant_for_climate_change_mitigation_Case_study_of_Bintan_Island" TargetMode="External"/><Relationship Id="rId101" Type="http://schemas.openxmlformats.org/officeDocument/2006/relationships/hyperlink" Target="https://fluxnet.org/data/fluxnet2015-dataset/data-processing/" TargetMode="External"/><Relationship Id="rId4" Type="http://schemas.openxmlformats.org/officeDocument/2006/relationships/webSettings" Target="webSettings.xml"/><Relationship Id="rId9" Type="http://schemas.openxmlformats.org/officeDocument/2006/relationships/hyperlink" Target="https://orbi.uliege.be/handle/2268/32038" TargetMode="External"/><Relationship Id="rId13" Type="http://schemas.openxmlformats.org/officeDocument/2006/relationships/hyperlink" Target="https://essd.copernicus.org/articles/16/4735/2024/" TargetMode="External"/><Relationship Id="rId18" Type="http://schemas.openxmlformats.org/officeDocument/2006/relationships/hyperlink" Target="https://colab.ws/articles/10.1111%2Fgcb.14731" TargetMode="External"/><Relationship Id="rId39" Type="http://schemas.openxmlformats.org/officeDocument/2006/relationships/hyperlink" Target="https://fluxnet.org/data/fluxnet2015-dataset/variables-quick-start-guide/" TargetMode="External"/><Relationship Id="rId109" Type="http://schemas.openxmlformats.org/officeDocument/2006/relationships/hyperlink" Target="https://ntrs.nasa.gov/api/citations/20190032412/downloads/20190032412.pdf" TargetMode="External"/><Relationship Id="rId34" Type="http://schemas.openxmlformats.org/officeDocument/2006/relationships/hyperlink" Target="https://fluxnet.org/data/fluxnet2015-dataset/data-processing/" TargetMode="External"/><Relationship Id="rId50" Type="http://schemas.openxmlformats.org/officeDocument/2006/relationships/hyperlink" Target="https://www.nature.com/articles/s41597-020-0534-3" TargetMode="External"/><Relationship Id="rId55" Type="http://schemas.openxmlformats.org/officeDocument/2006/relationships/hyperlink" Target="https://www.sciencedirect.com/science/article/abs/pii/S0304380020302490" TargetMode="External"/><Relationship Id="rId76" Type="http://schemas.openxmlformats.org/officeDocument/2006/relationships/hyperlink" Target="https://www.x-mol.com/paper/1273710237475958784" TargetMode="External"/><Relationship Id="rId97" Type="http://schemas.openxmlformats.org/officeDocument/2006/relationships/hyperlink" Target="https://www.sciencedirect.com/science/article/pii/S1470160X23015005" TargetMode="External"/><Relationship Id="rId104" Type="http://schemas.openxmlformats.org/officeDocument/2006/relationships/hyperlink" Target="https://fluxnet.org/data/fluxnet2015-dataset/data-processing/" TargetMode="External"/><Relationship Id="rId7" Type="http://schemas.openxmlformats.org/officeDocument/2006/relationships/hyperlink" Target="https://ntrs.nasa.gov/citations/20190032412" TargetMode="External"/><Relationship Id="rId71" Type="http://schemas.openxmlformats.org/officeDocument/2006/relationships/hyperlink" Target="https://soil.copernicus.org/articles/7/217/2021/" TargetMode="External"/><Relationship Id="rId92" Type="http://schemas.openxmlformats.org/officeDocument/2006/relationships/hyperlink" Target="https://bg.copernicus.org/articles/3/571/2006/bg-3-571-2006.pdf" TargetMode="External"/><Relationship Id="rId2" Type="http://schemas.openxmlformats.org/officeDocument/2006/relationships/styles" Target="styles.xml"/><Relationship Id="rId29" Type="http://schemas.openxmlformats.org/officeDocument/2006/relationships/hyperlink" Target="https://www.sciencedirect.com/science/article/pii/S1470160X23015005" TargetMode="External"/><Relationship Id="rId24" Type="http://schemas.openxmlformats.org/officeDocument/2006/relationships/hyperlink" Target="https://soil.copernicus.org/articles/7/217/2021/" TargetMode="External"/><Relationship Id="rId40" Type="http://schemas.openxmlformats.org/officeDocument/2006/relationships/hyperlink" Target="https://fluxnet.org/data/fluxnet2015-dataset/data-processing/" TargetMode="External"/><Relationship Id="rId45" Type="http://schemas.openxmlformats.org/officeDocument/2006/relationships/hyperlink" Target="https://fluxnet.org/data/aboutdata/data-variables/" TargetMode="External"/><Relationship Id="rId66" Type="http://schemas.openxmlformats.org/officeDocument/2006/relationships/hyperlink" Target="https://researchportal.helsinki.fi/en/publications/on-the-separation-of-net-ecosystem-exchange-into-assimilation-and/" TargetMode="External"/><Relationship Id="rId87" Type="http://schemas.openxmlformats.org/officeDocument/2006/relationships/hyperlink" Target="https://colab.ws/articles/10.1111%2Fgcb.14731" TargetMode="External"/><Relationship Id="rId110" Type="http://schemas.openxmlformats.org/officeDocument/2006/relationships/hyperlink" Target="https://ntrs.nasa.gov/api/citations/20190032412/downloads/20190032412.pdf" TargetMode="External"/><Relationship Id="rId115" Type="http://schemas.openxmlformats.org/officeDocument/2006/relationships/fontTable" Target="fontTable.xml"/><Relationship Id="rId61" Type="http://schemas.openxmlformats.org/officeDocument/2006/relationships/hyperlink" Target="https://ntrs.nasa.gov/citations/20190032412" TargetMode="External"/><Relationship Id="rId82" Type="http://schemas.openxmlformats.org/officeDocument/2006/relationships/hyperlink" Target="https://www.sciencedirect.com/science/article/pii/S037811272100431X" TargetMode="External"/><Relationship Id="rId19" Type="http://schemas.openxmlformats.org/officeDocument/2006/relationships/hyperlink" Target="https://fluxnet.org/data/fluxnet2015-dataset/variables-quick-start-guide/" TargetMode="External"/><Relationship Id="rId14" Type="http://schemas.openxmlformats.org/officeDocument/2006/relationships/hyperlink" Target="https://www.x-mol.com/paper/1273710237475958784" TargetMode="External"/><Relationship Id="rId30" Type="http://schemas.openxmlformats.org/officeDocument/2006/relationships/hyperlink" Target="https://colab.ws/articles/10.1111%2Fgcb.14731" TargetMode="External"/><Relationship Id="rId35" Type="http://schemas.openxmlformats.org/officeDocument/2006/relationships/hyperlink" Target="https://ntrs.nasa.gov/citations/20190032412" TargetMode="External"/><Relationship Id="rId56" Type="http://schemas.openxmlformats.org/officeDocument/2006/relationships/hyperlink" Target="https://www.sciencedirect.com/science/article/abs/pii/S0304380020302490" TargetMode="External"/><Relationship Id="rId77" Type="http://schemas.openxmlformats.org/officeDocument/2006/relationships/hyperlink" Target="https://www.x-mol.com/paper/1273710237475958784" TargetMode="External"/><Relationship Id="rId100" Type="http://schemas.openxmlformats.org/officeDocument/2006/relationships/hyperlink" Target="https://www.academia.edu/49839336/Carbon_sequestration_index_as_a_determinant_for_climate_change_mitigation_Case_study_of_Bintan_Island" TargetMode="External"/><Relationship Id="rId105" Type="http://schemas.openxmlformats.org/officeDocument/2006/relationships/hyperlink" Target="https://fluxnet.org/data/fluxnet2015-dataset/data-processing/" TargetMode="External"/><Relationship Id="rId8" Type="http://schemas.openxmlformats.org/officeDocument/2006/relationships/hyperlink" Target="https://www.nature.com/articles/s41597-020-0534-3" TargetMode="External"/><Relationship Id="rId51" Type="http://schemas.openxmlformats.org/officeDocument/2006/relationships/hyperlink" Target="https://www.nature.com/articles/s41597-020-0534-3" TargetMode="External"/><Relationship Id="rId72" Type="http://schemas.openxmlformats.org/officeDocument/2006/relationships/hyperlink" Target="https://essd.copernicus.org/articles/16/4735/2024/" TargetMode="External"/><Relationship Id="rId93" Type="http://schemas.openxmlformats.org/officeDocument/2006/relationships/hyperlink" Target="https://www.sciencegate.app/document/10.1046/j.1365-2486.2003.00629.x" TargetMode="External"/><Relationship Id="rId98" Type="http://schemas.openxmlformats.org/officeDocument/2006/relationships/hyperlink" Target="https://www.sciencedirect.com/science/article/pii/S1470160X23015005" TargetMode="External"/><Relationship Id="rId3" Type="http://schemas.openxmlformats.org/officeDocument/2006/relationships/settings" Target="settings.xml"/><Relationship Id="rId25" Type="http://schemas.openxmlformats.org/officeDocument/2006/relationships/hyperlink" Target="https://essd.copernicus.org/articles/16/4735/2024/" TargetMode="External"/><Relationship Id="rId46" Type="http://schemas.openxmlformats.org/officeDocument/2006/relationships/hyperlink" Target="https://essd.copernicus.org/articles/16/4735/2024/" TargetMode="External"/><Relationship Id="rId67" Type="http://schemas.openxmlformats.org/officeDocument/2006/relationships/hyperlink" Target="https://www.scirp.org/reference/referencespapers?referenceid=2185167" TargetMode="External"/><Relationship Id="rId116" Type="http://schemas.openxmlformats.org/officeDocument/2006/relationships/theme" Target="theme/theme1.xml"/><Relationship Id="rId20" Type="http://schemas.openxmlformats.org/officeDocument/2006/relationships/hyperlink" Target="https://www.nature.com/articles/s41597-020-0534-3" TargetMode="External"/><Relationship Id="rId41" Type="http://schemas.openxmlformats.org/officeDocument/2006/relationships/hyperlink" Target="https://onlinelibrary.wiley.com/doi/epdf/10.1111/gcb.70840" TargetMode="External"/><Relationship Id="rId62" Type="http://schemas.openxmlformats.org/officeDocument/2006/relationships/hyperlink" Target="https://orbi.uliege.be/handle/2268/32038" TargetMode="External"/><Relationship Id="rId83" Type="http://schemas.openxmlformats.org/officeDocument/2006/relationships/hyperlink" Target="https://www.x-mol.com/paper/1731438014385377280?adv=" TargetMode="External"/><Relationship Id="rId88" Type="http://schemas.openxmlformats.org/officeDocument/2006/relationships/hyperlink" Target="https://fluxnet.org/data/fluxnet2015-dataset/variables-quick-start-guide/" TargetMode="External"/><Relationship Id="rId111" Type="http://schemas.openxmlformats.org/officeDocument/2006/relationships/hyperlink" Target="https://onlinelibrary.wiley.com/doi/epdf/10.1111/gcb.708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5826</Words>
  <Characters>33212</Characters>
  <Application>Microsoft Office Word</Application>
  <DocSecurity>0</DocSecurity>
  <Lines>276</Lines>
  <Paragraphs>77</Paragraphs>
  <ScaleCrop>false</ScaleCrop>
  <Company/>
  <LinksUpToDate>false</LinksUpToDate>
  <CharactersWithSpaces>38961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Satria Divo Praditya</cp:lastModifiedBy>
  <cp:revision>2</cp:revision>
  <dcterms:created xsi:type="dcterms:W3CDTF">2026-04-27T07:45:00Z</dcterms:created>
  <dcterms:modified xsi:type="dcterms:W3CDTF">2026-04-27T07:45:00Z</dcterms:modified>
  <dc:language>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