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82B49"/>
          <w:sz w:val="48"/>
        </w:rPr>
        <w:t>CAHIER DES CHARGES TECHNIQUE &amp; FONCTIONNEL</w:t>
      </w:r>
    </w:p>
    <w:p>
      <w:pPr>
        <w:spacing w:after="360"/>
        <w:jc w:val="center"/>
      </w:pPr>
      <w:r>
        <w:rPr>
          <w:rFonts w:ascii="Calibri" w:hAnsi="Calibri"/>
          <w:i/>
          <w:color w:val="4A607A"/>
          <w:sz w:val="28"/>
        </w:rPr>
        <w:t>BlueFox Odyssey — Architecture IA Locale &amp; Mode Hors-Ligne</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007ACC"/>
              <w:bottom w:val="none"/>
              <w:right w:val="none"/>
            </w:tcBorders>
            <w:tcMar>
              <w:top w:w="160" w:type="dxa"/>
              <w:left w:w="240" w:type="dxa"/>
              <w:bottom w:w="160" w:type="dxa"/>
              <w:right w:w="240" w:type="dxa"/>
            </w:tcMar>
          </w:tcPr>
          <w:p>
            <w:pPr>
              <w:spacing w:before="80" w:after="80" w:line="276" w:lineRule="auto"/>
            </w:pPr>
            <w:r>
              <w:rPr>
                <w:b/>
                <w:color w:val="182B49"/>
              </w:rPr>
              <w:t xml:space="preserve">Note de synthèse : </w:t>
            </w:r>
            <w:r>
              <w:rPr>
                <w:sz w:val="21"/>
              </w:rPr>
              <w:t>Ce document définit l'architecture technique et fonctionnelle de BlueFox Odyssey. L'ensemble du jeu est conçu pour fonctionner de manière totalement autonome et hors-ligne, en s'appuyant sur une architecture déterministe et modulaire (procédurale, utilitaire, comportementale) plutôt que sur des modèles de génération en ligne lourds.</w:t>
            </w:r>
          </w:p>
        </w:tc>
      </w:tr>
    </w:tbl>
    <w:p>
      <w:pPr>
        <w:spacing w:before="0" w:after="120"/>
      </w:pPr>
    </w:p>
    <w:p>
      <w:pPr>
        <w:keepNext/>
        <w:spacing w:before="320" w:after="120"/>
      </w:pPr>
      <w:r>
        <w:rPr>
          <w:rFonts w:ascii="Calibri" w:hAnsi="Calibri"/>
          <w:b/>
          <w:color w:val="182B49"/>
          <w:sz w:val="32"/>
        </w:rPr>
        <w:t>18. Principe Général &amp; Fonctionnement Hors-Ligne</w:t>
      </w:r>
    </w:p>
    <w:p>
      <w:r>
        <w:t>Après l'installation initiale, l'application BlueFox Odyssey garantit l'accès complet et illimité à l'ensemble des fonctionnalités du jeu sans nécessiter aucune connexion réseau active (mode 100% offline). Une connexion optionnelle pourra être envisagée ultérieurement uniquement pour la synchronisation cloud ou le téléchargement de extensions.</w:t>
      </w:r>
    </w:p>
    <w:p>
      <w:r>
        <w:rPr>
          <w:b/>
        </w:rPr>
        <w:t>Modules fonctionnels garantis hors-ligne :</w:t>
      </w:r>
    </w:p>
    <w:p>
      <w:pPr>
        <w:pStyle w:val="ListBullet"/>
      </w:pPr>
      <w:r>
        <w:t>• Génération complète de la planète et des mondes procéduraux</w:t>
      </w:r>
    </w:p>
    <w:p>
      <w:pPr>
        <w:pStyle w:val="ListBullet"/>
      </w:pPr>
      <w:r>
        <w:t>• Création dynamique des régions et des décors biomiques</w:t>
      </w:r>
    </w:p>
    <w:p>
      <w:pPr>
        <w:pStyle w:val="ListBullet"/>
      </w:pPr>
      <w:r>
        <w:t>• Déplacements autonomes et prise de décision du personnage (renard)</w:t>
      </w:r>
    </w:p>
    <w:p>
      <w:pPr>
        <w:pStyle w:val="ListBullet"/>
      </w:pPr>
      <w:r>
        <w:t>• Évolution de la personnalité, de la mémoire et des relations</w:t>
      </w:r>
    </w:p>
    <w:p>
      <w:pPr>
        <w:pStyle w:val="ListBullet"/>
      </w:pPr>
      <w:r>
        <w:t>• Gestion des rencontres, des événements narratifs et des combats</w:t>
      </w:r>
    </w:p>
    <w:p>
      <w:pPr>
        <w:pStyle w:val="ListBullet"/>
      </w:pPr>
      <w:r>
        <w:t>• Systèmes de construction, de recherche et journal de bord</w:t>
      </w:r>
    </w:p>
    <w:p>
      <w:pPr>
        <w:pStyle w:val="ListBullet"/>
      </w:pPr>
      <w:r>
        <w:t>• Sauvegardes locales et simulation du temps passé hors application</w:t>
      </w:r>
    </w:p>
    <w:p>
      <w:pPr>
        <w:keepNext/>
        <w:spacing w:before="320" w:after="120"/>
      </w:pPr>
      <w:r>
        <w:rPr>
          <w:rFonts w:ascii="Calibri" w:hAnsi="Calibri"/>
          <w:b/>
          <w:color w:val="182B49"/>
          <w:sz w:val="32"/>
        </w:rPr>
        <w:t>19. Le Moteur d'IA Locale (Architecture Déterministe)</w:t>
      </w:r>
    </w:p>
    <w:p>
      <w:r>
        <w:t>Pour garantir fluidité, légèreté et réactivité sur plateformes mobiles, le cœur du jeu repose sur une combinaison de systèmes spécialisés interconnectés.</w:t>
      </w:r>
    </w:p>
    <w:p>
      <w:pPr>
        <w:keepNext/>
        <w:spacing w:before="240" w:after="80"/>
      </w:pPr>
      <w:r>
        <w:rPr>
          <w:rFonts w:ascii="Calibri" w:hAnsi="Calibri"/>
          <w:b/>
          <w:color w:val="4A607A"/>
          <w:sz w:val="26"/>
        </w:rPr>
        <w:t>19.1 Générateur de planète par Graine (Seed)</w:t>
      </w:r>
    </w:p>
    <w:p>
      <w:r>
        <w:t>À la création d'une partie, une graine numérique unique (seed) est générée. Elle détermine de façon strictement reproductible la morphologie de la planète (continents, océans, reliefs, climats, biomes, ressources, espèces, ruines, civilisations, mystères et site de crash). La génération est incrémentielle et se fait à la découverte pour optimiser l'empreinte mémoire et la taille des sauvegardes.</w:t>
      </w:r>
    </w:p>
    <w:p>
      <w:pPr>
        <w:keepNext/>
        <w:spacing w:before="240" w:after="80"/>
      </w:pPr>
      <w:r>
        <w:rPr>
          <w:rFonts w:ascii="Calibri" w:hAnsi="Calibri"/>
          <w:b/>
          <w:color w:val="4A607A"/>
          <w:sz w:val="26"/>
        </w:rPr>
        <w:t>19.2 Génération des décors par assemblage modulaire</w:t>
      </w:r>
    </w:p>
    <w:p>
      <w:r>
        <w:t>Chaque biome obéit à des règles de composition strictes. Le moteur n'utilise pas de générateur d'image lourd à la volée, mais assemble intelligemment des modèles 3D, textures, couleurs, animations et effets selon des matrices de compatibilité.</w:t>
      </w:r>
    </w:p>
    <w:tbl>
      <w:tblPr>
        <w:tblW w:type="auto" w:w="0"/>
        <w:jc w:val="center"/>
        <w:tblLook w:firstColumn="1" w:firstRow="1" w:lastColumn="0" w:lastRow="0" w:noHBand="0" w:noVBand="1" w:val="04A0"/>
      </w:tblPr>
      <w:tblGrid>
        <w:gridCol w:w="4514"/>
        <w:gridCol w:w="4514"/>
      </w:tblGrid>
      <w:tr>
        <w:trPr>
          <w:cantSplit/>
        </w:trPr>
        <w:tc>
          <w:tcPr>
            <w:tcW w:type="dxa" w:w="4514"/>
            <w:shd w:fill="182B49"/>
          </w:tcPr>
          <w:p>
            <w:r>
              <w:rPr>
                <w:b/>
                <w:color w:val="FFFFFF"/>
              </w:rPr>
              <w:t>Biome</w:t>
            </w:r>
          </w:p>
        </w:tc>
        <w:tc>
          <w:tcPr>
            <w:tcW w:type="dxa" w:w="4514"/>
            <w:shd w:fill="182B49"/>
          </w:tcPr>
          <w:p>
            <w:r>
              <w:rPr>
                <w:b/>
                <w:color w:val="FFFFFF"/>
              </w:rPr>
              <w:t>Éléments constitutifs et règles de composition</w:t>
            </w:r>
          </w:p>
        </w:tc>
      </w:tr>
      <w:tr>
        <w:trPr>
          <w:cantSplit/>
        </w:trPr>
        <w:tc>
          <w:tcPr>
            <w:tcW w:type="dxa" w:w="4514"/>
          </w:tcPr>
          <w:p>
            <w:r>
              <w:t>Forêt luminescente</w:t>
            </w:r>
          </w:p>
        </w:tc>
        <w:tc>
          <w:tcPr>
            <w:tcW w:type="dxa" w:w="4514"/>
          </w:tcPr>
          <w:p>
            <w:r>
              <w:t>Arbres cristallins, végétation fluorescente, champignons géants, cours d'eau, animaux nocturnes, ressources biologiques rares.</w:t>
            </w:r>
          </w:p>
        </w:tc>
      </w:tr>
      <w:tr>
        <w:trPr>
          <w:cantSplit/>
        </w:trPr>
        <w:tc>
          <w:tcPr>
            <w:tcW w:type="dxa" w:w="4514"/>
          </w:tcPr>
          <w:p>
            <w:r>
              <w:t>Désert magnétique</w:t>
            </w:r>
          </w:p>
        </w:tc>
        <w:tc>
          <w:tcPr>
            <w:tcW w:type="dxa" w:w="4514"/>
          </w:tcPr>
          <w:p>
            <w:r>
              <w:t>Dunes métalliques, tempêtes électrostatiques, carcasses d'anciennes machines, cristaux énergétiques, créatures souterraines.</w:t>
            </w:r>
          </w:p>
        </w:tc>
      </w:tr>
      <w:tr>
        <w:trPr>
          <w:cantSplit/>
        </w:trPr>
        <w:tc>
          <w:tcPr>
            <w:tcW w:type="dxa" w:w="4514"/>
          </w:tcPr>
          <w:p>
            <w:r>
              <w:t>Marais flottant</w:t>
            </w:r>
          </w:p>
        </w:tc>
        <w:tc>
          <w:tcPr>
            <w:tcW w:type="dxa" w:w="4514"/>
          </w:tcPr>
          <w:p>
            <w:r>
              <w:t>Îlots mobiles, plantes carnivores, brouillard, ruines immergées, espèces amphibies.</w:t>
            </w:r>
          </w:p>
        </w:tc>
      </w:tr>
    </w:tbl>
    <w:p>
      <w:pPr>
        <w:keepNext/>
        <w:spacing w:before="320" w:after="120"/>
      </w:pPr>
      <w:r>
        <w:rPr>
          <w:rFonts w:ascii="Calibri" w:hAnsi="Calibri"/>
          <w:b/>
          <w:color w:val="182B49"/>
          <w:sz w:val="32"/>
        </w:rPr>
        <w:t>20. IA Comportementale par Utilité</w:t>
      </w:r>
    </w:p>
    <w:p>
      <w:r>
        <w:t>Le renard évalue en continu l'intérêt de chaque action possible via un système de score par utilité. Une pondération contextuelle (faim, fatigue, météo, personnalité, impulsions du joueur) détermine l'action retenue, tout en intégrant une part d'imprévisibilité contrôlée.</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007ACC"/>
              <w:bottom w:val="none"/>
              <w:right w:val="none"/>
            </w:tcBorders>
            <w:tcMar>
              <w:top w:w="160" w:type="dxa"/>
              <w:left w:w="240" w:type="dxa"/>
              <w:bottom w:w="160" w:type="dxa"/>
              <w:right w:w="240" w:type="dxa"/>
            </w:tcMar>
          </w:tcPr>
          <w:p>
            <w:pPr>
              <w:spacing w:before="80" w:after="80" w:line="276" w:lineRule="auto"/>
            </w:pPr>
            <w:r>
              <w:rPr>
                <w:b/>
                <w:color w:val="182B49"/>
              </w:rPr>
              <w:t xml:space="preserve">Mécanique de décision : </w:t>
            </w:r>
            <w:r>
              <w:rPr>
                <w:sz w:val="21"/>
              </w:rPr>
              <w:t>Exemple de pondération lors d'une impulsion joueur vers une ruine éloignée :</w:t>
              <w:br/>
              <w:t>• Ruine inconnue (Intérêt : +20 | Curiosité : +18 | Impulsion joueur : +35)</w:t>
              <w:br/>
              <w:t>• Contraintes (Fatigue : -12 | Danger supposé : -9 | Manque de nourriture : -14)</w:t>
              <w:br/>
              <w:t>→ Score final : 38 (Le renard pourra choisir de préparer des provisions ou dormir avant de partir).</w:t>
            </w:r>
          </w:p>
        </w:tc>
      </w:tr>
    </w:tbl>
    <w:p>
      <w:pPr>
        <w:spacing w:before="0" w:after="120"/>
      </w:pPr>
    </w:p>
    <w:p>
      <w:pPr>
        <w:keepNext/>
        <w:spacing w:before="320" w:after="120"/>
      </w:pPr>
      <w:r>
        <w:rPr>
          <w:rFonts w:ascii="Calibri" w:hAnsi="Calibri"/>
          <w:b/>
          <w:color w:val="182B49"/>
          <w:sz w:val="32"/>
        </w:rPr>
        <w:t>21. Personnalité Dynamique &amp; Évolution</w:t>
      </w:r>
    </w:p>
    <w:p>
      <w:r>
        <w:t>La psychologie du personnage repose sur trois strates distinctes, garantissant un apprentissage organique par l'action :</w:t>
      </w:r>
    </w:p>
    <w:p>
      <w:pPr>
        <w:pStyle w:val="ListBullet"/>
      </w:pPr>
      <w:r>
        <w:t>1. Tempérament initial : Tendances de départ (prudent/téméraire, curieux/casanier, sociable/solitaire, etc.).</w:t>
      </w:r>
    </w:p>
    <w:p>
      <w:pPr>
        <w:pStyle w:val="ListBullet"/>
      </w:pPr>
      <w:r>
        <w:t>2. Valeurs morales : Évolution lente (respect du vivant, honnêteté, rapport à la violence, intérêt personnel).</w:t>
      </w:r>
    </w:p>
    <w:p>
      <w:pPr>
        <w:pStyle w:val="ListBullet"/>
      </w:pPr>
      <w:r>
        <w:t>3. Habitudes acquises : Développées par la répétition (exploration nocturne, soin des créatures, négociation préalable).</w:t>
      </w:r>
    </w:p>
    <w:p>
      <w:pPr>
        <w:keepNext/>
        <w:spacing w:before="320" w:after="120"/>
      </w:pPr>
      <w:r>
        <w:rPr>
          <w:rFonts w:ascii="Calibri" w:hAnsi="Calibri"/>
          <w:b/>
          <w:color w:val="182B49"/>
          <w:sz w:val="32"/>
        </w:rPr>
        <w:t>22. Mémoire Locale Structurée</w:t>
      </w:r>
    </w:p>
    <w:p>
      <w:r>
        <w:t>Le système conserve une base de données mémorielle structurée influençant directement les choix futurs du personnage :</w:t>
      </w:r>
    </w:p>
    <w:p>
      <w:pPr>
        <w:pStyle w:val="ListBullet"/>
      </w:pPr>
      <w:r>
        <w:t>• Souvenirs personnels et émotionnels (lieux marquants, traumatismes, créatures alliées ou trahisons).</w:t>
      </w:r>
    </w:p>
    <w:p>
      <w:pPr>
        <w:pStyle w:val="ListBullet"/>
      </w:pPr>
      <w:r>
        <w:t>• Connaissances techniques et environnementales (ressources, itinéraires, langues, dangers).</w:t>
      </w:r>
    </w:p>
    <w:p>
      <w:pPr>
        <w:pStyle w:val="ListBullet"/>
      </w:pPr>
      <w:r>
        <w:t>• Relations dynamiques (confiance, peur, affection, respect, hostilité, dettes envers les peuples et espèces).</w:t>
      </w:r>
    </w:p>
    <w:p>
      <w:pPr>
        <w:keepNext/>
        <w:spacing w:before="320" w:after="120"/>
      </w:pPr>
      <w:r>
        <w:rPr>
          <w:rFonts w:ascii="Calibri" w:hAnsi="Calibri"/>
          <w:b/>
          <w:color w:val="182B49"/>
          <w:sz w:val="32"/>
        </w:rPr>
        <w:t>23. Génération Autonome des Actions &amp; Chaînes d'événements</w:t>
      </w:r>
    </w:p>
    <w:p>
      <w:r>
        <w:t>Une impulsion unique du joueur (ex: cibler une montagne) enclenche une chaîne logique autonome : analyse de distance, préparation de provisions, choix de sac ou monture, contournement d'obstacles, rencontres et établissement de camps.</w:t>
      </w:r>
    </w:p>
    <w:p>
      <w:pPr>
        <w:keepNext/>
        <w:spacing w:before="320" w:after="120"/>
      </w:pPr>
      <w:r>
        <w:rPr>
          <w:rFonts w:ascii="Calibri" w:hAnsi="Calibri"/>
          <w:b/>
          <w:color w:val="182B49"/>
          <w:sz w:val="32"/>
        </w:rPr>
        <w:t>24. Générateur d'Événements &amp; Directeur Narratif</w:t>
      </w:r>
    </w:p>
    <w:p>
      <w:pPr>
        <w:pStyle w:val="ListBullet"/>
      </w:pPr>
      <w:r>
        <w:t>• Événements modulaires : Assemblage de briques contextuelles (conditions, lieu, participants, problème, réactions, conséquences immédiates et différées).</w:t>
      </w:r>
    </w:p>
    <w:p>
      <w:pPr>
        <w:pStyle w:val="ListBullet"/>
      </w:pPr>
      <w:r>
        <w:t>• Directeur narratif invisible : Méta-régulateur ajustant les probabilités pour rythmer l'aventure (éviter l'accumulation de combats, combler les vides, doser la progression technologique sans annuler les conséquences).</w:t>
      </w:r>
    </w:p>
    <w:p>
      <w:pPr>
        <w:keepNext/>
        <w:spacing w:before="320" w:after="120"/>
      </w:pPr>
      <w:r>
        <w:rPr>
          <w:rFonts w:ascii="Calibri" w:hAnsi="Calibri"/>
          <w:b/>
          <w:color w:val="182B49"/>
          <w:sz w:val="32"/>
        </w:rPr>
        <w:t>25. Dialogues, Journal et IA Narrative Secondaire</w:t>
      </w:r>
    </w:p>
    <w:p>
      <w:r>
        <w:t>• Générateur textuel modulaire : Assemblage de templates syntaxiques [Émotion] + [Observation] + [Intention] garantissant une immense variété sans surcharge de calcul.</w:t>
      </w:r>
    </w:p>
    <w:p>
      <w:r>
        <w:t>• Modèle IA local optionnel : Réservé aux appareils haut de gamme pour des tâches stylistiques secondaires (reformulation du journal, voix narrative), tandis que les mécaniques de jeu demeurent 100% déterministes.</w:t>
      </w:r>
    </w:p>
    <w:p>
      <w:pPr>
        <w:keepNext/>
        <w:spacing w:before="320" w:after="120"/>
      </w:pPr>
      <w:r>
        <w:rPr>
          <w:rFonts w:ascii="Calibri" w:hAnsi="Calibri"/>
          <w:b/>
          <w:color w:val="182B49"/>
          <w:sz w:val="32"/>
        </w:rPr>
        <w:t>26. Simulation en Arrière-Plan (Hors Jeu)</w:t>
      </w:r>
    </w:p>
    <w:p>
      <w:r>
        <w:t>À la reconnexion, le jeu simule les actions mineures possibles (fin de construction, récolte, repos, petits trajets). Les grands tournants narratifs ou modifications majeures de l'univers sont systématiquement suspendus et requièrent la présence active du joueur.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