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BlueFox Odyssey - Référence projet</w:t>
      </w:r>
    </w:p>
    <w:p>
      <w:pPr>
        <w:pStyle w:val="Heading2"/>
      </w:pPr>
      <w:r>
        <w:t>Méthode de travail</w:t>
      </w:r>
    </w:p>
    <w:p>
      <w:r>
        <w:t>- Avant toute correction : diagnostic approfondi.</w:t>
        <w:br/>
        <w:t>- Audit complet du fichier concerné.</w:t>
        <w:br/>
        <w:t>- Audit de son interaction avec le reste du projet.</w:t>
        <w:br/>
        <w:t>- Exécution de tests dans l'environnement disponible.</w:t>
        <w:br/>
        <w:t>- Demande des fichiers manquants si nécessaire.</w:t>
        <w:br/>
        <w:t>- Livraison uniquement après validation technique.</w:t>
      </w:r>
    </w:p>
    <w:p>
      <w:pPr>
        <w:pStyle w:val="Heading2"/>
      </w:pPr>
      <w:r>
        <w:t>Engagement qualité</w:t>
      </w:r>
    </w:p>
    <w:p>
      <w:r>
        <w:t>- Ne plus annoncer un correctif comme terminé avant validation.</w:t>
        <w:br/>
        <w:t>- Signaler explicitement les hypothèses restantes.</w:t>
        <w:br/>
        <w:t>- Privilégier un refus de livraison à une livraison non vérifiée.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