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4"/>
        </w:rPr>
        <w:t>BlueFox Odyssey — Addendum Cahier des Charges — 8 août 2026</w:t>
      </w:r>
    </w:p>
    <w:p>
      <w:r>
        <w:rPr>
          <w:i/>
        </w:rPr>
        <w:t>Évolutions fonctionnelles validées / à intégrer au document maître</w:t>
      </w:r>
    </w:p>
    <w:p>
      <w:pPr>
        <w:pStyle w:val="Heading1"/>
      </w:pPr>
      <w:r>
        <w:t>Moteur de missions</w:t>
      </w:r>
    </w:p>
    <w:p>
      <w:r>
        <w:t>Le moteur doit supporter plusieurs missions actives simultanément. Une mission principale influence l’autonomie ; les secondaires restent progressables. Les événements d’action réels doivent être diffusés à toutes les missions compatibles. La persistance doit conserver états, compteurs et priorité après F5/rechargement.</w:t>
      </w:r>
    </w:p>
    <w:p>
      <w:pPr>
        <w:pStyle w:val="Heading1"/>
      </w:pPr>
      <w:r>
        <w:t>BibleRuntime</w:t>
      </w:r>
    </w:p>
    <w:p>
      <w:r>
        <w:t>Un adaptateur générique entre la Bible documentaire et le moteur est retenu. Il s’appuie sur des patrons réutilisables et des fiches légères, et non sur du code spécifique par mission.</w:t>
      </w:r>
    </w:p>
    <w:p>
      <w:pPr>
        <w:pStyle w:val="Heading1"/>
      </w:pPr>
      <w:r>
        <w:t>BAC</w:t>
      </w:r>
    </w:p>
    <w:p>
      <w:r>
        <w:t>Les missions alimentent des axes comportementaux : Survie, Exploration, Collecte/Logistique, Recherche/Connaissance, Construction/Technologie. Le poids total des missions secondaires est borné globalement afin que leur multiplication ne submerge pas la priorité principale.</w:t>
      </w:r>
    </w:p>
    <w:p>
      <w:pPr>
        <w:pStyle w:val="Heading1"/>
      </w:pPr>
      <w:r>
        <w:t>Résolution / BUILD</w:t>
      </w:r>
    </w:p>
    <w:p>
      <w:r>
        <w:t>Une mission de fabrication/construction peut se résoudre automatiquement dès que ses conditions sont satisfaites. Sorties standard : apparition dans le monde, ajout à l’inventaire, déblocage d’une connaissance/blueprint.</w:t>
      </w:r>
    </w:p>
    <w:p>
      <w:pPr>
        <w:pStyle w:val="Heading1"/>
      </w:pPr>
      <w:r>
        <w:t>Robustesse</w:t>
      </w:r>
    </w:p>
    <w:p>
      <w:r>
        <w:t>Une interaction objet refusée ne doit pas créer d’action mission fantôme. Une action mission orpheline doit pouvoir être libérée automatiquement lorsque le moteur réel est idle.</w:t>
      </w:r>
    </w:p>
    <w:p>
      <w:pPr>
        <w:pStyle w:val="Heading1"/>
      </w:pPr>
      <w:r>
        <w:t>Planète</w:t>
      </w:r>
    </w:p>
    <w:p>
      <w:r>
        <w:t>La topologie du monde doit rester cohérente entre moteur 3D et menu planète : une coordonnée spatiale déjà occupée renvoie vers la carte existante. Le menu représente cette topologie sous forme de zones explorées cohérentes sur une texture planétaire neutre. Le design visuel final du menu planète est encore en validation et ne doit être figé comme terminé qu’après cette validation.</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