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52385" w14:textId="77777777" w:rsidR="006D00FA" w:rsidRDefault="00000000" w:rsidP="000A03F8">
      <w:pPr>
        <w:pStyle w:val="Heading3"/>
        <w:spacing w:before="0" w:after="0" w:line="275" w:lineRule="auto"/>
        <w:jc w:val="center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IIBA® BABOK® Guide v3 High-Yield Study Guide</w:t>
      </w:r>
    </w:p>
    <w:p w14:paraId="3E205E0A" w14:textId="77777777" w:rsidR="006D00FA" w:rsidRDefault="006D00F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7AC46C5D" w14:textId="77777777" w:rsidR="006D00FA" w:rsidRDefault="006D00FA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5C7E179B" w14:textId="77777777" w:rsidR="006D00FA" w:rsidRDefault="006D00F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6C5C7DD5" w14:textId="77777777" w:rsidR="006D00F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jc w:val="center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+==================================================================+ </w:t>
      </w:r>
    </w:p>
    <w:p w14:paraId="33543D21" w14:textId="77777777" w:rsidR="006D00F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jc w:val="center"/>
        <w:rPr>
          <w:rFonts w:ascii="Google Sans" w:eastAsia="Google Sans" w:hAnsi="Google Sans" w:cs="Google Sans"/>
          <w:color w:val="1F1F1F"/>
          <w:highlight w:val="white"/>
        </w:rPr>
      </w:pPr>
      <w:r>
        <w:rPr>
          <w:rFonts w:ascii="Google Sans" w:eastAsia="Google Sans" w:hAnsi="Google Sans" w:cs="Google Sans"/>
          <w:color w:val="1F1F1F"/>
        </w:rPr>
        <w:t xml:space="preserve">| BABOK® v3 HIGH-YIELD BLUEPRINT | | | | [BACCM™ &amp; Key Terms] ---&gt; [Requirements Schema] ---&gt; [6 Knowledge Areas] ---&gt; [20 Key Techniques] | | (Ch. 2: pp. 11-20) (Sec 2.3: p. 16) (Ch. 3-8: pp. 21-186) (Ch. 10: pp. 217-366) | +===================================================================+ </w:t>
      </w:r>
      <w:r>
        <w:rPr>
          <w:rFonts w:ascii="Google Sans" w:eastAsia="Google Sans" w:hAnsi="Google Sans" w:cs="Google Sans"/>
          <w:color w:val="1F1F1F"/>
          <w:highlight w:val="white"/>
        </w:rPr>
        <w:br/>
      </w:r>
    </w:p>
    <w:p w14:paraId="41B9F26E" w14:textId="77777777" w:rsidR="006D00FA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Part 1: Top-Priority Chapters, Sections &amp; Page References</w:t>
      </w:r>
    </w:p>
    <w:p w14:paraId="15963ED4" w14:textId="77777777" w:rsidR="006D00FA" w:rsidRDefault="00000000">
      <w:pPr>
        <w:pStyle w:val="Heading4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Foundational Concepts &amp; Terminology (Chapter 2)</w:t>
      </w:r>
    </w:p>
    <w:p w14:paraId="3FF50ED3" w14:textId="77777777" w:rsidR="006D00F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Pages 12–14 (Section 2.1—Business Analysis) Core Concept Model™ / BACCM™):</w:t>
      </w:r>
    </w:p>
    <w:p w14:paraId="37469D41" w14:textId="77777777" w:rsidR="006D00FA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Core Definitions:</w:t>
      </w:r>
      <w:r>
        <w:rPr>
          <w:rFonts w:ascii="Google Sans" w:eastAsia="Google Sans" w:hAnsi="Google Sans" w:cs="Google Sans"/>
          <w:color w:val="1F1F1F"/>
        </w:rPr>
        <w:t xml:space="preserve"> Memorize the 6 interrelated concepts (change,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 need, Solution, stakeholder, value, and context).</w:t>
      </w:r>
    </w:p>
    <w:p w14:paraId="2B0B8FF8" w14:textId="77777777" w:rsidR="006D00FA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Critical Paragraph: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"Each core concept is defined by the other five core concepts and cannot be fully understood until all the concepts are understood. No single concept holds greater importance..."</w:t>
      </w:r>
    </w:p>
    <w:p w14:paraId="759EF043" w14:textId="77777777" w:rsidR="006D00FA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Hot Note:</w:t>
      </w:r>
      <w:r>
        <w:rPr>
          <w:rFonts w:ascii="Google Sans" w:eastAsia="Google Sans" w:hAnsi="Google Sans" w:cs="Google Sans"/>
          <w:color w:val="1F1F1F"/>
        </w:rPr>
        <w:t xml:space="preserve"> If any core concept shifts, the entire relationship to value delivery must be re-evaluated.</w:t>
      </w:r>
    </w:p>
    <w:p w14:paraId="6D742C01" w14:textId="77777777" w:rsidR="006D00F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Page 16 (Section 2.3 — Requirements Classification Schema):</w:t>
      </w:r>
    </w:p>
    <w:p w14:paraId="1CC91156" w14:textId="77777777" w:rsidR="006D00FA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Business Requirements:</w:t>
      </w:r>
      <w:r>
        <w:rPr>
          <w:rFonts w:ascii="Google Sans" w:eastAsia="Google Sans" w:hAnsi="Google Sans" w:cs="Google Sans"/>
          <w:color w:val="1F1F1F"/>
        </w:rPr>
        <w:t xml:space="preserve"> High-level enterprise goals/objectives (</w:t>
      </w:r>
      <w:r>
        <w:rPr>
          <w:rFonts w:ascii="Google Sans" w:eastAsia="Google Sans" w:hAnsi="Google Sans" w:cs="Google Sans"/>
          <w:i/>
          <w:iCs/>
          <w:color w:val="1F1F1F"/>
        </w:rPr>
        <w:t>Why</w:t>
      </w:r>
      <w:r>
        <w:rPr>
          <w:rFonts w:ascii="Google Sans" w:eastAsia="Google Sans" w:hAnsi="Google Sans" w:cs="Google Sans"/>
          <w:color w:val="1F1F1F"/>
        </w:rPr>
        <w:t xml:space="preserve"> the change is initiated).</w:t>
      </w:r>
    </w:p>
    <w:p w14:paraId="68AAC42A" w14:textId="77777777" w:rsidR="006D00FA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Stakeholder Requirements:</w:t>
      </w:r>
      <w:r>
        <w:rPr>
          <w:rFonts w:ascii="Google Sans" w:eastAsia="Google Sans" w:hAnsi="Google Sans" w:cs="Google Sans"/>
          <w:color w:val="1F1F1F"/>
        </w:rPr>
        <w:t xml:space="preserve"> Needs of specific stakeholders serving as a bridge.</w:t>
      </w:r>
    </w:p>
    <w:p w14:paraId="7A347ABD" w14:textId="77777777" w:rsidR="006D00FA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Solution Requirements:</w:t>
      </w:r>
      <w:r>
        <w:rPr>
          <w:rFonts w:ascii="Google Sans" w:eastAsia="Google Sans" w:hAnsi="Google Sans" w:cs="Google Sans"/>
          <w:color w:val="1F1F1F"/>
        </w:rPr>
        <w:t xml:space="preserve"> Functional (behavior/information) vs. Non-functional (quality of service, security, performance).</w:t>
      </w:r>
    </w:p>
    <w:p w14:paraId="4A558BB0" w14:textId="77777777" w:rsidR="006D00FA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Transition Requirements:</w:t>
      </w:r>
      <w:r>
        <w:rPr>
          <w:rFonts w:ascii="Google Sans" w:eastAsia="Google Sans" w:hAnsi="Google Sans" w:cs="Google Sans"/>
          <w:color w:val="1F1F1F"/>
        </w:rPr>
        <w:t xml:space="preserve"> Temporary capabilities needed strictly during migration (e.g., data transformation scripts, training).</w:t>
      </w:r>
    </w:p>
    <w:p w14:paraId="4EDCAF7C" w14:textId="77777777" w:rsidR="006D00F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Pages 16–19 (Section 2.4 — Generic Stakeholders):</w:t>
      </w:r>
    </w:p>
    <w:p w14:paraId="03450C01" w14:textId="77777777" w:rsidR="006D00FA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Sponsor vs. Customer vs. Domain SME vs. Implementation SME vs. Operational Support vs. Tester.</w:t>
      </w:r>
    </w:p>
    <w:p w14:paraId="0AEA41AE" w14:textId="77777777" w:rsidR="006D00F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Pages 19–20 (Section 2.5 — Requirements vs. Designs):</w:t>
      </w:r>
    </w:p>
    <w:p w14:paraId="57E67658" w14:textId="77777777" w:rsidR="006D00FA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"Requirements are focused on the need; designs are focused on the solution"</w:t>
      </w:r>
      <w:r>
        <w:rPr>
          <w:rFonts w:ascii="Google Sans" w:eastAsia="Google Sans" w:hAnsi="Google Sans" w:cs="Google Sans"/>
          <w:color w:val="1F1F1F"/>
        </w:rPr>
        <w:t>.</w:t>
      </w:r>
    </w:p>
    <w:p w14:paraId="3F56FF67" w14:textId="77777777" w:rsidR="006D00FA" w:rsidRDefault="00000000">
      <w:pPr>
        <w:pStyle w:val="Heading4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Requirements Analysis and Design Definition — RADD (Chapter 7)</w:t>
      </w:r>
    </w:p>
    <w:p w14:paraId="0790DD20" w14:textId="77777777" w:rsidR="006D00FA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Pages 136–140 (Section 7.1 — Specify and Model Requirements):</w:t>
      </w:r>
    </w:p>
    <w:p w14:paraId="5B7FCBC5" w14:textId="77777777" w:rsidR="006D00FA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Sub-section 7.1.4.1 (Model Requirements):</w:t>
      </w:r>
      <w:r>
        <w:rPr>
          <w:rFonts w:ascii="Google Sans" w:eastAsia="Google Sans" w:hAnsi="Google Sans" w:cs="Google Sans"/>
          <w:color w:val="1F1F1F"/>
        </w:rPr>
        <w:t xml:space="preserve"> Understand the 5 model categories: </w:t>
      </w:r>
      <w:r>
        <w:rPr>
          <w:rFonts w:ascii="Google Sans" w:eastAsia="Google Sans" w:hAnsi="Google Sans" w:cs="Google Sans"/>
          <w:i/>
          <w:iCs/>
          <w:color w:val="1F1F1F"/>
        </w:rPr>
        <w:t>people/roles, rationale, Activity Flow, capability, and Data/Information</w:t>
      </w:r>
      <w:r>
        <w:rPr>
          <w:rFonts w:ascii="Google Sans" w:eastAsia="Google Sans" w:hAnsi="Google Sans" w:cs="Google Sans"/>
          <w:color w:val="1F1F1F"/>
        </w:rPr>
        <w:t>.</w:t>
      </w:r>
    </w:p>
    <w:p w14:paraId="50B938C8" w14:textId="77777777" w:rsidR="006D00FA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Pages 141–144 (Section 7.2 — Verify Requirements):</w:t>
      </w:r>
    </w:p>
    <w:p w14:paraId="6CC41FEE" w14:textId="77777777" w:rsidR="006D00FA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Sub-section 7.2.4.1 (Characteristics of Quality):</w:t>
      </w:r>
      <w:r>
        <w:rPr>
          <w:rFonts w:ascii="Google Sans" w:eastAsia="Google Sans" w:hAnsi="Google Sans" w:cs="Google Sans"/>
          <w:color w:val="1F1F1F"/>
        </w:rPr>
        <w:t xml:space="preserve"> Know all 9 traits cold: 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Atomic, </w:t>
      </w:r>
      <w:r>
        <w:rPr>
          <w:rFonts w:ascii="Google Sans" w:eastAsia="Google Sans" w:hAnsi="Google Sans" w:cs="Google Sans"/>
          <w:b/>
          <w:bCs/>
          <w:color w:val="1F1F1F"/>
        </w:rPr>
        <w:lastRenderedPageBreak/>
        <w:t>Complete, Consistent, Concise, Feasible, Testable, Prioritized, Unambiguous, Understandable</w:t>
      </w:r>
      <w:r>
        <w:rPr>
          <w:rFonts w:ascii="Google Sans" w:eastAsia="Google Sans" w:hAnsi="Google Sans" w:cs="Google Sans"/>
          <w:color w:val="1F1F1F"/>
        </w:rPr>
        <w:t>.</w:t>
      </w:r>
    </w:p>
    <w:p w14:paraId="3B09CE0B" w14:textId="77777777" w:rsidR="006D00FA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Pages 144–147 (Section 7.3 — Validate Requirements):</w:t>
      </w:r>
    </w:p>
    <w:p w14:paraId="02325B16" w14:textId="77777777" w:rsidR="006D00FA" w:rsidRDefault="00000000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Core Distinction:</w:t>
      </w:r>
      <w:r>
        <w:rPr>
          <w:rFonts w:ascii="Google Sans" w:eastAsia="Google Sans" w:hAnsi="Google Sans" w:cs="Google Sans"/>
          <w:color w:val="1F1F1F"/>
        </w:rPr>
        <w:t xml:space="preserve"> Verification checks </w:t>
      </w:r>
      <w:r>
        <w:rPr>
          <w:rFonts w:ascii="Google Sans" w:eastAsia="Google Sans" w:hAnsi="Google Sans" w:cs="Google Sans"/>
          <w:i/>
          <w:iCs/>
          <w:color w:val="1F1F1F"/>
        </w:rPr>
        <w:t>internal quality/syntax</w:t>
      </w:r>
      <w:r>
        <w:rPr>
          <w:rFonts w:ascii="Google Sans" w:eastAsia="Google Sans" w:hAnsi="Google Sans" w:cs="Google Sans"/>
          <w:color w:val="1F1F1F"/>
        </w:rPr>
        <w:t xml:space="preserve"> ("building the thing right"); Validation checks </w:t>
      </w:r>
      <w:r>
        <w:rPr>
          <w:rFonts w:ascii="Google Sans" w:eastAsia="Google Sans" w:hAnsi="Google Sans" w:cs="Google Sans"/>
          <w:i/>
          <w:iCs/>
          <w:color w:val="1F1F1F"/>
        </w:rPr>
        <w:t>business value alignment</w:t>
      </w:r>
      <w:r>
        <w:rPr>
          <w:rFonts w:ascii="Google Sans" w:eastAsia="Google Sans" w:hAnsi="Google Sans" w:cs="Google Sans"/>
          <w:color w:val="1F1F1F"/>
        </w:rPr>
        <w:t xml:space="preserve"> ("building the right thing").</w:t>
      </w:r>
    </w:p>
    <w:p w14:paraId="60DCFB5C" w14:textId="77777777" w:rsidR="006D00FA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Pages 148–152 (Section 7.4 — Define Requirements Architecture):</w:t>
      </w:r>
    </w:p>
    <w:p w14:paraId="18A3E440" w14:textId="77777777" w:rsidR="006D00FA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Viewpoint (template/conventions) vs. view (the actual produced requirement/design models).</w:t>
      </w:r>
    </w:p>
    <w:p w14:paraId="62781DFA" w14:textId="77777777" w:rsidR="006D00FA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Pages 152–156 (Section 7.5 — Define Design Options):</w:t>
      </w:r>
    </w:p>
    <w:p w14:paraId="3522D889" w14:textId="77777777" w:rsidR="006D00FA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Solution approaches: </w:t>
      </w:r>
      <w:r>
        <w:rPr>
          <w:rFonts w:ascii="Google Sans" w:eastAsia="Google Sans" w:hAnsi="Google Sans" w:cs="Google Sans"/>
          <w:i/>
          <w:iCs/>
          <w:color w:val="1F1F1F"/>
        </w:rPr>
        <w:t>Create, Purchase, or Combination (Hybrid)</w:t>
      </w:r>
      <w:r>
        <w:rPr>
          <w:rFonts w:ascii="Google Sans" w:eastAsia="Google Sans" w:hAnsi="Google Sans" w:cs="Google Sans"/>
          <w:color w:val="1F1F1F"/>
        </w:rPr>
        <w:t>.</w:t>
      </w:r>
    </w:p>
    <w:p w14:paraId="14D9DC02" w14:textId="77777777" w:rsidR="006D00FA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Requirements allocation across systems, roles, or releases.</w:t>
      </w:r>
    </w:p>
    <w:p w14:paraId="04DA0336" w14:textId="77777777" w:rsidR="006D00FA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Pages 157–162 (Section 7.6 — Analyze Potential Value and Recommend Solution):</w:t>
      </w:r>
    </w:p>
    <w:p w14:paraId="3AB9D0DC" w14:textId="77777777" w:rsidR="006D00FA" w:rsidRDefault="00000000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Assessing benefits vs. full lifecycle costs (including </w:t>
      </w:r>
      <w:r>
        <w:rPr>
          <w:rFonts w:ascii="Google Sans" w:eastAsia="Google Sans" w:hAnsi="Google Sans" w:cs="Google Sans"/>
          <w:i/>
          <w:iCs/>
          <w:color w:val="1F1F1F"/>
        </w:rPr>
        <w:t>opportunity cost);</w:t>
      </w:r>
      <w:r>
        <w:rPr>
          <w:rFonts w:ascii="Google Sans" w:eastAsia="Google Sans" w:hAnsi="Google Sans" w:cs="Google Sans"/>
          <w:color w:val="1F1F1F"/>
        </w:rPr>
        <w:t xml:space="preserve"> recommending "Do Nothing" when no option yields value.</w:t>
      </w:r>
    </w:p>
    <w:p w14:paraId="058E6224" w14:textId="77777777" w:rsidR="006D00FA" w:rsidRDefault="00000000">
      <w:pPr>
        <w:pStyle w:val="Heading4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Elicitation and Collaboration (Chapter 4)</w:t>
      </w:r>
    </w:p>
    <w:p w14:paraId="4257A6DE" w14:textId="77777777" w:rsidR="006D00FA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Pages 61–64 (Section 4.2 — Conduct Elicitation):</w:t>
      </w:r>
    </w:p>
    <w:p w14:paraId="37A9576F" w14:textId="77777777" w:rsidR="006D00FA" w:rsidRDefault="00000000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3 Elicitation Types: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Collaborative</w:t>
      </w:r>
      <w:r>
        <w:rPr>
          <w:rFonts w:ascii="Google Sans" w:eastAsia="Google Sans" w:hAnsi="Google Sans" w:cs="Google Sans"/>
          <w:color w:val="1F1F1F"/>
        </w:rPr>
        <w:t xml:space="preserve"> (interviews, workshops), </w:t>
      </w:r>
      <w:r>
        <w:rPr>
          <w:rFonts w:ascii="Google Sans" w:eastAsia="Google Sans" w:hAnsi="Google Sans" w:cs="Google Sans"/>
          <w:i/>
          <w:iCs/>
          <w:color w:val="1F1F1F"/>
        </w:rPr>
        <w:t>Research</w:t>
      </w:r>
      <w:r>
        <w:rPr>
          <w:rFonts w:ascii="Google Sans" w:eastAsia="Google Sans" w:hAnsi="Google Sans" w:cs="Google Sans"/>
          <w:color w:val="1F1F1F"/>
        </w:rPr>
        <w:t xml:space="preserve"> (document analysis, data mining), </w:t>
      </w:r>
      <w:r>
        <w:rPr>
          <w:rFonts w:ascii="Google Sans" w:eastAsia="Google Sans" w:hAnsi="Google Sans" w:cs="Google Sans"/>
          <w:i/>
          <w:iCs/>
          <w:color w:val="1F1F1F"/>
        </w:rPr>
        <w:t>Experiments</w:t>
      </w:r>
      <w:r>
        <w:rPr>
          <w:rFonts w:ascii="Google Sans" w:eastAsia="Google Sans" w:hAnsi="Google Sans" w:cs="Google Sans"/>
          <w:color w:val="1F1F1F"/>
        </w:rPr>
        <w:t xml:space="preserve"> (prototypes, POCs, observation).</w:t>
      </w:r>
    </w:p>
    <w:p w14:paraId="768C0D6B" w14:textId="77777777" w:rsidR="006D00FA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Pages 65–67 (Section 4.3 — Confirm Elicitation Results):</w:t>
      </w:r>
    </w:p>
    <w:p w14:paraId="75EBC8BD" w14:textId="77777777" w:rsidR="006D00FA" w:rsidRDefault="00000000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Differentiating </w:t>
      </w:r>
      <w:r>
        <w:rPr>
          <w:rFonts w:ascii="Google Sans" w:eastAsia="Google Sans" w:hAnsi="Google Sans" w:cs="Google Sans"/>
          <w:i/>
          <w:iCs/>
          <w:color w:val="1F1F1F"/>
        </w:rPr>
        <w:t>Elicitation Results (unconfirmed)</w:t>
      </w:r>
      <w:r>
        <w:rPr>
          <w:rFonts w:ascii="Google Sans" w:eastAsia="Google Sans" w:hAnsi="Google Sans" w:cs="Google Sans"/>
          <w:color w:val="1F1F1F"/>
        </w:rPr>
        <w:t xml:space="preserve"> from </w:t>
      </w:r>
      <w:r>
        <w:rPr>
          <w:rFonts w:ascii="Google Sans" w:eastAsia="Google Sans" w:hAnsi="Google Sans" w:cs="Google Sans"/>
          <w:i/>
          <w:iCs/>
          <w:color w:val="1F1F1F"/>
        </w:rPr>
        <w:t>Elicitation Results (confirmed)</w:t>
      </w:r>
      <w:r>
        <w:rPr>
          <w:rFonts w:ascii="Google Sans" w:eastAsia="Google Sans" w:hAnsi="Google Sans" w:cs="Google Sans"/>
          <w:color w:val="1F1F1F"/>
        </w:rPr>
        <w:t xml:space="preserve"> by verifying against source documentation.</w:t>
      </w:r>
    </w:p>
    <w:p w14:paraId="7180F910" w14:textId="77777777" w:rsidR="006D00FA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Pages 67–71 (Section 4.4 — Communicate BA Information):</w:t>
      </w:r>
    </w:p>
    <w:p w14:paraId="7BDFC522" w14:textId="77777777" w:rsidR="006D00F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Ensuring bi-directional understanding rather than just broadcasting documentation.</w:t>
      </w:r>
    </w:p>
    <w:p w14:paraId="529A9FF6" w14:textId="77777777" w:rsidR="006D00FA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Pages 71–74 (Section 4.5 — Manage Stakeholder Collaboration):</w:t>
      </w:r>
    </w:p>
    <w:p w14:paraId="10F78EE4" w14:textId="77777777" w:rsidR="006D00FA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Monitoring engagement, managing resistance, and securing ongoing commitment.</w:t>
      </w:r>
    </w:p>
    <w:p w14:paraId="0431713C" w14:textId="77777777" w:rsidR="006D00FA" w:rsidRDefault="00000000">
      <w:pPr>
        <w:pStyle w:val="Heading4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Requirements Life Cycle Management (Chapter 5)</w:t>
      </w:r>
    </w:p>
    <w:p w14:paraId="77D1CB4F" w14:textId="77777777" w:rsidR="006D00F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Pages 79–83 (Section 5.1 — Trace Requirements):</w:t>
      </w:r>
    </w:p>
    <w:p w14:paraId="46717E99" w14:textId="77777777" w:rsidR="006D00F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Traceability Relationships: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Derive</w:t>
      </w:r>
      <w:r>
        <w:rPr>
          <w:rFonts w:ascii="Google Sans" w:eastAsia="Google Sans" w:hAnsi="Google Sans" w:cs="Google Sans"/>
          <w:color w:val="1F1F1F"/>
        </w:rPr>
        <w:t xml:space="preserve"> (across abstraction levels), </w:t>
      </w:r>
      <w:r>
        <w:rPr>
          <w:rFonts w:ascii="Google Sans" w:eastAsia="Google Sans" w:hAnsi="Google Sans" w:cs="Google Sans"/>
          <w:b/>
          <w:bCs/>
          <w:color w:val="1F1F1F"/>
        </w:rPr>
        <w:t>Depend</w:t>
      </w:r>
      <w:r>
        <w:rPr>
          <w:rFonts w:ascii="Google Sans" w:eastAsia="Google Sans" w:hAnsi="Google Sans" w:cs="Google Sans"/>
          <w:color w:val="1F1F1F"/>
        </w:rPr>
        <w:t xml:space="preserve"> (necessity vs. </w:t>
      </w:r>
      <w:r>
        <w:rPr>
          <w:rFonts w:ascii="Google Sans" w:eastAsia="Google Sans" w:hAnsi="Google Sans" w:cs="Google Sans"/>
          <w:i/>
          <w:iCs/>
          <w:color w:val="1F1F1F"/>
        </w:rPr>
        <w:t>Effort</w:t>
      </w:r>
      <w:r>
        <w:rPr>
          <w:rFonts w:ascii="Google Sans" w:eastAsia="Google Sans" w:hAnsi="Google Sans" w:cs="Google Sans"/>
          <w:color w:val="1F1F1F"/>
        </w:rPr>
        <w:t xml:space="preserve">), </w:t>
      </w:r>
      <w:r>
        <w:rPr>
          <w:rFonts w:ascii="Google Sans" w:eastAsia="Google Sans" w:hAnsi="Google Sans" w:cs="Google Sans"/>
          <w:b/>
          <w:bCs/>
          <w:color w:val="1F1F1F"/>
        </w:rPr>
        <w:t>Satisfy</w:t>
      </w:r>
      <w:r>
        <w:rPr>
          <w:rFonts w:ascii="Google Sans" w:eastAsia="Google Sans" w:hAnsi="Google Sans" w:cs="Google Sans"/>
          <w:color w:val="1F1F1F"/>
        </w:rPr>
        <w:t xml:space="preserve"> (implementation element to requirement), and </w:t>
      </w:r>
      <w:r>
        <w:rPr>
          <w:rFonts w:ascii="Google Sans" w:eastAsia="Google Sans" w:hAnsi="Google Sans" w:cs="Google Sans"/>
          <w:b/>
          <w:bCs/>
          <w:color w:val="1F1F1F"/>
        </w:rPr>
        <w:t>Validate</w:t>
      </w:r>
      <w:r>
        <w:rPr>
          <w:rFonts w:ascii="Google Sans" w:eastAsia="Google Sans" w:hAnsi="Google Sans" w:cs="Google Sans"/>
          <w:color w:val="1F1F1F"/>
        </w:rPr>
        <w:t xml:space="preserve"> (requirement to test case).</w:t>
      </w:r>
    </w:p>
    <w:p w14:paraId="0B1298D0" w14:textId="77777777" w:rsidR="006D00F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Pages 83–86 (Section 5.2 — Maintain Requirements):</w:t>
      </w:r>
    </w:p>
    <w:p w14:paraId="637D263F" w14:textId="77777777" w:rsidR="006D00FA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Criteria for requirements reuse (e.g., regulatory compliance rules, recurring SLAs).</w:t>
      </w:r>
    </w:p>
    <w:p w14:paraId="5331320D" w14:textId="77777777" w:rsidR="006D00F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Pages 86–91 (Section 5.3 — Prioritize Requirements):</w:t>
      </w:r>
    </w:p>
    <w:p w14:paraId="2159FD88" w14:textId="77777777" w:rsidR="006D00FA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Prioritization Factors: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Benefit, Penalty, Cost, Risk, Dependencies, Time Sensitivity, Stability, Regulatory Compliance</w:t>
      </w:r>
      <w:r>
        <w:rPr>
          <w:rFonts w:ascii="Google Sans" w:eastAsia="Google Sans" w:hAnsi="Google Sans" w:cs="Google Sans"/>
          <w:color w:val="1F1F1F"/>
        </w:rPr>
        <w:t>.</w:t>
      </w:r>
    </w:p>
    <w:p w14:paraId="146017F6" w14:textId="77777777" w:rsidR="006D00F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Pages 91–95 (Section 5.4 — Assess Requirements Changes):</w:t>
      </w:r>
    </w:p>
    <w:p w14:paraId="4583EBC5" w14:textId="77777777" w:rsidR="006D00F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Impact analysis parameters (benefit,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 cost, Impact, schedule, and urgency).</w:t>
      </w:r>
    </w:p>
    <w:p w14:paraId="70F8AF44" w14:textId="77777777" w:rsidR="006D00FA" w:rsidRDefault="00000000">
      <w:pPr>
        <w:pStyle w:val="Heading4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BA Planning, Strategy Analysis &amp; Solution Evaluation (Chapters 3, 6, 8)</w:t>
      </w:r>
    </w:p>
    <w:p w14:paraId="0F68C795" w14:textId="77777777" w:rsidR="006D00F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Pages 26–27 (Section 3.1.4.1 — Planning Approach):</w:t>
      </w:r>
    </w:p>
    <w:p w14:paraId="41BD469E" w14:textId="77777777" w:rsidR="006D00FA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Predictive</w:t>
      </w:r>
      <w:r>
        <w:rPr>
          <w:rFonts w:ascii="Google Sans" w:eastAsia="Google Sans" w:hAnsi="Google Sans" w:cs="Google Sans"/>
          <w:color w:val="1F1F1F"/>
        </w:rPr>
        <w:t xml:space="preserve"> (waterfall/plan-driven, formal sign-offs, minimizes upfront risk) vs. </w:t>
      </w:r>
      <w:r>
        <w:rPr>
          <w:rFonts w:ascii="Google Sans" w:eastAsia="Google Sans" w:hAnsi="Google Sans" w:cs="Google Sans"/>
          <w:b/>
          <w:bCs/>
          <w:color w:val="1F1F1F"/>
        </w:rPr>
        <w:t>Adaptive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lastRenderedPageBreak/>
        <w:t>(agile/iterative, short sprints, rapid feedback).</w:t>
      </w:r>
    </w:p>
    <w:p w14:paraId="154AEAAD" w14:textId="77777777" w:rsidR="006D00F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Pages 104–105 &amp; 113–114 (Sections 6.1.4.1 &amp; 6.2.4.1 — Needs &amp; Objectives):</w:t>
      </w:r>
    </w:p>
    <w:p w14:paraId="7619A910" w14:textId="77777777" w:rsidR="006D00FA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Needs origin (top-down, bottom-up, middle management, or external drivers) and SMART objectives.</w:t>
      </w:r>
    </w:p>
    <w:p w14:paraId="5177D02F" w14:textId="77777777" w:rsidR="006D00F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Pages 127–128 (Section 6.4.4.2 — Gap Analysis &amp; Transition States):</w:t>
      </w:r>
    </w:p>
    <w:p w14:paraId="7C7A8133" w14:textId="77777777" w:rsidR="006D00FA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Current state vs. future state comparison.</w:t>
      </w:r>
    </w:p>
    <w:p w14:paraId="02BB7179" w14:textId="77777777" w:rsidR="006D00F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Pages 173–182 (Sections 8.3 &amp; 8.4 — Solution vs. Enterprise Limitations):</w:t>
      </w:r>
    </w:p>
    <w:p w14:paraId="6BFCF0D1" w14:textId="77777777" w:rsidR="006D00FA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Solution Limitations (internal bugs, UI/UX flaws) vs. Enterprise Limitations (culture, untrained staff, org. hierarchy).</w:t>
      </w:r>
    </w:p>
    <w:p w14:paraId="61AF752B" w14:textId="77777777" w:rsidR="006D00FA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Part 2: Top 20 Must-Know BABOK® Techniques (Chapter 10)</w:t>
      </w:r>
    </w:p>
    <w:p w14:paraId="232ECB1D" w14:textId="77777777" w:rsidR="006D00FA" w:rsidRDefault="006D00F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D00FA" w14:paraId="103D9065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32DEDE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Technique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9CC17E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Section / Page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B7C641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Key Exam/Interview Takeaway</w:t>
            </w:r>
          </w:p>
        </w:tc>
      </w:tr>
      <w:tr w:rsidR="006D00FA" w14:paraId="337AC247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D931EF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Acceptance &amp; Evaluation Criteria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D5CFD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Sec 10.1 (p. 217)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C53479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Expresses testable conditions;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acceptance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is binary (pass/fail);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evaluation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is comparative.</w:t>
            </w:r>
          </w:p>
        </w:tc>
      </w:tr>
      <w:tr w:rsidR="006D00FA" w14:paraId="63A4A0D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BD9BD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Backlog Management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CE720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Sec 10.2 (p. 220)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B8AB2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Prioritizing and sizing emergent requirements in adaptive teams.</w:t>
            </w:r>
          </w:p>
        </w:tc>
      </w:tr>
      <w:tr w:rsidR="006D00FA" w14:paraId="7E17F786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BBFBBA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Brainstorming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4E64F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Sec 10.5 (p. 227)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F45971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Rapid idea generation; separate idea capture from idea evaluation.</w:t>
            </w:r>
          </w:p>
        </w:tc>
      </w:tr>
      <w:tr w:rsidR="006D00FA" w14:paraId="6F6C6890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7FC7B6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Business Cases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1D9105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Sec 10.7 (p. 234)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51490D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Justifies business investments with cost-benefit analysis and risk exposure.</w:t>
            </w:r>
          </w:p>
        </w:tc>
      </w:tr>
      <w:tr w:rsidR="006D00FA" w14:paraId="07BC8570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F44B48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Business Model Canvas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F8E372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Sec 10.8 (p. 236)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A6189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9 Building Blocks summarizing value proposition, revenue, and customer channels.</w:t>
            </w:r>
          </w:p>
        </w:tc>
      </w:tr>
      <w:tr w:rsidR="006D00FA" w14:paraId="6387E413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57C3CC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Business Rules Analysis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FF4618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Sec 10.9 (p. 240)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30F085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Differentiating actionable policies/rules from software functionality.</w:t>
            </w:r>
          </w:p>
        </w:tc>
      </w:tr>
      <w:tr w:rsidR="006D00FA" w14:paraId="7FCF6855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458ADC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Concept Modelling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D1195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Sec 10.11 (p. 245)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C85E1D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Visualizing domain glossary terms and business relationships.</w:t>
            </w:r>
          </w:p>
        </w:tc>
      </w:tr>
      <w:tr w:rsidR="006D00FA" w14:paraId="1343B090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E27100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Data Dictionary &amp; Data Flow (DFD)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15EB09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Sec. 10.12/10.13 (p. 247-250)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E69088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DFD shows data in motion (Processes, Stores, External Entities); the dictionary specifies data types.</w:t>
            </w:r>
          </w:p>
        </w:tc>
      </w:tr>
      <w:tr w:rsidR="006D00FA" w14:paraId="5BC24C0A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D94128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Data Modelling (ERD)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A561E3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Sec 10.15 (p. 256)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A930D0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Entities, attributes, cardinality, and relationships for data at rest.</w:t>
            </w:r>
          </w:p>
        </w:tc>
      </w:tr>
      <w:tr w:rsidR="006D00FA" w14:paraId="04E2351B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EC097A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Decision Modelling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347219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Sec 10.17 (p. 265)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0A0EB0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Decision tables &amp; decision trees for complex condition logic.</w:t>
            </w:r>
          </w:p>
        </w:tc>
      </w:tr>
      <w:tr w:rsidR="006D00FA" w14:paraId="77E7E1AB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1C0500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Document Analysis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F8DA0B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Sec 10.18 (p. 269)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D1BA61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Eliciting requirements by reviewing existing contracts, system specs, and procedures.</w:t>
            </w:r>
          </w:p>
        </w:tc>
      </w:tr>
      <w:tr w:rsidR="006D00FA" w14:paraId="1E5AF559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C95370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Estimation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929BF8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Sec 10.19 (p. 271)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766057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Top-down, bottom-up, parametric, and PERT formulas: $(O + 4M + P) / 6$.</w:t>
            </w:r>
          </w:p>
        </w:tc>
      </w:tr>
      <w:tr w:rsidR="006D00FA" w14:paraId="060D58BA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832808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Functional Decomposition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38670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Sec 10.22 (p. 283)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692DC2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Breaking complex scopes down into manageable components or sub-processes.</w:t>
            </w:r>
          </w:p>
        </w:tc>
      </w:tr>
      <w:tr w:rsidR="006D00FA" w14:paraId="07676166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11849A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Interviews &amp; Observation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18E827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Sec 10.25/10.31 (p. 290-305)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8F02B4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Structured vs. unstructured interviews; active vs. passive shadowing.</w:t>
            </w:r>
          </w:p>
        </w:tc>
      </w:tr>
      <w:tr w:rsidR="006D00FA" w14:paraId="7D053200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104DC3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Metrics and KPIs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84052A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Sec 10.28 (p. 297)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C6CF23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Establishing quantitative targets to track progress toward business goals.</w:t>
            </w:r>
          </w:p>
        </w:tc>
      </w:tr>
      <w:tr w:rsidR="006D00FA" w14:paraId="75D4A8B0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5C245C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Non-Functional Req Analysis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EBA8BA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Sec 10.30 (p. 302)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B4B019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Specifying URPS / ISO quality attributes (reliability, scalability, and security).</w:t>
            </w:r>
          </w:p>
        </w:tc>
      </w:tr>
      <w:tr w:rsidR="006D00FA" w14:paraId="756959C9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5860A5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Process Modelling (BPMN)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808BC2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Sec 10.35 (p. 318)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7E6804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Swimlanes, events, activities, and gateways depicting workflow.</w:t>
            </w:r>
          </w:p>
        </w:tc>
      </w:tr>
      <w:tr w:rsidR="006D00FA" w14:paraId="678E5567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A6696E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Roles &amp; Permissions Matrix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279314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Sec 10.39 (p. 333)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42323E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CRUD matrix (Create, Read, Update, Delete) mapped to stakeholder personas.</w:t>
            </w:r>
          </w:p>
        </w:tc>
      </w:tr>
      <w:tr w:rsidR="006D00FA" w14:paraId="0E38C876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6F4B4D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Root Cause Analysis (RCA)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A89E9D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Sec 10.40 (p. 335)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D9DE7A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 Whys and Fishbone (Ishikawa) diagrams (People, Process, Tech).</w:t>
            </w:r>
          </w:p>
        </w:tc>
      </w:tr>
      <w:tr w:rsidR="006D00FA" w14:paraId="215B94A6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6F1E0D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Use Cases &amp; User Stories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0A1A1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Sec. 10.47/10.48 (pp. 356-359)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A56D36" w14:textId="77777777" w:rsidR="006D00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Actors &amp; preconditions vs.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"As a [role], I want [feature], so that [value]."</w:t>
            </w:r>
          </w:p>
        </w:tc>
      </w:tr>
    </w:tbl>
    <w:p w14:paraId="51626AA9" w14:textId="77777777" w:rsidR="006D00FA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Part 3: MNC BA/DA Technical &amp; Aptitude Interview Hotspots</w:t>
      </w:r>
    </w:p>
    <w:p w14:paraId="47A2C4BD" w14:textId="77777777" w:rsidR="006D00FA" w:rsidRDefault="006D00F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4A625D5A" w14:textId="77777777" w:rsidR="006D00FA" w:rsidRDefault="006D00FA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3AA4259B" w14:textId="77777777" w:rsidR="006D00FA" w:rsidRDefault="006D00F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jc w:val="center"/>
        <w:rPr>
          <w:rFonts w:ascii="Google Sans" w:eastAsia="Google Sans" w:hAnsi="Google Sans" w:cs="Google Sans"/>
          <w:color w:val="1F1F1F"/>
        </w:rPr>
      </w:pPr>
    </w:p>
    <w:p w14:paraId="464371F7" w14:textId="77777777" w:rsidR="006D00F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jc w:val="center"/>
        <w:rPr>
          <w:rFonts w:ascii="Google Sans" w:eastAsia="Google Sans" w:hAnsi="Google Sans" w:cs="Google Sans"/>
          <w:color w:val="1F1F1F"/>
          <w:shd w:val="clear" w:color="auto" w:fill="141414"/>
        </w:rPr>
      </w:pPr>
      <w:r>
        <w:rPr>
          <w:rFonts w:ascii="Google Sans" w:eastAsia="Google Sans" w:hAnsi="Google Sans" w:cs="Google Sans"/>
          <w:color w:val="1F1F1F"/>
          <w:highlight w:val="white"/>
        </w:rPr>
        <w:t>=======================================================================</w:t>
      </w:r>
      <w:r>
        <w:rPr>
          <w:rFonts w:ascii="Google Sans" w:eastAsia="Google Sans" w:hAnsi="Google Sans" w:cs="Google Sans"/>
          <w:color w:val="1F1F1F"/>
          <w:highlight w:val="white"/>
        </w:rPr>
        <w:br/>
        <w:t xml:space="preserve">                         MNC INTERVIEW EVALUATION PILLARS</w:t>
      </w:r>
      <w:r>
        <w:rPr>
          <w:rFonts w:ascii="Google Sans" w:eastAsia="Google Sans" w:hAnsi="Google Sans" w:cs="Google Sans"/>
          <w:color w:val="1F1F1F"/>
          <w:highlight w:val="white"/>
        </w:rPr>
        <w:br/>
        <w:t>=======================================================================</w:t>
      </w:r>
      <w:r>
        <w:rPr>
          <w:rFonts w:ascii="Google Sans" w:eastAsia="Google Sans" w:hAnsi="Google Sans" w:cs="Google Sans"/>
          <w:color w:val="1F1F1F"/>
          <w:highlight w:val="white"/>
        </w:rPr>
        <w:br/>
        <w:t xml:space="preserve"> 1. SQL &amp; Data </w:t>
      </w:r>
      <w:r>
        <w:rPr>
          <w:rFonts w:ascii="Google Sans" w:eastAsia="Google Sans" w:hAnsi="Google Sans" w:cs="Google Sans"/>
          <w:color w:val="1F1F1F"/>
        </w:rPr>
        <w:t>Logic:</w:t>
      </w:r>
      <w:r>
        <w:rPr>
          <w:rFonts w:ascii="Google Sans" w:eastAsia="Google Sans" w:hAnsi="Google Sans" w:cs="Google Sans"/>
          <w:color w:val="1F1F1F"/>
          <w:highlight w:val="white"/>
        </w:rPr>
        <w:t xml:space="preserve"> JOINs, Aggregations, Window Functions, Handling NULLs</w:t>
      </w:r>
      <w:r>
        <w:rPr>
          <w:rFonts w:ascii="Google Sans" w:eastAsia="Google Sans" w:hAnsi="Google Sans" w:cs="Google Sans"/>
          <w:color w:val="1F1F1F"/>
          <w:highlight w:val="white"/>
        </w:rPr>
        <w:br/>
        <w:t xml:space="preserve"> 2. Business </w:t>
      </w:r>
      <w:r>
        <w:rPr>
          <w:rFonts w:ascii="Google Sans" w:eastAsia="Google Sans" w:hAnsi="Google Sans" w:cs="Google Sans"/>
          <w:color w:val="1F1F1F"/>
        </w:rPr>
        <w:t>Modeling:</w:t>
      </w:r>
      <w:r>
        <w:rPr>
          <w:rFonts w:ascii="Google Sans" w:eastAsia="Google Sans" w:hAnsi="Google Sans" w:cs="Google Sans"/>
          <w:color w:val="1F1F1F"/>
          <w:highlight w:val="white"/>
        </w:rPr>
        <w:t xml:space="preserve"> BRD vs. FSD, User Stories, MoSCoW, Gap Analysis</w:t>
      </w:r>
      <w:r>
        <w:rPr>
          <w:rFonts w:ascii="Google Sans" w:eastAsia="Google Sans" w:hAnsi="Google Sans" w:cs="Google Sans"/>
          <w:color w:val="1F1F1F"/>
          <w:highlight w:val="white"/>
        </w:rPr>
        <w:br/>
        <w:t xml:space="preserve"> 3. Quantitative </w:t>
      </w:r>
      <w:r>
        <w:rPr>
          <w:rFonts w:ascii="Google Sans" w:eastAsia="Google Sans" w:hAnsi="Google Sans" w:cs="Google Sans"/>
          <w:color w:val="1F1F1F"/>
        </w:rPr>
        <w:t>Aptitude:</w:t>
      </w:r>
      <w:r>
        <w:rPr>
          <w:rFonts w:ascii="Google Sans" w:eastAsia="Google Sans" w:hAnsi="Google Sans" w:cs="Google Sans"/>
          <w:color w:val="1F1F1F"/>
          <w:highlight w:val="white"/>
        </w:rPr>
        <w:t xml:space="preserve"> ROI, NPV, Break-Even, Conversion Rates, Profitability</w:t>
      </w:r>
      <w:r>
        <w:rPr>
          <w:rFonts w:ascii="Google Sans" w:eastAsia="Google Sans" w:hAnsi="Google Sans" w:cs="Google Sans"/>
          <w:color w:val="1F1F1F"/>
          <w:highlight w:val="white"/>
        </w:rPr>
        <w:br/>
        <w:t xml:space="preserve"> 4. Behavioral </w:t>
      </w:r>
      <w:r>
        <w:rPr>
          <w:rFonts w:ascii="Google Sans" w:eastAsia="Google Sans" w:hAnsi="Google Sans" w:cs="Google Sans"/>
          <w:color w:val="1F1F1F"/>
        </w:rPr>
        <w:t>Scenarios:</w:t>
      </w:r>
      <w:r>
        <w:rPr>
          <w:rFonts w:ascii="Google Sans" w:eastAsia="Google Sans" w:hAnsi="Google Sans" w:cs="Google Sans"/>
          <w:color w:val="1F1F1F"/>
          <w:highlight w:val="white"/>
        </w:rPr>
        <w:t xml:space="preserve"> Resolving Stakeholder Conflict, Scope Creep Control</w:t>
      </w:r>
      <w:r>
        <w:rPr>
          <w:rFonts w:ascii="Google Sans" w:eastAsia="Google Sans" w:hAnsi="Google Sans" w:cs="Google Sans"/>
          <w:color w:val="1F1F1F"/>
          <w:highlight w:val="white"/>
        </w:rPr>
        <w:br/>
        <w:t>=======================================================================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p w14:paraId="2477F596" w14:textId="77777777" w:rsidR="006D00FA" w:rsidRDefault="00000000">
      <w:pPr>
        <w:pStyle w:val="Heading4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SQL &amp; Relational Database Essentials</w:t>
      </w:r>
    </w:p>
    <w:p w14:paraId="291541B4" w14:textId="77777777" w:rsidR="006D00FA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JOIN Logic:</w:t>
      </w:r>
      <w:r>
        <w:rPr>
          <w:rFonts w:ascii="Google Sans" w:eastAsia="Google Sans" w:hAnsi="Google Sans" w:cs="Google Sans"/>
          <w:color w:val="1F1F1F"/>
        </w:rPr>
        <w:t xml:space="preserve"> Know exact differences between INNER JOIN, LEFT JOIN, FULL OUTER JOIN, and CROSS JOIN.</w:t>
      </w:r>
    </w:p>
    <w:p w14:paraId="2F86516F" w14:textId="77777777" w:rsidR="006D00FA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Aggregations &amp; Filtering:</w:t>
      </w:r>
      <w:r>
        <w:rPr>
          <w:rFonts w:ascii="Google Sans" w:eastAsia="Google Sans" w:hAnsi="Google Sans" w:cs="Google Sans"/>
          <w:color w:val="1F1F1F"/>
        </w:rPr>
        <w:t xml:space="preserve"> Difference between WHERE (row-level filter before aggregation) and HAVING (filter applied after GROUP BY).</w:t>
      </w:r>
    </w:p>
    <w:p w14:paraId="4EEEEE42" w14:textId="77777777" w:rsidR="006D00FA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Window Functions:</w:t>
      </w:r>
      <w:r>
        <w:rPr>
          <w:rFonts w:ascii="Google Sans" w:eastAsia="Google Sans" w:hAnsi="Google Sans" w:cs="Google Sans"/>
          <w:color w:val="1F1F1F"/>
        </w:rPr>
        <w:t xml:space="preserve"> ROW_NUMBER(), RANK(), DENSE_RANK(), and LEAD() / LAG().</w:t>
      </w:r>
    </w:p>
    <w:p w14:paraId="3F373923" w14:textId="77777777" w:rsidR="006D00FA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 Integrity:</w:t>
      </w:r>
      <w:r>
        <w:rPr>
          <w:rFonts w:ascii="Google Sans" w:eastAsia="Google Sans" w:hAnsi="Google Sans" w:cs="Google Sans"/>
          <w:color w:val="1F1F1F"/>
        </w:rPr>
        <w:t xml:space="preserve"> Primary key vs. foreign key constraints, normalization (1NF, 2NF, and </w:t>
      </w:r>
      <w:r>
        <w:rPr>
          <w:rFonts w:ascii="Google Sans" w:eastAsia="Google Sans" w:hAnsi="Google Sans" w:cs="Google Sans"/>
          <w:color w:val="1F1F1F"/>
        </w:rPr>
        <w:lastRenderedPageBreak/>
        <w:t>3NF), and handling missing/NULL values.</w:t>
      </w:r>
    </w:p>
    <w:p w14:paraId="4497C16A" w14:textId="77777777" w:rsidR="006D00FA" w:rsidRDefault="00000000">
      <w:pPr>
        <w:pStyle w:val="Heading4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Business Analysis Core Competency Questions</w:t>
      </w:r>
    </w:p>
    <w:p w14:paraId="0CE3E736" w14:textId="77777777" w:rsidR="006D00FA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BRD vs. FSD vs. User Story:</w:t>
      </w:r>
    </w:p>
    <w:p w14:paraId="1E29C515" w14:textId="77777777" w:rsidR="006D00FA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BRD (Business Requirements Document):</w:t>
      </w:r>
      <w:r>
        <w:rPr>
          <w:rFonts w:ascii="Google Sans" w:eastAsia="Google Sans" w:hAnsi="Google Sans" w:cs="Google Sans"/>
          <w:color w:val="1F1F1F"/>
        </w:rPr>
        <w:t xml:space="preserve"> Explains business objectives and enterprise scope.</w:t>
      </w:r>
    </w:p>
    <w:p w14:paraId="437A6E87" w14:textId="77777777" w:rsidR="006D00FA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FSD (Functional System Design):</w:t>
      </w:r>
      <w:r>
        <w:rPr>
          <w:rFonts w:ascii="Google Sans" w:eastAsia="Google Sans" w:hAnsi="Google Sans" w:cs="Google Sans"/>
          <w:color w:val="1F1F1F"/>
        </w:rPr>
        <w:t xml:space="preserve"> Explains technical behavior, UI/UX screens, and database schemas for developers.</w:t>
      </w:r>
    </w:p>
    <w:p w14:paraId="4AEEF7DA" w14:textId="77777777" w:rsidR="006D00FA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User Story:</w:t>
      </w:r>
      <w:r>
        <w:rPr>
          <w:rFonts w:ascii="Google Sans" w:eastAsia="Google Sans" w:hAnsi="Google Sans" w:cs="Google Sans"/>
          <w:color w:val="1F1F1F"/>
        </w:rPr>
        <w:t xml:space="preserve"> Concise user-centric statement with explicit </w:t>
      </w:r>
      <w:r>
        <w:rPr>
          <w:rFonts w:ascii="Google Sans" w:eastAsia="Google Sans" w:hAnsi="Google Sans" w:cs="Google Sans"/>
          <w:b/>
          <w:bCs/>
          <w:color w:val="1F1F1F"/>
        </w:rPr>
        <w:t>acceptance criteria (Gherkin format: Given-When-Then)</w:t>
      </w:r>
      <w:r>
        <w:rPr>
          <w:rFonts w:ascii="Google Sans" w:eastAsia="Google Sans" w:hAnsi="Google Sans" w:cs="Google Sans"/>
          <w:color w:val="1F1F1F"/>
        </w:rPr>
        <w:t>.</w:t>
      </w:r>
    </w:p>
    <w:p w14:paraId="4CA7329F" w14:textId="77777777" w:rsidR="006D00FA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Handling Scope Creep:</w:t>
      </w:r>
    </w:p>
    <w:p w14:paraId="454DE217" w14:textId="77777777" w:rsidR="006D00FA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Log the request in the change register $\rightarrow$ Perform Impact Analysis (cost, schedule, dependencies) $\rightarrow$ Present trade-offs to the Change Control Board (CCB)/sponsor for authorization.</w:t>
      </w:r>
    </w:p>
    <w:p w14:paraId="57E76E83" w14:textId="77777777" w:rsidR="006D00FA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Managing Conflicting Stakeholder Priorities:</w:t>
      </w:r>
    </w:p>
    <w:p w14:paraId="64876F7B" w14:textId="77777777" w:rsidR="006D00FA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Map requirements back to core business goals/ROI, use multi-criteria decision models (or MoSCoW), and leverage established governance escalation paths.</w:t>
      </w:r>
    </w:p>
    <w:p w14:paraId="3ACC9DFF" w14:textId="77777777" w:rsidR="006D00FA" w:rsidRDefault="00000000">
      <w:pPr>
        <w:pStyle w:val="Heading4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Business Problem Solving &amp; Quantitative Aptitude Formulas</w:t>
      </w:r>
    </w:p>
    <w:p w14:paraId="56D61115" w14:textId="77777777" w:rsidR="006D00FA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Return on Investment (ROI):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$$\text{ROI} = \frac{\text{Net Financial Benefit}} {\text {Total Solution Cost}} \times 100$$</w:t>
      </w:r>
    </w:p>
    <w:p w14:paraId="6D5A3D79" w14:textId="77777777" w:rsidR="006D00FA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Break-Even Analysis: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$$\text{Break-Even Units} = \frac{\text {Fixed Operating Costs}} {\text {Price per Unit} - \text{Variable Cost per Unit}} $$</w:t>
      </w:r>
    </w:p>
    <w:p w14:paraId="39F54BE9" w14:textId="77777777" w:rsidR="006D00FA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Conversion Rate (E-Commerce / Banking Funnels):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$$\text{Conversion Rate} = \frac{\text {Successful Conversions (e.g., Completed Loans)}}{\text {Total Unique Inquiries / Visitors}} \times 100$$</w:t>
      </w:r>
    </w:p>
    <w:sectPr w:rsidR="006D00F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0929AE8-539F-4A6D-9B14-9CC8BA969229}"/>
  </w:font>
  <w:font w:name="Google Sans">
    <w:altName w:val="Calibri"/>
    <w:charset w:val="00"/>
    <w:family w:val="auto"/>
    <w:pitch w:val="default"/>
    <w:embedRegular r:id="rId2" w:fontKey="{DD750BC6-7067-4D5C-8465-81B34A307265}"/>
    <w:embedBold r:id="rId3" w:fontKey="{1DE34468-8AFC-4A18-9260-0FB3DD26ECF2}"/>
    <w:embedItalic r:id="rId4" w:fontKey="{38C2E36F-9138-4308-A85B-7BEB2E3A33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54F361B-3F8F-44BF-8434-665DCA1F2F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A3019A1-8D34-4782-A456-E8110A76CF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903"/>
    <w:multiLevelType w:val="multilevel"/>
    <w:tmpl w:val="7B7A614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6CE4DBE"/>
    <w:multiLevelType w:val="multilevel"/>
    <w:tmpl w:val="79CC2DA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83F0345"/>
    <w:multiLevelType w:val="multilevel"/>
    <w:tmpl w:val="2B8CEDA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B5F67AA"/>
    <w:multiLevelType w:val="multilevel"/>
    <w:tmpl w:val="3FA4042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17B4FC1"/>
    <w:multiLevelType w:val="multilevel"/>
    <w:tmpl w:val="B990638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2032937"/>
    <w:multiLevelType w:val="multilevel"/>
    <w:tmpl w:val="9E6C466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27D6D24"/>
    <w:multiLevelType w:val="multilevel"/>
    <w:tmpl w:val="80F001D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3F2632D"/>
    <w:multiLevelType w:val="multilevel"/>
    <w:tmpl w:val="F82C51D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A86328B"/>
    <w:multiLevelType w:val="multilevel"/>
    <w:tmpl w:val="8466B45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F1B7C49"/>
    <w:multiLevelType w:val="multilevel"/>
    <w:tmpl w:val="C644939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0157CF0"/>
    <w:multiLevelType w:val="multilevel"/>
    <w:tmpl w:val="ABA6797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3F947CB"/>
    <w:multiLevelType w:val="multilevel"/>
    <w:tmpl w:val="126065C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62D5873"/>
    <w:multiLevelType w:val="multilevel"/>
    <w:tmpl w:val="1566278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8341E8C"/>
    <w:multiLevelType w:val="multilevel"/>
    <w:tmpl w:val="4CE4545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2BF5026C"/>
    <w:multiLevelType w:val="multilevel"/>
    <w:tmpl w:val="2E1A0A9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4334A57"/>
    <w:multiLevelType w:val="multilevel"/>
    <w:tmpl w:val="3B826EB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354C6F12"/>
    <w:multiLevelType w:val="multilevel"/>
    <w:tmpl w:val="8FA4182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377C5693"/>
    <w:multiLevelType w:val="multilevel"/>
    <w:tmpl w:val="3EF8256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3F530142"/>
    <w:multiLevelType w:val="multilevel"/>
    <w:tmpl w:val="CAF4B17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418E35E7"/>
    <w:multiLevelType w:val="multilevel"/>
    <w:tmpl w:val="420E65D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424F19EC"/>
    <w:multiLevelType w:val="multilevel"/>
    <w:tmpl w:val="594AD86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48040D94"/>
    <w:multiLevelType w:val="multilevel"/>
    <w:tmpl w:val="2A66FF6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4AD16D3A"/>
    <w:multiLevelType w:val="multilevel"/>
    <w:tmpl w:val="405A20B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4CC855F3"/>
    <w:multiLevelType w:val="multilevel"/>
    <w:tmpl w:val="16F2A3E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51463E24"/>
    <w:multiLevelType w:val="multilevel"/>
    <w:tmpl w:val="5E762D9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528B7513"/>
    <w:multiLevelType w:val="multilevel"/>
    <w:tmpl w:val="596033F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55DD50BE"/>
    <w:multiLevelType w:val="multilevel"/>
    <w:tmpl w:val="8EDC05F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5EE66599"/>
    <w:multiLevelType w:val="multilevel"/>
    <w:tmpl w:val="B36A6EA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608C20AF"/>
    <w:multiLevelType w:val="multilevel"/>
    <w:tmpl w:val="0378955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60AE4A26"/>
    <w:multiLevelType w:val="multilevel"/>
    <w:tmpl w:val="A036E16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77DA3265"/>
    <w:multiLevelType w:val="multilevel"/>
    <w:tmpl w:val="FDC888C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7B9A05AA"/>
    <w:multiLevelType w:val="multilevel"/>
    <w:tmpl w:val="CF28DE9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7E491B30"/>
    <w:multiLevelType w:val="multilevel"/>
    <w:tmpl w:val="7508226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92741923">
    <w:abstractNumId w:val="19"/>
  </w:num>
  <w:num w:numId="2" w16cid:durableId="658967508">
    <w:abstractNumId w:val="28"/>
  </w:num>
  <w:num w:numId="3" w16cid:durableId="538013088">
    <w:abstractNumId w:val="12"/>
  </w:num>
  <w:num w:numId="4" w16cid:durableId="610093710">
    <w:abstractNumId w:val="21"/>
  </w:num>
  <w:num w:numId="5" w16cid:durableId="2016613861">
    <w:abstractNumId w:val="6"/>
  </w:num>
  <w:num w:numId="6" w16cid:durableId="1295015848">
    <w:abstractNumId w:val="0"/>
  </w:num>
  <w:num w:numId="7" w16cid:durableId="435096303">
    <w:abstractNumId w:val="14"/>
  </w:num>
  <w:num w:numId="8" w16cid:durableId="1413504691">
    <w:abstractNumId w:val="9"/>
  </w:num>
  <w:num w:numId="9" w16cid:durableId="683671559">
    <w:abstractNumId w:val="24"/>
  </w:num>
  <w:num w:numId="10" w16cid:durableId="997077785">
    <w:abstractNumId w:val="15"/>
  </w:num>
  <w:num w:numId="11" w16cid:durableId="1086342990">
    <w:abstractNumId w:val="20"/>
  </w:num>
  <w:num w:numId="12" w16cid:durableId="1817381742">
    <w:abstractNumId w:val="16"/>
  </w:num>
  <w:num w:numId="13" w16cid:durableId="1518619751">
    <w:abstractNumId w:val="13"/>
  </w:num>
  <w:num w:numId="14" w16cid:durableId="1336423977">
    <w:abstractNumId w:val="10"/>
  </w:num>
  <w:num w:numId="15" w16cid:durableId="18092492">
    <w:abstractNumId w:val="22"/>
  </w:num>
  <w:num w:numId="16" w16cid:durableId="1418480419">
    <w:abstractNumId w:val="5"/>
  </w:num>
  <w:num w:numId="17" w16cid:durableId="164902177">
    <w:abstractNumId w:val="3"/>
  </w:num>
  <w:num w:numId="18" w16cid:durableId="1416628728">
    <w:abstractNumId w:val="31"/>
  </w:num>
  <w:num w:numId="19" w16cid:durableId="1035732468">
    <w:abstractNumId w:val="25"/>
  </w:num>
  <w:num w:numId="20" w16cid:durableId="98330539">
    <w:abstractNumId w:val="2"/>
  </w:num>
  <w:num w:numId="21" w16cid:durableId="360009873">
    <w:abstractNumId w:val="4"/>
  </w:num>
  <w:num w:numId="22" w16cid:durableId="1908613349">
    <w:abstractNumId w:val="26"/>
  </w:num>
  <w:num w:numId="23" w16cid:durableId="1120413631">
    <w:abstractNumId w:val="27"/>
  </w:num>
  <w:num w:numId="24" w16cid:durableId="141118409">
    <w:abstractNumId w:val="23"/>
  </w:num>
  <w:num w:numId="25" w16cid:durableId="2060397415">
    <w:abstractNumId w:val="17"/>
  </w:num>
  <w:num w:numId="26" w16cid:durableId="1334724703">
    <w:abstractNumId w:val="32"/>
  </w:num>
  <w:num w:numId="27" w16cid:durableId="342244229">
    <w:abstractNumId w:val="29"/>
  </w:num>
  <w:num w:numId="28" w16cid:durableId="661080797">
    <w:abstractNumId w:val="8"/>
  </w:num>
  <w:num w:numId="29" w16cid:durableId="104273992">
    <w:abstractNumId w:val="18"/>
  </w:num>
  <w:num w:numId="30" w16cid:durableId="349575929">
    <w:abstractNumId w:val="1"/>
  </w:num>
  <w:num w:numId="31" w16cid:durableId="1405492198">
    <w:abstractNumId w:val="7"/>
  </w:num>
  <w:num w:numId="32" w16cid:durableId="2063357579">
    <w:abstractNumId w:val="30"/>
  </w:num>
  <w:num w:numId="33" w16cid:durableId="264888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0FA"/>
    <w:rsid w:val="000A03F8"/>
    <w:rsid w:val="006D00FA"/>
    <w:rsid w:val="0092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8E410"/>
  <w15:docId w15:val="{678E40CF-EF38-4E1F-9E09-62E2AF395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1511</Words>
  <Characters>8617</Characters>
  <Application>Microsoft Office Word</Application>
  <DocSecurity>0</DocSecurity>
  <Lines>71</Lines>
  <Paragraphs>20</Paragraphs>
  <ScaleCrop>false</ScaleCrop>
  <Company/>
  <LinksUpToDate>false</LinksUpToDate>
  <CharactersWithSpaces>10108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Sattik Mohanta</cp:lastModifiedBy>
  <cp:revision>2</cp:revision>
  <dcterms:created xsi:type="dcterms:W3CDTF">2026-08-18T07:50:00Z</dcterms:created>
  <dcterms:modified xsi:type="dcterms:W3CDTF">2026-08-18T07:50:00Z</dcterms:modified>
</cp:coreProperties>
</file>