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4E79"/>
          <w:sz w:val="44"/>
        </w:rPr>
        <w:t>Financial Modelling, Valuation &amp; Strategic Finance</w:t>
      </w:r>
    </w:p>
    <w:p>
      <w:pPr>
        <w:spacing w:after="40"/>
        <w:jc w:val="center"/>
      </w:pPr>
      <w:r>
        <w:rPr>
          <w:rFonts w:ascii="Calibri" w:hAnsi="Calibri"/>
          <w:b w:val="0"/>
          <w:i/>
          <w:color w:val="5A5A5A"/>
          <w:sz w:val="22"/>
        </w:rPr>
        <w:t>A Notion-Style Curriculum + Tutorial Book for Excel, DCF, Equity Research, FP&amp;A, M&amp;A, IB, Trading Analytics</w:t>
      </w:r>
    </w:p>
    <w:p>
      <w:pPr>
        <w:spacing w:after="160"/>
        <w:jc w:val="center"/>
      </w:pPr>
      <w:r>
        <w:rPr>
          <w:rFonts w:ascii="Calibri" w:hAnsi="Calibri"/>
          <w:b w:val="0"/>
          <w:i w:val="0"/>
          <w:color w:val="5A5A5A"/>
          <w:sz w:val="19"/>
        </w:rPr>
        <w:t>Prepared for analyst-level interviews and on-the-job execution across J.P. Morgan, Morgan Stanley, Barclays, Wells Fargo, Jane Street, BlackRock, McKinsey, BCG, Bain, and Big Four advisory practices</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How to use this book</w:t>
              <w:br/>
            </w:r>
            <w:r>
              <w:rPr>
                <w:rFonts w:ascii="Calibri" w:hAnsi="Calibri"/>
                <w:b w:val="0"/>
                <w:i w:val="0"/>
                <w:sz w:val="20"/>
              </w:rPr>
              <w:t>Read each module in order. First understand the concept, then the formula, then the model logic, then the interview traps. Finance hiring does not reward memorization; it rewards clean reasoning, spreadsheet discipline, and the ability to defend assumptions under pressure.</w:t>
            </w:r>
          </w:p>
        </w:tc>
      </w:tr>
    </w:tbl>
    <w:p>
      <w:pPr>
        <w:spacing w:after="40"/>
      </w:pPr>
    </w:p>
    <w:p/>
    <w:p>
      <w:pPr>
        <w:pStyle w:val="Heading1"/>
        <w:spacing w:before="120" w:after="60"/>
      </w:pPr>
      <w:r>
        <w:rPr>
          <w:rFonts w:ascii="Calibri" w:hAnsi="Calibri"/>
          <w:b/>
          <w:i w:val="0"/>
          <w:color w:val="1F4E79"/>
          <w:sz w:val="30"/>
        </w:rPr>
        <w:t>Curriculum Map</w:t>
      </w:r>
    </w:p>
    <w:p>
      <w:pPr>
        <w:pStyle w:val="Heading1"/>
        <w:spacing w:before="120" w:after="60"/>
      </w:pPr>
      <w:r>
        <w:rPr>
          <w:rFonts w:ascii="Calibri" w:hAnsi="Calibri"/>
          <w:b/>
          <w:i w:val="0"/>
          <w:color w:val="1F4E79"/>
          <w:sz w:val="30"/>
        </w:rPr>
        <w:t>Curriculum Map</w:t>
      </w:r>
    </w:p>
    <w:p>
      <w:pPr>
        <w:spacing w:after="80" w:line="252" w:lineRule="auto"/>
      </w:pPr>
      <w:r>
        <w:rPr>
          <w:rFonts w:ascii="Calibri" w:hAnsi="Calibri"/>
          <w:b w:val="0"/>
          <w:i w:val="0"/>
          <w:sz w:val="21"/>
        </w:rPr>
        <w:t>Section 1: Excel Basics | Section 2: Excel Functions | Section 3: Financial Reporting | Section 4: Financial Modelling | Section 5: Valuation Frameworks | Section 6: Equity Research | Section 7: FP&amp;A | Section 8: M&amp;A and Investment Banking | Section 9: Trading Analytics | Section 10: Interview Bank and Edge Cases</w:t>
      </w:r>
    </w:p>
    <w:p>
      <w:pPr>
        <w:pStyle w:val="Heading1"/>
        <w:spacing w:before="120" w:after="60"/>
      </w:pPr>
      <w:r>
        <w:rPr>
          <w:rFonts w:ascii="Calibri" w:hAnsi="Calibri"/>
          <w:b/>
          <w:i w:val="0"/>
          <w:color w:val="1F4E79"/>
          <w:sz w:val="30"/>
        </w:rPr>
        <w:t>Section 1. Excel Basics for Finance</w:t>
      </w:r>
    </w:p>
    <w:p>
      <w:pPr>
        <w:spacing w:after="80" w:line="252" w:lineRule="auto"/>
      </w:pPr>
      <w:r>
        <w:rPr>
          <w:rFonts w:ascii="Calibri" w:hAnsi="Calibri"/>
          <w:b w:val="0"/>
          <w:i w:val="0"/>
          <w:sz w:val="21"/>
        </w:rPr>
        <w:t>This section is the operating system of the entire book. In finance hiring, Excel is not treated as a spreadsheet toy; it is treated as the analyst's first language. A model can be elegant in theory and still fail because the workbook is messy, the references are broken, or the assumptions are hidden in a dark corner of the file.</w:t>
      </w:r>
    </w:p>
    <w:p>
      <w:pPr>
        <w:pStyle w:val="ListBullet"/>
        <w:spacing w:after="20" w:line="252" w:lineRule="auto"/>
      </w:pPr>
      <w:r>
        <w:rPr>
          <w:rFonts w:ascii="Calibri" w:hAnsi="Calibri"/>
          <w:b w:val="0"/>
          <w:i w:val="0"/>
          <w:sz w:val="20"/>
        </w:rPr>
        <w:t>Excel operations: navigation, fill series, paste special, text-to-columns, transpose, flash fill, named ranges, freeze panes, grouping, protection.</w:t>
      </w:r>
    </w:p>
    <w:p>
      <w:pPr>
        <w:pStyle w:val="ListBullet"/>
        <w:spacing w:after="20" w:line="252" w:lineRule="auto"/>
      </w:pPr>
      <w:r>
        <w:rPr>
          <w:rFonts w:ascii="Calibri" w:hAnsi="Calibri"/>
          <w:b w:val="0"/>
          <w:i w:val="0"/>
          <w:sz w:val="20"/>
        </w:rPr>
        <w:t>Formatting: number formats, accounting format, currency symbols, percentage scaling, custom formats, borders, shading, conditional style hierarchy, print setup.</w:t>
      </w:r>
    </w:p>
    <w:p>
      <w:pPr>
        <w:pStyle w:val="ListBullet"/>
        <w:spacing w:after="20" w:line="252" w:lineRule="auto"/>
      </w:pPr>
      <w:r>
        <w:rPr>
          <w:rFonts w:ascii="Calibri" w:hAnsi="Calibri"/>
          <w:b w:val="0"/>
          <w:i w:val="0"/>
          <w:sz w:val="20"/>
        </w:rPr>
        <w:t>Formulas and functions: cell referencing, mixed references, dynamic ranges, array logic, function nesting, error handling with IFERROR and ISERROR.</w:t>
      </w:r>
    </w:p>
    <w:p>
      <w:pPr>
        <w:pStyle w:val="ListBullet"/>
        <w:spacing w:after="20" w:line="252" w:lineRule="auto"/>
      </w:pPr>
      <w:r>
        <w:rPr>
          <w:rFonts w:ascii="Calibri" w:hAnsi="Calibri"/>
          <w:b w:val="0"/>
          <w:i w:val="0"/>
          <w:sz w:val="20"/>
        </w:rPr>
        <w:t>Data handling: importing raw statements, cleaning date fields, reconciling sign conventions, standardizing company names, and building audit-ready datasets.</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Why it matters in practice</w:t>
              <w:br/>
            </w:r>
            <w:r>
              <w:rPr>
                <w:rFonts w:ascii="Calibri" w:hAnsi="Calibri"/>
                <w:b w:val="0"/>
                <w:i w:val="0"/>
                <w:sz w:val="20"/>
              </w:rPr>
              <w:t>A banking analyst often receives a messy export from ERP, Tally, Bloomberg, Capital IQ, or a management MIS pack. The first job is not valuation. The first job is making the data usable without introducing silent errors.</w:t>
            </w:r>
          </w:p>
        </w:tc>
      </w:tr>
    </w:tbl>
    <w:p>
      <w:pPr>
        <w:spacing w:after="40"/>
      </w:pPr>
    </w:p>
    <w:p>
      <w:pPr>
        <w:pStyle w:val="Heading2"/>
        <w:spacing w:before="120" w:after="60"/>
      </w:pPr>
      <w:r>
        <w:rPr>
          <w:rFonts w:ascii="Calibri" w:hAnsi="Calibri"/>
          <w:b/>
          <w:i w:val="0"/>
          <w:color w:val="1F4E79"/>
          <w:sz w:val="25"/>
        </w:rPr>
        <w:t>Core technical ideas</w:t>
      </w:r>
    </w:p>
    <w:p>
      <w:pPr>
        <w:pStyle w:val="ListBullet"/>
        <w:spacing w:after="20" w:line="252" w:lineRule="auto"/>
      </w:pPr>
      <w:r>
        <w:rPr>
          <w:rFonts w:ascii="Calibri" w:hAnsi="Calibri"/>
          <w:b w:val="0"/>
          <w:i w:val="0"/>
          <w:sz w:val="20"/>
        </w:rPr>
        <w:t>Absolute reference ($A$1): locks both row and column. Used when copying discount rates, tax rates, or WACC assumptions across a model.</w:t>
      </w:r>
    </w:p>
    <w:p>
      <w:pPr>
        <w:pStyle w:val="ListBullet"/>
        <w:spacing w:after="20" w:line="252" w:lineRule="auto"/>
      </w:pPr>
      <w:r>
        <w:rPr>
          <w:rFonts w:ascii="Calibri" w:hAnsi="Calibri"/>
          <w:b w:val="0"/>
          <w:i w:val="0"/>
          <w:sz w:val="20"/>
        </w:rPr>
        <w:t>Mixed reference (A$1 or $A1): locks one dimension. Useful in matrix-style calculations and sensitivity tables.</w:t>
      </w:r>
    </w:p>
    <w:p>
      <w:pPr>
        <w:pStyle w:val="ListBullet"/>
        <w:spacing w:after="20" w:line="252" w:lineRule="auto"/>
      </w:pPr>
      <w:r>
        <w:rPr>
          <w:rFonts w:ascii="Calibri" w:hAnsi="Calibri"/>
          <w:b w:val="0"/>
          <w:i w:val="0"/>
          <w:sz w:val="20"/>
        </w:rPr>
        <w:t>Structured input design: separate hardcodes, formulas, checks, and outputs. Never mix assumptions and calculations in the same visual lane without a clear rule.</w:t>
      </w:r>
    </w:p>
    <w:p>
      <w:pPr>
        <w:pStyle w:val="ListBullet"/>
        <w:spacing w:after="20" w:line="252" w:lineRule="auto"/>
      </w:pPr>
      <w:r>
        <w:rPr>
          <w:rFonts w:ascii="Calibri" w:hAnsi="Calibri"/>
          <w:b w:val="0"/>
          <w:i w:val="0"/>
          <w:sz w:val="20"/>
        </w:rPr>
        <w:t>Version discipline: date-stamped files, change logs, and an explicit assumption register. In professional work, the spreadsheet itself is a controlled document.</w:t>
      </w:r>
    </w:p>
    <w:p>
      <w:pPr>
        <w:pStyle w:val="Heading2"/>
        <w:spacing w:before="120" w:after="60"/>
      </w:pPr>
      <w:r>
        <w:rPr>
          <w:rFonts w:ascii="Calibri" w:hAnsi="Calibri"/>
          <w:b/>
          <w:i w:val="0"/>
          <w:color w:val="1F4E79"/>
          <w:sz w:val="25"/>
        </w:rPr>
        <w:t>Working example</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Example</w:t>
              <w:br/>
            </w:r>
            <w:r>
              <w:rPr>
                <w:rFonts w:ascii="Calibri" w:hAnsi="Calibri"/>
                <w:b w:val="0"/>
                <w:i w:val="0"/>
                <w:sz w:val="20"/>
              </w:rPr>
              <w:t>If revenue in FY25 is 1,000 and CAGR is 12%, FY26 revenue = 1,000 x 1.12 = 1,120. If the same formula is dragged across 5 years, the growth assumption should remain fixed if locked with an absolute reference, otherwise the model will drift and become mathematically wrong.</w:t>
            </w:r>
          </w:p>
        </w:tc>
      </w:tr>
    </w:tbl>
    <w:p>
      <w:pPr>
        <w:spacing w:after="40"/>
      </w:pPr>
    </w:p>
    <w:p>
      <w:pPr>
        <w:pStyle w:val="Heading1"/>
        <w:spacing w:before="120" w:after="60"/>
      </w:pPr>
      <w:r>
        <w:rPr>
          <w:rFonts w:ascii="Calibri" w:hAnsi="Calibri"/>
          <w:b/>
          <w:i w:val="0"/>
          <w:color w:val="1F4E79"/>
          <w:sz w:val="30"/>
        </w:rPr>
        <w:t>Section 2. Excel Functions Used Daily in Finance</w:t>
      </w:r>
    </w:p>
    <w:p>
      <w:pPr>
        <w:spacing w:after="80" w:line="252" w:lineRule="auto"/>
      </w:pPr>
      <w:r>
        <w:rPr>
          <w:rFonts w:ascii="Calibri" w:hAnsi="Calibri"/>
          <w:b w:val="0"/>
          <w:i w:val="0"/>
          <w:sz w:val="21"/>
        </w:rPr>
        <w:t>This section covers the lookup, aggregation, and control functions that appear in almost every finance model. In interviews, the question is rarely whether you know the syntax. The real test is whether you know which function is safer, faster, and more auditable under live pressure.</w:t>
      </w:r>
    </w:p>
    <w:p>
      <w:pPr>
        <w:pStyle w:val="Heading2"/>
        <w:spacing w:before="120" w:after="60"/>
      </w:pPr>
      <w:r>
        <w:rPr>
          <w:rFonts w:ascii="Calibri" w:hAnsi="Calibri"/>
          <w:b/>
          <w:i w:val="0"/>
          <w:color w:val="1F4E79"/>
          <w:sz w:val="25"/>
        </w:rPr>
        <w:t>SUMIF / SUMIFS / COUNTIFS / AVERAGEIFS</w:t>
      </w:r>
    </w:p>
    <w:p>
      <w:pPr>
        <w:pStyle w:val="ListBullet"/>
        <w:spacing w:after="20" w:line="252" w:lineRule="auto"/>
      </w:pPr>
      <w:r>
        <w:rPr>
          <w:rFonts w:ascii="Calibri" w:hAnsi="Calibri"/>
          <w:b w:val="0"/>
          <w:i w:val="0"/>
          <w:sz w:val="20"/>
        </w:rPr>
        <w:t>Use these when you need conditional aggregation by product, geography, month, scenario, department, or account head.</w:t>
      </w:r>
    </w:p>
    <w:p>
      <w:pPr>
        <w:pStyle w:val="ListBullet"/>
        <w:spacing w:after="20" w:line="252" w:lineRule="auto"/>
      </w:pPr>
      <w:r>
        <w:rPr>
          <w:rFonts w:ascii="Calibri" w:hAnsi="Calibri"/>
          <w:b w:val="0"/>
          <w:i w:val="0"/>
          <w:sz w:val="20"/>
        </w:rPr>
        <w:t>Formula logic: SUMIFS(sum_range, criteria_range1, criteria1, criteria_range2, criteria2). The ranges must be aligned or the result becomes unreliable.</w:t>
      </w:r>
    </w:p>
    <w:p>
      <w:pPr>
        <w:pStyle w:val="ListBullet"/>
        <w:spacing w:after="20" w:line="252" w:lineRule="auto"/>
      </w:pPr>
      <w:r>
        <w:rPr>
          <w:rFonts w:ascii="Calibri" w:hAnsi="Calibri"/>
          <w:b w:val="0"/>
          <w:i w:val="0"/>
          <w:sz w:val="20"/>
        </w:rPr>
        <w:t>Use case: FP&amp;A can sum only marketing spend for Q2 in India, or only interest expense for a debt schedule, or only travel costs tagged to a specific cost center.</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Interview trap</w:t>
              <w:br/>
            </w:r>
            <w:r>
              <w:rPr>
                <w:rFonts w:ascii="Calibri" w:hAnsi="Calibri"/>
                <w:b w:val="0"/>
                <w:i w:val="0"/>
                <w:sz w:val="20"/>
              </w:rPr>
              <w:t>Candidates often say SUMIF and SUMIFS are interchangeable. They are not. SUMIF handles one condition; SUMIFS handles multiple conditions. In real models, multiple conditions are the norm, not the exception.</w:t>
            </w:r>
          </w:p>
        </w:tc>
      </w:tr>
    </w:tbl>
    <w:p>
      <w:pPr>
        <w:spacing w:after="40"/>
      </w:pPr>
    </w:p>
    <w:p>
      <w:pPr>
        <w:pStyle w:val="Heading2"/>
        <w:spacing w:before="120" w:after="60"/>
      </w:pPr>
      <w:r>
        <w:rPr>
          <w:rFonts w:ascii="Calibri" w:hAnsi="Calibri"/>
          <w:b/>
          <w:i w:val="0"/>
          <w:color w:val="1F4E79"/>
          <w:sz w:val="25"/>
        </w:rPr>
        <w:t>VLOOKUP / XLOOKUP / INDEX-MATCH</w:t>
      </w:r>
    </w:p>
    <w:p>
      <w:pPr>
        <w:pStyle w:val="ListBullet"/>
        <w:spacing w:after="20" w:line="252" w:lineRule="auto"/>
      </w:pPr>
      <w:r>
        <w:rPr>
          <w:rFonts w:ascii="Calibri" w:hAnsi="Calibri"/>
          <w:b w:val="0"/>
          <w:i w:val="0"/>
          <w:sz w:val="20"/>
        </w:rPr>
        <w:t>VLOOKUP searches vertically but is limited because the lookup column must be on the left side of the return column.</w:t>
      </w:r>
    </w:p>
    <w:p>
      <w:pPr>
        <w:pStyle w:val="ListBullet"/>
        <w:spacing w:after="20" w:line="252" w:lineRule="auto"/>
      </w:pPr>
      <w:r>
        <w:rPr>
          <w:rFonts w:ascii="Calibri" w:hAnsi="Calibri"/>
          <w:b w:val="0"/>
          <w:i w:val="0"/>
          <w:sz w:val="20"/>
        </w:rPr>
        <w:t>INDEX-MATCH separates the lookup from the return range, making the model more flexible and less fragile when columns are inserted.</w:t>
      </w:r>
    </w:p>
    <w:p>
      <w:pPr>
        <w:pStyle w:val="ListBullet"/>
        <w:spacing w:after="20" w:line="252" w:lineRule="auto"/>
      </w:pPr>
      <w:r>
        <w:rPr>
          <w:rFonts w:ascii="Calibri" w:hAnsi="Calibri"/>
          <w:b w:val="0"/>
          <w:i w:val="0"/>
          <w:sz w:val="20"/>
        </w:rPr>
        <w:t>XLOOKUP is the modern version: it can search left or right, return exact or approximate matches, and show custom not-found text.</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Professional preference</w:t>
              <w:br/>
            </w:r>
            <w:r>
              <w:rPr>
                <w:rFonts w:ascii="Calibri" w:hAnsi="Calibri"/>
                <w:b w:val="0"/>
                <w:i w:val="0"/>
                <w:sz w:val="20"/>
              </w:rPr>
              <w:t>In old models, VLOOKUP is common because it is simple. In robust models, INDEX-MATCH or XLOOKUP is preferred because it survives structural changes better. That is why senior model reviewers call VLOOKUP 'brittle'.</w:t>
            </w:r>
          </w:p>
        </w:tc>
      </w:tr>
    </w:tbl>
    <w:p>
      <w:pPr>
        <w:spacing w:after="40"/>
      </w:pPr>
    </w:p>
    <w:p>
      <w:pPr>
        <w:pStyle w:val="Heading2"/>
        <w:spacing w:before="120" w:after="60"/>
      </w:pPr>
      <w:r>
        <w:rPr>
          <w:rFonts w:ascii="Calibri" w:hAnsi="Calibri"/>
          <w:b/>
          <w:i w:val="0"/>
          <w:color w:val="1F4E79"/>
          <w:sz w:val="25"/>
        </w:rPr>
        <w:t>Pivot tables</w:t>
      </w:r>
    </w:p>
    <w:p>
      <w:pPr>
        <w:pStyle w:val="ListBullet"/>
        <w:spacing w:after="20" w:line="252" w:lineRule="auto"/>
      </w:pPr>
      <w:r>
        <w:rPr>
          <w:rFonts w:ascii="Calibri" w:hAnsi="Calibri"/>
          <w:b w:val="0"/>
          <w:i w:val="0"/>
          <w:sz w:val="20"/>
        </w:rPr>
        <w:t>Pivot tables summarize large datasets without hardcoding formulas row by row.</w:t>
      </w:r>
    </w:p>
    <w:p>
      <w:pPr>
        <w:pStyle w:val="ListBullet"/>
        <w:spacing w:after="20" w:line="252" w:lineRule="auto"/>
      </w:pPr>
      <w:r>
        <w:rPr>
          <w:rFonts w:ascii="Calibri" w:hAnsi="Calibri"/>
          <w:b w:val="0"/>
          <w:i w:val="0"/>
          <w:sz w:val="20"/>
        </w:rPr>
        <w:t>Use them to analyze revenue by segment, EBITDA by product, headcount by department, or trading volume by venue.</w:t>
      </w:r>
    </w:p>
    <w:p>
      <w:pPr>
        <w:pStyle w:val="ListBullet"/>
        <w:spacing w:after="20" w:line="252" w:lineRule="auto"/>
      </w:pPr>
      <w:r>
        <w:rPr>
          <w:rFonts w:ascii="Calibri" w:hAnsi="Calibri"/>
          <w:b w:val="0"/>
          <w:i w:val="0"/>
          <w:sz w:val="20"/>
        </w:rPr>
        <w:t>The professional risk is stale refresh or hidden source data changes. A pivot table is only as good as the range and the refresh discipline behind it.</w:t>
      </w:r>
    </w:p>
    <w:p>
      <w:pPr>
        <w:pStyle w:val="Heading2"/>
        <w:spacing w:before="120" w:after="60"/>
      </w:pPr>
      <w:r>
        <w:rPr>
          <w:rFonts w:ascii="Calibri" w:hAnsi="Calibri"/>
          <w:b/>
          <w:i w:val="0"/>
          <w:color w:val="1F4E79"/>
          <w:sz w:val="25"/>
        </w:rPr>
        <w:t>Goal Seek and Scenario tools</w:t>
      </w:r>
    </w:p>
    <w:p>
      <w:pPr>
        <w:pStyle w:val="ListBullet"/>
        <w:spacing w:after="20" w:line="252" w:lineRule="auto"/>
      </w:pPr>
      <w:r>
        <w:rPr>
          <w:rFonts w:ascii="Calibri" w:hAnsi="Calibri"/>
          <w:b w:val="0"/>
          <w:i w:val="0"/>
          <w:sz w:val="20"/>
        </w:rPr>
        <w:t>Goal Seek solves for the input needed to hit a target output. Example: what growth rate produces a target EBITDA margin?</w:t>
      </w:r>
    </w:p>
    <w:p>
      <w:pPr>
        <w:pStyle w:val="ListBullet"/>
        <w:spacing w:after="20" w:line="252" w:lineRule="auto"/>
      </w:pPr>
      <w:r>
        <w:rPr>
          <w:rFonts w:ascii="Calibri" w:hAnsi="Calibri"/>
          <w:b w:val="0"/>
          <w:i w:val="0"/>
          <w:sz w:val="20"/>
        </w:rPr>
        <w:t>This is common in debt sizing, DSCR analysis, valuation sensitivity, and management planning.</w:t>
      </w:r>
    </w:p>
    <w:p>
      <w:pPr>
        <w:pStyle w:val="ListBullet"/>
        <w:spacing w:after="20" w:line="252" w:lineRule="auto"/>
      </w:pPr>
      <w:r>
        <w:rPr>
          <w:rFonts w:ascii="Calibri" w:hAnsi="Calibri"/>
          <w:b w:val="0"/>
          <w:i w:val="0"/>
          <w:sz w:val="20"/>
        </w:rPr>
        <w:t>It is a one-variable solver. For multi-variable uncertainty, use scenario analysis, data tables, or a full model with toggles.</w:t>
      </w:r>
    </w:p>
    <w:p>
      <w:pPr>
        <w:pStyle w:val="Heading2"/>
        <w:spacing w:before="120" w:after="60"/>
      </w:pPr>
      <w:r>
        <w:rPr>
          <w:rFonts w:ascii="Calibri" w:hAnsi="Calibri"/>
          <w:b/>
          <w:i w:val="0"/>
          <w:color w:val="1F4E79"/>
          <w:sz w:val="25"/>
        </w:rPr>
        <w:t>Conditional formatting</w:t>
      </w:r>
    </w:p>
    <w:p>
      <w:pPr>
        <w:pStyle w:val="ListBullet"/>
        <w:spacing w:after="20" w:line="252" w:lineRule="auto"/>
      </w:pPr>
      <w:r>
        <w:rPr>
          <w:rFonts w:ascii="Calibri" w:hAnsi="Calibri"/>
          <w:b w:val="0"/>
          <w:i w:val="0"/>
          <w:sz w:val="20"/>
        </w:rPr>
        <w:t>Use it for heatmaps, outlier detection, negative values, and check flags.</w:t>
      </w:r>
    </w:p>
    <w:p>
      <w:pPr>
        <w:pStyle w:val="ListBullet"/>
        <w:spacing w:after="20" w:line="252" w:lineRule="auto"/>
      </w:pPr>
      <w:r>
        <w:rPr>
          <w:rFonts w:ascii="Calibri" w:hAnsi="Calibri"/>
          <w:b w:val="0"/>
          <w:i w:val="0"/>
          <w:sz w:val="20"/>
        </w:rPr>
        <w:t>In finance, conditional formatting is not decoration. It is a diagnostic layer used to spot sign mistakes, broken links, and unusual variances.</w:t>
      </w:r>
    </w:p>
    <w:p>
      <w:pPr>
        <w:pStyle w:val="Heading1"/>
        <w:spacing w:before="120" w:after="60"/>
      </w:pPr>
      <w:r>
        <w:rPr>
          <w:rFonts w:ascii="Calibri" w:hAnsi="Calibri"/>
          <w:b/>
          <w:i w:val="0"/>
          <w:color w:val="1F4E79"/>
          <w:sz w:val="30"/>
        </w:rPr>
        <w:t>Section 3. Financial Reporting and Statement Literacy</w:t>
      </w:r>
    </w:p>
    <w:p>
      <w:pPr>
        <w:spacing w:after="80" w:line="252" w:lineRule="auto"/>
      </w:pPr>
      <w:r>
        <w:rPr>
          <w:rFonts w:ascii="Calibri" w:hAnsi="Calibri"/>
          <w:b w:val="0"/>
          <w:i w:val="0"/>
          <w:sz w:val="21"/>
        </w:rPr>
        <w:t>A strong model starts with accounting literacy. You cannot forecast what you do not understand. The three statements are not separate islands; they are one interconnected system.</w:t>
      </w:r>
    </w:p>
    <w:p>
      <w:pPr>
        <w:pStyle w:val="ListBullet"/>
        <w:spacing w:after="20" w:line="252" w:lineRule="auto"/>
      </w:pPr>
      <w:r>
        <w:rPr>
          <w:rFonts w:ascii="Calibri" w:hAnsi="Calibri"/>
          <w:b w:val="0"/>
          <w:i w:val="0"/>
          <w:sz w:val="20"/>
        </w:rPr>
        <w:t>P&amp;L: performance over a period. Focus on revenue, margins, operating leverage, and the difference between EBITDA and cash earnings.</w:t>
      </w:r>
    </w:p>
    <w:p>
      <w:pPr>
        <w:pStyle w:val="ListBullet"/>
        <w:spacing w:after="20" w:line="252" w:lineRule="auto"/>
      </w:pPr>
      <w:r>
        <w:rPr>
          <w:rFonts w:ascii="Calibri" w:hAnsi="Calibri"/>
          <w:b w:val="0"/>
          <w:i w:val="0"/>
          <w:sz w:val="20"/>
        </w:rPr>
        <w:t>Balance sheet: position at a point in time. Focus on working capital, debt, equity, and retained earnings.</w:t>
      </w:r>
    </w:p>
    <w:p>
      <w:pPr>
        <w:pStyle w:val="ListBullet"/>
        <w:spacing w:after="20" w:line="252" w:lineRule="auto"/>
      </w:pPr>
      <w:r>
        <w:rPr>
          <w:rFonts w:ascii="Calibri" w:hAnsi="Calibri"/>
          <w:b w:val="0"/>
          <w:i w:val="0"/>
          <w:sz w:val="20"/>
        </w:rPr>
        <w:t>Cash flow: bridge between accounting profit and actual movement of cash. This is where many business stories become visible.</w:t>
      </w:r>
    </w:p>
    <w:p>
      <w:pPr>
        <w:pStyle w:val="ListBullet"/>
        <w:spacing w:after="20" w:line="252" w:lineRule="auto"/>
      </w:pPr>
      <w:r>
        <w:rPr>
          <w:rFonts w:ascii="Calibri" w:hAnsi="Calibri"/>
          <w:b w:val="0"/>
          <w:i w:val="0"/>
          <w:sz w:val="20"/>
        </w:rPr>
        <w:t>Financial data compilation: raw financials must be normalized for one-off items, inconsistent classification, currency differences, and fiscal-year differences.</w:t>
      </w:r>
    </w:p>
    <w:p>
      <w:pPr>
        <w:pStyle w:val="Heading2"/>
        <w:spacing w:before="120" w:after="60"/>
      </w:pPr>
      <w:r>
        <w:rPr>
          <w:rFonts w:ascii="Calibri" w:hAnsi="Calibri"/>
          <w:b/>
          <w:i w:val="0"/>
          <w:color w:val="1F4E79"/>
          <w:sz w:val="25"/>
        </w:rPr>
        <w:t>P&amp;L</w:t>
      </w:r>
    </w:p>
    <w:p>
      <w:pPr>
        <w:pStyle w:val="ListBullet"/>
        <w:spacing w:after="20" w:line="252" w:lineRule="auto"/>
      </w:pPr>
      <w:r>
        <w:rPr>
          <w:rFonts w:ascii="Calibri" w:hAnsi="Calibri"/>
          <w:b w:val="0"/>
          <w:i w:val="0"/>
          <w:sz w:val="20"/>
        </w:rPr>
        <w:t>Revenue: top line. In operating models, this is normally forecast through volume x price, customer count x ARPU, or store count x sales per store.</w:t>
      </w:r>
    </w:p>
    <w:p>
      <w:pPr>
        <w:pStyle w:val="ListBullet"/>
        <w:spacing w:after="20" w:line="252" w:lineRule="auto"/>
      </w:pPr>
      <w:r>
        <w:rPr>
          <w:rFonts w:ascii="Calibri" w:hAnsi="Calibri"/>
          <w:b w:val="0"/>
          <w:i w:val="0"/>
          <w:sz w:val="20"/>
        </w:rPr>
        <w:t>EBITDA: earnings before interest, taxes, depreciation, and amortization. It is a proxy for operating profit before non-cash and financing effects.</w:t>
      </w:r>
    </w:p>
    <w:p>
      <w:pPr>
        <w:pStyle w:val="ListBullet"/>
        <w:spacing w:after="20" w:line="252" w:lineRule="auto"/>
      </w:pPr>
      <w:r>
        <w:rPr>
          <w:rFonts w:ascii="Calibri" w:hAnsi="Calibri"/>
          <w:b w:val="0"/>
          <w:i w:val="0"/>
          <w:sz w:val="20"/>
        </w:rPr>
        <w:t>EBIT: operating profit after depreciation and amortization.</w:t>
      </w:r>
    </w:p>
    <w:p>
      <w:pPr>
        <w:pStyle w:val="ListBullet"/>
        <w:spacing w:after="20" w:line="252" w:lineRule="auto"/>
      </w:pPr>
      <w:r>
        <w:rPr>
          <w:rFonts w:ascii="Calibri" w:hAnsi="Calibri"/>
          <w:b w:val="0"/>
          <w:i w:val="0"/>
          <w:sz w:val="20"/>
        </w:rPr>
        <w:t>PAT: profit after tax. Equity investors care because it is the residual claim available to shareholders.</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Key nuance</w:t>
              <w:br/>
            </w:r>
            <w:r>
              <w:rPr>
                <w:rFonts w:ascii="Calibri" w:hAnsi="Calibri"/>
                <w:b w:val="0"/>
                <w:i w:val="0"/>
                <w:sz w:val="20"/>
              </w:rPr>
              <w:t>EBITDA is not cash flow. A business can have high EBITDA and still run out of cash if working capital, capex, or debt service are heavy.</w:t>
            </w:r>
          </w:p>
        </w:tc>
      </w:tr>
    </w:tbl>
    <w:p>
      <w:pPr>
        <w:spacing w:after="40"/>
      </w:pPr>
    </w:p>
    <w:p>
      <w:pPr>
        <w:pStyle w:val="Heading2"/>
        <w:spacing w:before="120" w:after="60"/>
      </w:pPr>
      <w:r>
        <w:rPr>
          <w:rFonts w:ascii="Calibri" w:hAnsi="Calibri"/>
          <w:b/>
          <w:i w:val="0"/>
          <w:color w:val="1F4E79"/>
          <w:sz w:val="25"/>
        </w:rPr>
        <w:t>Balance sheet</w:t>
      </w:r>
    </w:p>
    <w:p>
      <w:pPr>
        <w:pStyle w:val="ListBullet"/>
        <w:spacing w:after="20" w:line="252" w:lineRule="auto"/>
      </w:pPr>
      <w:r>
        <w:rPr>
          <w:rFonts w:ascii="Calibri" w:hAnsi="Calibri"/>
          <w:b w:val="0"/>
          <w:i w:val="0"/>
          <w:sz w:val="20"/>
        </w:rPr>
        <w:t>Working capital items: inventory, receivables, payables, and other current operating assets/liabilities.</w:t>
      </w:r>
    </w:p>
    <w:p>
      <w:pPr>
        <w:pStyle w:val="ListBullet"/>
        <w:spacing w:after="20" w:line="252" w:lineRule="auto"/>
      </w:pPr>
      <w:r>
        <w:rPr>
          <w:rFonts w:ascii="Calibri" w:hAnsi="Calibri"/>
          <w:b w:val="0"/>
          <w:i w:val="0"/>
          <w:sz w:val="20"/>
        </w:rPr>
        <w:t>Debt: short-term borrowings, long-term loans, bonds, lease liabilities. Each has different cash and covenant implications.</w:t>
      </w:r>
    </w:p>
    <w:p>
      <w:pPr>
        <w:pStyle w:val="ListBullet"/>
        <w:spacing w:after="20" w:line="252" w:lineRule="auto"/>
      </w:pPr>
      <w:r>
        <w:rPr>
          <w:rFonts w:ascii="Calibri" w:hAnsi="Calibri"/>
          <w:b w:val="0"/>
          <w:i w:val="0"/>
          <w:sz w:val="20"/>
        </w:rPr>
        <w:t>Equity: share capital, reserves, retained earnings, and sometimes minority interest in consolidated reporting.</w:t>
      </w:r>
    </w:p>
    <w:p>
      <w:pPr>
        <w:pStyle w:val="ListBullet"/>
        <w:spacing w:after="20" w:line="252" w:lineRule="auto"/>
      </w:pPr>
      <w:r>
        <w:rPr>
          <w:rFonts w:ascii="Calibri" w:hAnsi="Calibri"/>
          <w:b w:val="0"/>
          <w:i w:val="0"/>
          <w:sz w:val="20"/>
        </w:rPr>
        <w:t>Goodwill: arises in acquisitions when purchase price exceeds fair value of net identifiable assets.</w:t>
      </w:r>
    </w:p>
    <w:p>
      <w:pPr>
        <w:pStyle w:val="ListBullet"/>
        <w:spacing w:after="20" w:line="252" w:lineRule="auto"/>
      </w:pPr>
      <w:r>
        <w:rPr>
          <w:rFonts w:ascii="Calibri" w:hAnsi="Calibri"/>
          <w:b w:val="0"/>
          <w:i w:val="0"/>
          <w:sz w:val="20"/>
        </w:rPr>
        <w:t>Deferred tax: timing difference between accounting and tax treatment; one of the favorite interview traps.</w:t>
      </w:r>
    </w:p>
    <w:p>
      <w:pPr>
        <w:pStyle w:val="Heading2"/>
        <w:spacing w:before="120" w:after="60"/>
      </w:pPr>
      <w:r>
        <w:rPr>
          <w:rFonts w:ascii="Calibri" w:hAnsi="Calibri"/>
          <w:b/>
          <w:i w:val="0"/>
          <w:color w:val="1F4E79"/>
          <w:sz w:val="25"/>
        </w:rPr>
        <w:t>Cash flow statement</w:t>
      </w:r>
    </w:p>
    <w:p>
      <w:pPr>
        <w:pStyle w:val="ListBullet"/>
        <w:spacing w:after="20" w:line="252" w:lineRule="auto"/>
      </w:pPr>
      <w:r>
        <w:rPr>
          <w:rFonts w:ascii="Calibri" w:hAnsi="Calibri"/>
          <w:b w:val="0"/>
          <w:i w:val="0"/>
          <w:sz w:val="20"/>
        </w:rPr>
        <w:t>Operating cash flow starts from net income and adjusts for non-cash charges and working capital movements.</w:t>
      </w:r>
    </w:p>
    <w:p>
      <w:pPr>
        <w:pStyle w:val="ListBullet"/>
        <w:spacing w:after="20" w:line="252" w:lineRule="auto"/>
      </w:pPr>
      <w:r>
        <w:rPr>
          <w:rFonts w:ascii="Calibri" w:hAnsi="Calibri"/>
          <w:b w:val="0"/>
          <w:i w:val="0"/>
          <w:sz w:val="20"/>
        </w:rPr>
        <w:t>Investing cash flow usually contains capex, acquisitions, and asset sales.</w:t>
      </w:r>
    </w:p>
    <w:p>
      <w:pPr>
        <w:pStyle w:val="ListBullet"/>
        <w:spacing w:after="20" w:line="252" w:lineRule="auto"/>
      </w:pPr>
      <w:r>
        <w:rPr>
          <w:rFonts w:ascii="Calibri" w:hAnsi="Calibri"/>
          <w:b w:val="0"/>
          <w:i w:val="0"/>
          <w:sz w:val="20"/>
        </w:rPr>
        <w:t>Financing cash flow contains debt issuance/repayment, equity issuance/buybacks, and dividends.</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Formula logic</w:t>
              <w:br/>
            </w:r>
            <w:r>
              <w:rPr>
                <w:rFonts w:ascii="Calibri" w:hAnsi="Calibri"/>
                <w:b w:val="0"/>
                <w:i w:val="0"/>
                <w:sz w:val="20"/>
              </w:rPr>
              <w:t>Operating cash flow = Net income + non-cash expenses - increase in working capital + non-operating adjustments. Remember the direction: an increase in receivables consumes cash, while an increase in payables releases cash.</w:t>
            </w:r>
          </w:p>
        </w:tc>
      </w:tr>
    </w:tbl>
    <w:p>
      <w:pPr>
        <w:spacing w:after="40"/>
      </w:pPr>
    </w:p>
    <w:p>
      <w:pPr>
        <w:pStyle w:val="Heading1"/>
        <w:spacing w:before="120" w:after="60"/>
      </w:pPr>
      <w:r>
        <w:rPr>
          <w:rFonts w:ascii="Calibri" w:hAnsi="Calibri"/>
          <w:b/>
          <w:i w:val="0"/>
          <w:color w:val="1F4E79"/>
          <w:sz w:val="30"/>
        </w:rPr>
        <w:t>Section 4. Financial Modelling Core</w:t>
      </w:r>
    </w:p>
    <w:p>
      <w:pPr>
        <w:spacing w:after="80" w:line="252" w:lineRule="auto"/>
      </w:pPr>
      <w:r>
        <w:rPr>
          <w:rFonts w:ascii="Calibri" w:hAnsi="Calibri"/>
          <w:b w:val="0"/>
          <w:i w:val="0"/>
          <w:sz w:val="21"/>
        </w:rPr>
        <w:t>This is the engine room. A financial model is a structured forecast that links business drivers to financial statements and valuation outputs. Good modelling is not about speed. It is about causality, consistency, and auditability.</w:t>
      </w:r>
    </w:p>
    <w:p>
      <w:pPr>
        <w:pStyle w:val="Heading2"/>
        <w:spacing w:before="120" w:after="60"/>
      </w:pPr>
      <w:r>
        <w:rPr>
          <w:rFonts w:ascii="Calibri" w:hAnsi="Calibri"/>
          <w:b/>
          <w:i w:val="0"/>
          <w:color w:val="1F4E79"/>
          <w:sz w:val="25"/>
        </w:rPr>
        <w:t>Forecasting logic</w:t>
      </w:r>
    </w:p>
    <w:p>
      <w:pPr>
        <w:pStyle w:val="ListBullet"/>
        <w:spacing w:after="20" w:line="252" w:lineRule="auto"/>
      </w:pPr>
      <w:r>
        <w:rPr>
          <w:rFonts w:ascii="Calibri" w:hAnsi="Calibri"/>
          <w:b w:val="0"/>
          <w:i w:val="0"/>
          <w:sz w:val="20"/>
        </w:rPr>
        <w:t>Top-down forecasting starts from market size and market share.</w:t>
      </w:r>
    </w:p>
    <w:p>
      <w:pPr>
        <w:pStyle w:val="ListBullet"/>
        <w:spacing w:after="20" w:line="252" w:lineRule="auto"/>
      </w:pPr>
      <w:r>
        <w:rPr>
          <w:rFonts w:ascii="Calibri" w:hAnsi="Calibri"/>
          <w:b w:val="0"/>
          <w:i w:val="0"/>
          <w:sz w:val="20"/>
        </w:rPr>
        <w:t>Bottom-up forecasting starts from business drivers like customers, units sold, price, utilization, conversion rate, or stores.</w:t>
      </w:r>
    </w:p>
    <w:p>
      <w:pPr>
        <w:pStyle w:val="ListBullet"/>
        <w:spacing w:after="20" w:line="252" w:lineRule="auto"/>
      </w:pPr>
      <w:r>
        <w:rPr>
          <w:rFonts w:ascii="Calibri" w:hAnsi="Calibri"/>
          <w:b w:val="0"/>
          <w:i w:val="0"/>
          <w:sz w:val="20"/>
        </w:rPr>
        <w:t>Driver-based forecasting is preferred in professional work because assumptions are easier to defend than blunt percentage growth.</w:t>
      </w:r>
    </w:p>
    <w:p>
      <w:pPr>
        <w:pStyle w:val="ListBullet"/>
        <w:spacing w:after="20" w:line="252" w:lineRule="auto"/>
      </w:pPr>
      <w:r>
        <w:rPr>
          <w:rFonts w:ascii="Calibri" w:hAnsi="Calibri"/>
          <w:b w:val="0"/>
          <w:i w:val="0"/>
          <w:sz w:val="20"/>
        </w:rPr>
        <w:t>Historical trend extrapolation is useful, but only when the business is stable and the industry cycle is not distorting the signal.</w:t>
      </w:r>
    </w:p>
    <w:p>
      <w:pPr>
        <w:pStyle w:val="Heading2"/>
        <w:spacing w:before="120" w:after="60"/>
      </w:pPr>
      <w:r>
        <w:rPr>
          <w:rFonts w:ascii="Calibri" w:hAnsi="Calibri"/>
          <w:b/>
          <w:i w:val="0"/>
          <w:color w:val="1F4E79"/>
          <w:sz w:val="25"/>
        </w:rPr>
        <w:t>DCF model</w:t>
      </w:r>
    </w:p>
    <w:p>
      <w:pPr>
        <w:pStyle w:val="ListBullet"/>
        <w:spacing w:after="20" w:line="252" w:lineRule="auto"/>
      </w:pPr>
      <w:r>
        <w:rPr>
          <w:rFonts w:ascii="Calibri" w:hAnsi="Calibri"/>
          <w:b w:val="0"/>
          <w:i w:val="0"/>
          <w:sz w:val="20"/>
        </w:rPr>
        <w:t>DCF values a business by discounting its expected future free cash flows to present value.</w:t>
      </w:r>
    </w:p>
    <w:p>
      <w:pPr>
        <w:pStyle w:val="ListBullet"/>
        <w:spacing w:after="20" w:line="252" w:lineRule="auto"/>
      </w:pPr>
      <w:r>
        <w:rPr>
          <w:rFonts w:ascii="Calibri" w:hAnsi="Calibri"/>
          <w:b w:val="0"/>
          <w:i w:val="0"/>
          <w:sz w:val="20"/>
        </w:rPr>
        <w:t>FCFF = EBIT x (1 - tax rate) + D&amp;A - CapEx - increase in NWC.</w:t>
      </w:r>
    </w:p>
    <w:p>
      <w:pPr>
        <w:pStyle w:val="ListBullet"/>
        <w:spacing w:after="20" w:line="252" w:lineRule="auto"/>
      </w:pPr>
      <w:r>
        <w:rPr>
          <w:rFonts w:ascii="Calibri" w:hAnsi="Calibri"/>
          <w:b w:val="0"/>
          <w:i w:val="0"/>
          <w:sz w:val="20"/>
        </w:rPr>
        <w:t>Enterprise Value = present value of forecast FCFFs + present value of terminal value.</w:t>
      </w:r>
    </w:p>
    <w:p>
      <w:pPr>
        <w:pStyle w:val="ListBullet"/>
        <w:spacing w:after="20" w:line="252" w:lineRule="auto"/>
      </w:pPr>
      <w:r>
        <w:rPr>
          <w:rFonts w:ascii="Calibri" w:hAnsi="Calibri"/>
          <w:b w:val="0"/>
          <w:i w:val="0"/>
          <w:sz w:val="20"/>
        </w:rPr>
        <w:t>Equity Value = Enterprise Value - net debt - minority interest + investments and non-operating assets.</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Jargon translation</w:t>
              <w:br/>
            </w:r>
            <w:r>
              <w:rPr>
                <w:rFonts w:ascii="Calibri" w:hAnsi="Calibri"/>
                <w:b w:val="0"/>
                <w:i w:val="0"/>
                <w:sz w:val="20"/>
              </w:rPr>
              <w:t>Enterprise Value is the value of the operating business to all capital providers. Equity Value is what belongs to shareholders after debt and other claims are removed.</w:t>
            </w:r>
          </w:p>
        </w:tc>
      </w:tr>
    </w:tbl>
    <w:p>
      <w:pPr>
        <w:spacing w:after="40"/>
      </w:pPr>
    </w:p>
    <w:p>
      <w:pPr>
        <w:pStyle w:val="Heading2"/>
        <w:spacing w:before="120" w:after="60"/>
      </w:pPr>
      <w:r>
        <w:rPr>
          <w:rFonts w:ascii="Calibri" w:hAnsi="Calibri"/>
          <w:b/>
          <w:i w:val="0"/>
          <w:color w:val="1F4E79"/>
          <w:sz w:val="25"/>
        </w:rPr>
        <w:t>WACC</w:t>
      </w:r>
    </w:p>
    <w:p>
      <w:pPr>
        <w:pStyle w:val="ListBullet"/>
        <w:spacing w:after="20" w:line="252" w:lineRule="auto"/>
      </w:pPr>
      <w:r>
        <w:rPr>
          <w:rFonts w:ascii="Calibri" w:hAnsi="Calibri"/>
          <w:b w:val="0"/>
          <w:i w:val="0"/>
          <w:sz w:val="20"/>
        </w:rPr>
        <w:t>WACC = weighted average cost of debt and equity after tax.</w:t>
      </w:r>
    </w:p>
    <w:p>
      <w:pPr>
        <w:pStyle w:val="ListBullet"/>
        <w:spacing w:after="20" w:line="252" w:lineRule="auto"/>
      </w:pPr>
      <w:r>
        <w:rPr>
          <w:rFonts w:ascii="Calibri" w:hAnsi="Calibri"/>
          <w:b w:val="0"/>
          <w:i w:val="0"/>
          <w:sz w:val="20"/>
        </w:rPr>
        <w:t>Cost of equity is often estimated using CAPM: Ke = Rf + beta x equity risk premium.</w:t>
      </w:r>
    </w:p>
    <w:p>
      <w:pPr>
        <w:pStyle w:val="ListBullet"/>
        <w:spacing w:after="20" w:line="252" w:lineRule="auto"/>
      </w:pPr>
      <w:r>
        <w:rPr>
          <w:rFonts w:ascii="Calibri" w:hAnsi="Calibri"/>
          <w:b w:val="0"/>
          <w:i w:val="0"/>
          <w:sz w:val="20"/>
        </w:rPr>
        <w:t>Cost of debt is the pre-tax borrowing rate adjusted for tax shield: Kd x (1 - tax rate).</w:t>
      </w:r>
    </w:p>
    <w:p>
      <w:pPr>
        <w:pStyle w:val="ListBullet"/>
        <w:spacing w:after="20" w:line="252" w:lineRule="auto"/>
      </w:pPr>
      <w:r>
        <w:rPr>
          <w:rFonts w:ascii="Calibri" w:hAnsi="Calibri"/>
          <w:b w:val="0"/>
          <w:i w:val="0"/>
          <w:sz w:val="20"/>
        </w:rPr>
        <w:t>The capital structure weights should ideally reflect target or market weights, not just book values, unless the assignment specifically requires book values.</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Interview trap</w:t>
              <w:br/>
            </w:r>
            <w:r>
              <w:rPr>
                <w:rFonts w:ascii="Calibri" w:hAnsi="Calibri"/>
                <w:b w:val="0"/>
                <w:i w:val="0"/>
                <w:sz w:val="20"/>
              </w:rPr>
              <w:t>Many candidates recite the WACC formula but cannot explain why debt is tax-advantaged. The answer is simple: interest is generally tax-deductible in many jurisdictions, so the after-tax cost of debt is lower than the coupon.</w:t>
            </w:r>
          </w:p>
        </w:tc>
      </w:tr>
    </w:tbl>
    <w:p>
      <w:pPr>
        <w:spacing w:after="40"/>
      </w:pPr>
    </w:p>
    <w:p>
      <w:pPr>
        <w:pStyle w:val="Heading2"/>
        <w:spacing w:before="120" w:after="60"/>
      </w:pPr>
      <w:r>
        <w:rPr>
          <w:rFonts w:ascii="Calibri" w:hAnsi="Calibri"/>
          <w:b/>
          <w:i w:val="0"/>
          <w:color w:val="1F4E79"/>
          <w:sz w:val="25"/>
        </w:rPr>
        <w:t>Terminal value</w:t>
      </w:r>
    </w:p>
    <w:p>
      <w:pPr>
        <w:pStyle w:val="ListBullet"/>
        <w:spacing w:after="20" w:line="252" w:lineRule="auto"/>
      </w:pPr>
      <w:r>
        <w:rPr>
          <w:rFonts w:ascii="Calibri" w:hAnsi="Calibri"/>
          <w:b w:val="0"/>
          <w:i w:val="0"/>
          <w:sz w:val="20"/>
        </w:rPr>
        <w:t>Perpetuity growth method assumes cash flows grow at a stable rate forever. It is conceptually elegant but sensitive to the growth rate.</w:t>
      </w:r>
    </w:p>
    <w:p>
      <w:pPr>
        <w:pStyle w:val="ListBullet"/>
        <w:spacing w:after="20" w:line="252" w:lineRule="auto"/>
      </w:pPr>
      <w:r>
        <w:rPr>
          <w:rFonts w:ascii="Calibri" w:hAnsi="Calibri"/>
          <w:b w:val="0"/>
          <w:i w:val="0"/>
          <w:sz w:val="20"/>
        </w:rPr>
        <w:t>Exit multiple method applies an EV/EBITDA or EV/EBIT multiple at the end of forecast period. It is market-based and often more intuitive in practice.</w:t>
      </w:r>
    </w:p>
    <w:p>
      <w:pPr>
        <w:pStyle w:val="ListBullet"/>
        <w:spacing w:after="20" w:line="252" w:lineRule="auto"/>
      </w:pPr>
      <w:r>
        <w:rPr>
          <w:rFonts w:ascii="Calibri" w:hAnsi="Calibri"/>
          <w:b w:val="0"/>
          <w:i w:val="0"/>
          <w:sz w:val="20"/>
        </w:rPr>
        <w:t>A good model usually tests both methods, because a single terminal assumption can dominate valuation more than the entire forecast period combined.</w:t>
      </w:r>
    </w:p>
    <w:p>
      <w:pPr>
        <w:pStyle w:val="Heading1"/>
        <w:spacing w:before="120" w:after="60"/>
      </w:pPr>
      <w:r>
        <w:rPr>
          <w:rFonts w:ascii="Calibri" w:hAnsi="Calibri"/>
          <w:b/>
          <w:i w:val="0"/>
          <w:color w:val="1F4E79"/>
          <w:sz w:val="30"/>
        </w:rPr>
        <w:t>Section 5. Valuation Methods</w:t>
      </w:r>
    </w:p>
    <w:p>
      <w:pPr>
        <w:spacing w:after="80" w:line="252" w:lineRule="auto"/>
      </w:pPr>
      <w:r>
        <w:rPr>
          <w:rFonts w:ascii="Calibri" w:hAnsi="Calibri"/>
          <w:b w:val="0"/>
          <w:i w:val="0"/>
          <w:sz w:val="21"/>
        </w:rPr>
        <w:t>Valuation is where accounting, finance, and market psychology collide. The question is never just 'what is the number?' It is 'which method is appropriate, what assumptions drive it, and what can break it?'</w:t>
      </w:r>
    </w:p>
    <w:p>
      <w:pPr>
        <w:pStyle w:val="ListBullet"/>
        <w:spacing w:after="20" w:line="252" w:lineRule="auto"/>
      </w:pPr>
      <w:r>
        <w:rPr>
          <w:rFonts w:ascii="Calibri" w:hAnsi="Calibri"/>
          <w:b w:val="0"/>
          <w:i w:val="0"/>
          <w:sz w:val="20"/>
        </w:rPr>
        <w:t>Trading comparables: values a company against public peers using market multiples like EV/EBITDA, EV/Revenue, P/E, P/B, and EV/FCF.</w:t>
      </w:r>
    </w:p>
    <w:p>
      <w:pPr>
        <w:pStyle w:val="ListBullet"/>
        <w:spacing w:after="20" w:line="252" w:lineRule="auto"/>
      </w:pPr>
      <w:r>
        <w:rPr>
          <w:rFonts w:ascii="Calibri" w:hAnsi="Calibri"/>
          <w:b w:val="0"/>
          <w:i w:val="0"/>
          <w:sz w:val="20"/>
        </w:rPr>
        <w:t>Precedent transactions: values a company based on what acquirers actually paid in past deals, including control premium and synergy effects.</w:t>
      </w:r>
    </w:p>
    <w:p>
      <w:pPr>
        <w:pStyle w:val="ListBullet"/>
        <w:spacing w:after="20" w:line="252" w:lineRule="auto"/>
      </w:pPr>
      <w:r>
        <w:rPr>
          <w:rFonts w:ascii="Calibri" w:hAnsi="Calibri"/>
          <w:b w:val="0"/>
          <w:i w:val="0"/>
          <w:sz w:val="20"/>
        </w:rPr>
        <w:t>DCF: intrinsic valuation based on future cash generation.</w:t>
      </w:r>
    </w:p>
    <w:p>
      <w:pPr>
        <w:pStyle w:val="ListBullet"/>
        <w:spacing w:after="20" w:line="252" w:lineRule="auto"/>
      </w:pPr>
      <w:r>
        <w:rPr>
          <w:rFonts w:ascii="Calibri" w:hAnsi="Calibri"/>
          <w:b w:val="0"/>
          <w:i w:val="0"/>
          <w:sz w:val="20"/>
        </w:rPr>
        <w:t>Sum of the parts: values segments separately when a conglomerate has different business lines with different margins, growth rates, and risk profiles.</w:t>
      </w:r>
    </w:p>
    <w:p>
      <w:pPr>
        <w:pStyle w:val="Heading2"/>
        <w:spacing w:before="120" w:after="60"/>
      </w:pPr>
      <w:r>
        <w:rPr>
          <w:rFonts w:ascii="Calibri" w:hAnsi="Calibri"/>
          <w:b/>
          <w:i w:val="0"/>
          <w:color w:val="1F4E79"/>
          <w:sz w:val="25"/>
        </w:rPr>
        <w:t>EV multiples</w:t>
      </w:r>
    </w:p>
    <w:p>
      <w:pPr>
        <w:pStyle w:val="ListBullet"/>
        <w:spacing w:after="20" w:line="252" w:lineRule="auto"/>
      </w:pPr>
      <w:r>
        <w:rPr>
          <w:rFonts w:ascii="Calibri" w:hAnsi="Calibri"/>
          <w:b w:val="0"/>
          <w:i w:val="0"/>
          <w:sz w:val="20"/>
        </w:rPr>
        <w:t>EV = market cap + total debt + minority interest + preferred equity - cash and cash equivalents (conceptually adjusted for non-operating cash as needed).</w:t>
      </w:r>
    </w:p>
    <w:p>
      <w:pPr>
        <w:pStyle w:val="ListBullet"/>
        <w:spacing w:after="20" w:line="252" w:lineRule="auto"/>
      </w:pPr>
      <w:r>
        <w:rPr>
          <w:rFonts w:ascii="Calibri" w:hAnsi="Calibri"/>
          <w:b w:val="0"/>
          <w:i w:val="0"/>
          <w:sz w:val="20"/>
        </w:rPr>
        <w:t>EV/EBITDA is popular because it approximates the value of operating earnings before capital structure and non-cash charges.</w:t>
      </w:r>
    </w:p>
    <w:p>
      <w:pPr>
        <w:pStyle w:val="ListBullet"/>
        <w:spacing w:after="20" w:line="252" w:lineRule="auto"/>
      </w:pPr>
      <w:r>
        <w:rPr>
          <w:rFonts w:ascii="Calibri" w:hAnsi="Calibri"/>
          <w:b w:val="0"/>
          <w:i w:val="0"/>
          <w:sz w:val="20"/>
        </w:rPr>
        <w:t>EV/Revenue is often used for early-stage, tech, or loss-making businesses where earnings are unstable.</w:t>
      </w:r>
    </w:p>
    <w:p>
      <w:pPr>
        <w:pStyle w:val="ListBullet"/>
        <w:spacing w:after="20" w:line="252" w:lineRule="auto"/>
      </w:pPr>
      <w:r>
        <w:rPr>
          <w:rFonts w:ascii="Calibri" w:hAnsi="Calibri"/>
          <w:b w:val="0"/>
          <w:i w:val="0"/>
          <w:sz w:val="20"/>
        </w:rPr>
        <w:t>P/E is most useful when net income is meaningful and capital structure differences are not the main story.</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Exceptional case</w:t>
              <w:br/>
            </w:r>
            <w:r>
              <w:rPr>
                <w:rFonts w:ascii="Calibri" w:hAnsi="Calibri"/>
                <w:b w:val="0"/>
                <w:i w:val="0"/>
                <w:sz w:val="20"/>
              </w:rPr>
              <w:t>A company with negative EBITDA makes EV/EBITDA unusable. In that case, analysts may use EV/Revenue, gross profit multiple, or a DCF with scenario analysis. The choice should match the economic reality, not force a broken multiple.</w:t>
            </w:r>
          </w:p>
        </w:tc>
      </w:tr>
    </w:tbl>
    <w:p>
      <w:pPr>
        <w:spacing w:after="40"/>
      </w:pPr>
    </w:p>
    <w:p>
      <w:pPr>
        <w:pStyle w:val="Heading2"/>
        <w:spacing w:before="120" w:after="60"/>
      </w:pPr>
      <w:r>
        <w:rPr>
          <w:rFonts w:ascii="Calibri" w:hAnsi="Calibri"/>
          <w:b/>
          <w:i w:val="0"/>
          <w:color w:val="1F4E79"/>
          <w:sz w:val="25"/>
        </w:rPr>
        <w:t>Common valuation pitfalls</w:t>
      </w:r>
    </w:p>
    <w:p>
      <w:pPr>
        <w:pStyle w:val="ListBullet"/>
        <w:spacing w:after="20" w:line="252" w:lineRule="auto"/>
      </w:pPr>
      <w:r>
        <w:rPr>
          <w:rFonts w:ascii="Calibri" w:hAnsi="Calibri"/>
          <w:b w:val="0"/>
          <w:i w:val="0"/>
          <w:sz w:val="20"/>
        </w:rPr>
        <w:t>Using trailing multiples for a business with a rapidly changing cycle can mislead the analyst.</w:t>
      </w:r>
    </w:p>
    <w:p>
      <w:pPr>
        <w:pStyle w:val="ListBullet"/>
        <w:spacing w:after="20" w:line="252" w:lineRule="auto"/>
      </w:pPr>
      <w:r>
        <w:rPr>
          <w:rFonts w:ascii="Calibri" w:hAnsi="Calibri"/>
          <w:b w:val="0"/>
          <w:i w:val="0"/>
          <w:sz w:val="20"/>
        </w:rPr>
        <w:t>Including excess cash in EV without checking whether it is truly excess creates distortion.</w:t>
      </w:r>
    </w:p>
    <w:p>
      <w:pPr>
        <w:pStyle w:val="ListBullet"/>
        <w:spacing w:after="20" w:line="252" w:lineRule="auto"/>
      </w:pPr>
      <w:r>
        <w:rPr>
          <w:rFonts w:ascii="Calibri" w:hAnsi="Calibri"/>
          <w:b w:val="0"/>
          <w:i w:val="0"/>
          <w:sz w:val="20"/>
        </w:rPr>
        <w:t>Ignoring leases, minority interest, or pension deficits can understate enterprise value.</w:t>
      </w:r>
    </w:p>
    <w:p>
      <w:pPr>
        <w:pStyle w:val="ListBullet"/>
        <w:spacing w:after="20" w:line="252" w:lineRule="auto"/>
      </w:pPr>
      <w:r>
        <w:rPr>
          <w:rFonts w:ascii="Calibri" w:hAnsi="Calibri"/>
          <w:b w:val="0"/>
          <w:i w:val="0"/>
          <w:sz w:val="20"/>
        </w:rPr>
        <w:t>Averaging peer multiples mechanically without checking outliers or business model differences is lazy analysis.</w:t>
      </w:r>
    </w:p>
    <w:p>
      <w:pPr>
        <w:pStyle w:val="Heading1"/>
        <w:spacing w:before="120" w:after="60"/>
      </w:pPr>
      <w:r>
        <w:rPr>
          <w:rFonts w:ascii="Calibri" w:hAnsi="Calibri"/>
          <w:b/>
          <w:i w:val="0"/>
          <w:color w:val="1F4E79"/>
          <w:sz w:val="30"/>
        </w:rPr>
        <w:t>Section 6. Equity Research Workflow</w:t>
      </w:r>
    </w:p>
    <w:p>
      <w:pPr>
        <w:spacing w:after="80" w:line="252" w:lineRule="auto"/>
      </w:pPr>
      <w:r>
        <w:rPr>
          <w:rFonts w:ascii="Calibri" w:hAnsi="Calibri"/>
          <w:b w:val="0"/>
          <w:i w:val="0"/>
          <w:sz w:val="21"/>
        </w:rPr>
        <w:t>Equity research is not just valuation. It is the art of combining numbers, industry structure, management quality, and market expectations into an investable view.</w:t>
      </w:r>
    </w:p>
    <w:p>
      <w:pPr>
        <w:pStyle w:val="ListBullet"/>
        <w:spacing w:after="20" w:line="252" w:lineRule="auto"/>
      </w:pPr>
      <w:r>
        <w:rPr>
          <w:rFonts w:ascii="Calibri" w:hAnsi="Calibri"/>
          <w:b w:val="0"/>
          <w:i w:val="0"/>
          <w:sz w:val="20"/>
        </w:rPr>
        <w:t>Industry primer: size of market, growth drivers, regulation, competitive intensity, and cyclicality.</w:t>
      </w:r>
    </w:p>
    <w:p>
      <w:pPr>
        <w:pStyle w:val="ListBullet"/>
        <w:spacing w:after="20" w:line="252" w:lineRule="auto"/>
      </w:pPr>
      <w:r>
        <w:rPr>
          <w:rFonts w:ascii="Calibri" w:hAnsi="Calibri"/>
          <w:b w:val="0"/>
          <w:i w:val="0"/>
          <w:sz w:val="20"/>
        </w:rPr>
        <w:t>Company model: revenue segments, margin drivers, capex intensity, working capital, and management guidance.</w:t>
      </w:r>
    </w:p>
    <w:p>
      <w:pPr>
        <w:pStyle w:val="ListBullet"/>
        <w:spacing w:after="20" w:line="252" w:lineRule="auto"/>
      </w:pPr>
      <w:r>
        <w:rPr>
          <w:rFonts w:ascii="Calibri" w:hAnsi="Calibri"/>
          <w:b w:val="0"/>
          <w:i w:val="0"/>
          <w:sz w:val="20"/>
        </w:rPr>
        <w:t>Catalysts: earnings upgrades/downgrades, product launches, price changes, policy changes, M&amp;A, macro shifts.</w:t>
      </w:r>
    </w:p>
    <w:p>
      <w:pPr>
        <w:pStyle w:val="ListBullet"/>
        <w:spacing w:after="20" w:line="252" w:lineRule="auto"/>
      </w:pPr>
      <w:r>
        <w:rPr>
          <w:rFonts w:ascii="Calibri" w:hAnsi="Calibri"/>
          <w:b w:val="0"/>
          <w:i w:val="0"/>
          <w:sz w:val="20"/>
        </w:rPr>
        <w:t>Recommendation framework: buy, hold, or sell based on valuation, conviction, and risk-reward.</w:t>
      </w:r>
    </w:p>
    <w:p>
      <w:pPr>
        <w:pStyle w:val="Heading2"/>
        <w:spacing w:before="120" w:after="60"/>
      </w:pPr>
      <w:r>
        <w:rPr>
          <w:rFonts w:ascii="Calibri" w:hAnsi="Calibri"/>
          <w:b/>
          <w:i w:val="0"/>
          <w:color w:val="1F4E79"/>
          <w:sz w:val="25"/>
        </w:rPr>
        <w:t>Report structure</w:t>
      </w:r>
    </w:p>
    <w:p>
      <w:pPr>
        <w:pStyle w:val="ListBullet"/>
        <w:spacing w:after="20" w:line="252" w:lineRule="auto"/>
      </w:pPr>
      <w:r>
        <w:rPr>
          <w:rFonts w:ascii="Calibri" w:hAnsi="Calibri"/>
          <w:b w:val="0"/>
          <w:i w:val="0"/>
          <w:sz w:val="20"/>
        </w:rPr>
        <w:t>Investment thesis</w:t>
      </w:r>
    </w:p>
    <w:p>
      <w:pPr>
        <w:pStyle w:val="ListBullet"/>
        <w:spacing w:after="20" w:line="252" w:lineRule="auto"/>
      </w:pPr>
      <w:r>
        <w:rPr>
          <w:rFonts w:ascii="Calibri" w:hAnsi="Calibri"/>
          <w:b w:val="0"/>
          <w:i w:val="0"/>
          <w:sz w:val="20"/>
        </w:rPr>
        <w:t>Business overview</w:t>
      </w:r>
    </w:p>
    <w:p>
      <w:pPr>
        <w:pStyle w:val="ListBullet"/>
        <w:spacing w:after="20" w:line="252" w:lineRule="auto"/>
      </w:pPr>
      <w:r>
        <w:rPr>
          <w:rFonts w:ascii="Calibri" w:hAnsi="Calibri"/>
          <w:b w:val="0"/>
          <w:i w:val="0"/>
          <w:sz w:val="20"/>
        </w:rPr>
        <w:t>Industry context</w:t>
      </w:r>
    </w:p>
    <w:p>
      <w:pPr>
        <w:pStyle w:val="ListBullet"/>
        <w:spacing w:after="20" w:line="252" w:lineRule="auto"/>
      </w:pPr>
      <w:r>
        <w:rPr>
          <w:rFonts w:ascii="Calibri" w:hAnsi="Calibri"/>
          <w:b w:val="0"/>
          <w:i w:val="0"/>
          <w:sz w:val="20"/>
        </w:rPr>
        <w:t>Financial forecast</w:t>
      </w:r>
    </w:p>
    <w:p>
      <w:pPr>
        <w:pStyle w:val="ListBullet"/>
        <w:spacing w:after="20" w:line="252" w:lineRule="auto"/>
      </w:pPr>
      <w:r>
        <w:rPr>
          <w:rFonts w:ascii="Calibri" w:hAnsi="Calibri"/>
          <w:b w:val="0"/>
          <w:i w:val="0"/>
          <w:sz w:val="20"/>
        </w:rPr>
        <w:t>Valuation</w:t>
      </w:r>
    </w:p>
    <w:p>
      <w:pPr>
        <w:pStyle w:val="ListBullet"/>
        <w:spacing w:after="20" w:line="252" w:lineRule="auto"/>
      </w:pPr>
      <w:r>
        <w:rPr>
          <w:rFonts w:ascii="Calibri" w:hAnsi="Calibri"/>
          <w:b w:val="0"/>
          <w:i w:val="0"/>
          <w:sz w:val="20"/>
        </w:rPr>
        <w:t>Risks</w:t>
      </w:r>
    </w:p>
    <w:p>
      <w:pPr>
        <w:pStyle w:val="ListBullet"/>
        <w:spacing w:after="20" w:line="252" w:lineRule="auto"/>
      </w:pPr>
      <w:r>
        <w:rPr>
          <w:rFonts w:ascii="Calibri" w:hAnsi="Calibri"/>
          <w:b w:val="0"/>
          <w:i w:val="0"/>
          <w:sz w:val="20"/>
        </w:rPr>
        <w:t>Catalysts</w:t>
      </w:r>
    </w:p>
    <w:p>
      <w:pPr>
        <w:pStyle w:val="ListBullet"/>
        <w:spacing w:after="20" w:line="252" w:lineRule="auto"/>
      </w:pPr>
      <w:r>
        <w:rPr>
          <w:rFonts w:ascii="Calibri" w:hAnsi="Calibri"/>
          <w:b w:val="0"/>
          <w:i w:val="0"/>
          <w:sz w:val="20"/>
        </w:rPr>
        <w:t>Appendix with model outputs and sensitivity tables</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Professional use case</w:t>
              <w:br/>
            </w:r>
            <w:r>
              <w:rPr>
                <w:rFonts w:ascii="Calibri" w:hAnsi="Calibri"/>
                <w:b w:val="0"/>
                <w:i w:val="0"/>
                <w:sz w:val="20"/>
              </w:rPr>
              <w:t>At firms like J.P. Morgan, Morgan Stanley, Barclays, and Wells Fargo, the equity research note must be readable by portfolio managers in minutes, not hours. Clarity is a competitive advantage.</w:t>
            </w:r>
          </w:p>
        </w:tc>
      </w:tr>
    </w:tbl>
    <w:p>
      <w:pPr>
        <w:spacing w:after="40"/>
      </w:pPr>
    </w:p>
    <w:p>
      <w:pPr>
        <w:pStyle w:val="Heading1"/>
        <w:spacing w:before="120" w:after="60"/>
      </w:pPr>
      <w:r>
        <w:rPr>
          <w:rFonts w:ascii="Calibri" w:hAnsi="Calibri"/>
          <w:b/>
          <w:i w:val="0"/>
          <w:color w:val="1F4E79"/>
          <w:sz w:val="30"/>
        </w:rPr>
        <w:t>Section 7. FP&amp;A and Management Reporting</w:t>
      </w:r>
    </w:p>
    <w:p>
      <w:pPr>
        <w:spacing w:after="80" w:line="252" w:lineRule="auto"/>
      </w:pPr>
      <w:r>
        <w:rPr>
          <w:rFonts w:ascii="Calibri" w:hAnsi="Calibri"/>
          <w:b w:val="0"/>
          <w:i w:val="0"/>
          <w:sz w:val="21"/>
        </w:rPr>
        <w:t>FP&amp;A is the internal control tower of the business. The job is to explain performance, forecast future performance, and help management make decisions before the numbers turn ugly.</w:t>
      </w:r>
    </w:p>
    <w:p>
      <w:pPr>
        <w:pStyle w:val="ListBullet"/>
        <w:spacing w:after="20" w:line="252" w:lineRule="auto"/>
      </w:pPr>
      <w:r>
        <w:rPr>
          <w:rFonts w:ascii="Calibri" w:hAnsi="Calibri"/>
          <w:b w:val="0"/>
          <w:i w:val="0"/>
          <w:sz w:val="20"/>
        </w:rPr>
        <w:t>Budgeting: annual operating plan with departmental ownership.</w:t>
      </w:r>
    </w:p>
    <w:p>
      <w:pPr>
        <w:pStyle w:val="ListBullet"/>
        <w:spacing w:after="20" w:line="252" w:lineRule="auto"/>
      </w:pPr>
      <w:r>
        <w:rPr>
          <w:rFonts w:ascii="Calibri" w:hAnsi="Calibri"/>
          <w:b w:val="0"/>
          <w:i w:val="0"/>
          <w:sz w:val="20"/>
        </w:rPr>
        <w:t>Rolling forecast: continuously updated outlook, usually monthly or quarterly.</w:t>
      </w:r>
    </w:p>
    <w:p>
      <w:pPr>
        <w:pStyle w:val="ListBullet"/>
        <w:spacing w:after="20" w:line="252" w:lineRule="auto"/>
      </w:pPr>
      <w:r>
        <w:rPr>
          <w:rFonts w:ascii="Calibri" w:hAnsi="Calibri"/>
          <w:b w:val="0"/>
          <w:i w:val="0"/>
          <w:sz w:val="20"/>
        </w:rPr>
        <w:t>Variance analysis: actual vs budget vs prior year vs forecast.</w:t>
      </w:r>
    </w:p>
    <w:p>
      <w:pPr>
        <w:pStyle w:val="ListBullet"/>
        <w:spacing w:after="20" w:line="252" w:lineRule="auto"/>
      </w:pPr>
      <w:r>
        <w:rPr>
          <w:rFonts w:ascii="Calibri" w:hAnsi="Calibri"/>
          <w:b w:val="0"/>
          <w:i w:val="0"/>
          <w:sz w:val="20"/>
        </w:rPr>
        <w:t>Headcount planning: the silent driver of cost growth in many service businesses.</w:t>
      </w:r>
    </w:p>
    <w:p>
      <w:pPr>
        <w:pStyle w:val="ListBullet"/>
        <w:spacing w:after="20" w:line="252" w:lineRule="auto"/>
      </w:pPr>
      <w:r>
        <w:rPr>
          <w:rFonts w:ascii="Calibri" w:hAnsi="Calibri"/>
          <w:b w:val="0"/>
          <w:i w:val="0"/>
          <w:sz w:val="20"/>
        </w:rPr>
        <w:t>KPI trees: connect operational metrics to financial outcomes.</w:t>
      </w:r>
    </w:p>
    <w:p>
      <w:pPr>
        <w:pStyle w:val="Heading2"/>
        <w:spacing w:before="120" w:after="60"/>
      </w:pPr>
      <w:r>
        <w:rPr>
          <w:rFonts w:ascii="Calibri" w:hAnsi="Calibri"/>
          <w:b/>
          <w:i w:val="0"/>
          <w:color w:val="1F4E79"/>
          <w:sz w:val="25"/>
        </w:rPr>
        <w:t>Variance analysis</w:t>
      </w:r>
    </w:p>
    <w:p>
      <w:pPr>
        <w:pStyle w:val="ListBullet"/>
        <w:spacing w:after="20" w:line="252" w:lineRule="auto"/>
      </w:pPr>
      <w:r>
        <w:rPr>
          <w:rFonts w:ascii="Calibri" w:hAnsi="Calibri"/>
          <w:b w:val="0"/>
          <w:i w:val="0"/>
          <w:sz w:val="20"/>
        </w:rPr>
        <w:t>Price variance: effect of selling price changes.</w:t>
      </w:r>
    </w:p>
    <w:p>
      <w:pPr>
        <w:pStyle w:val="ListBullet"/>
        <w:spacing w:after="20" w:line="252" w:lineRule="auto"/>
      </w:pPr>
      <w:r>
        <w:rPr>
          <w:rFonts w:ascii="Calibri" w:hAnsi="Calibri"/>
          <w:b w:val="0"/>
          <w:i w:val="0"/>
          <w:sz w:val="20"/>
        </w:rPr>
        <w:t>Volume variance: effect of unit changes.</w:t>
      </w:r>
    </w:p>
    <w:p>
      <w:pPr>
        <w:pStyle w:val="ListBullet"/>
        <w:spacing w:after="20" w:line="252" w:lineRule="auto"/>
      </w:pPr>
      <w:r>
        <w:rPr>
          <w:rFonts w:ascii="Calibri" w:hAnsi="Calibri"/>
          <w:b w:val="0"/>
          <w:i w:val="0"/>
          <w:sz w:val="20"/>
        </w:rPr>
        <w:t>Mix variance: effect of product or customer composition.</w:t>
      </w:r>
    </w:p>
    <w:p>
      <w:pPr>
        <w:pStyle w:val="ListBullet"/>
        <w:spacing w:after="20" w:line="252" w:lineRule="auto"/>
      </w:pPr>
      <w:r>
        <w:rPr>
          <w:rFonts w:ascii="Calibri" w:hAnsi="Calibri"/>
          <w:b w:val="0"/>
          <w:i w:val="0"/>
          <w:sz w:val="20"/>
        </w:rPr>
        <w:t>Rate variance: effect of salary, interest rate, or tax changes.</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Logic</w:t>
              <w:br/>
            </w:r>
            <w:r>
              <w:rPr>
                <w:rFonts w:ascii="Calibri" w:hAnsi="Calibri"/>
                <w:b w:val="0"/>
                <w:i w:val="0"/>
                <w:sz w:val="20"/>
              </w:rPr>
              <w:t>A variance should never be reported as a number only. It must be explained as a driver decomposition, otherwise management gets noise instead of insight.</w:t>
            </w:r>
          </w:p>
        </w:tc>
      </w:tr>
    </w:tbl>
    <w:p>
      <w:pPr>
        <w:spacing w:after="40"/>
      </w:pPr>
    </w:p>
    <w:p>
      <w:pPr>
        <w:pStyle w:val="Heading1"/>
        <w:spacing w:before="120" w:after="60"/>
      </w:pPr>
      <w:r>
        <w:rPr>
          <w:rFonts w:ascii="Calibri" w:hAnsi="Calibri"/>
          <w:b/>
          <w:i w:val="0"/>
          <w:color w:val="1F4E79"/>
          <w:sz w:val="30"/>
        </w:rPr>
        <w:t>Section 8. M&amp;A and Investment Banking</w:t>
      </w:r>
    </w:p>
    <w:p>
      <w:pPr>
        <w:spacing w:after="80" w:line="252" w:lineRule="auto"/>
      </w:pPr>
      <w:r>
        <w:rPr>
          <w:rFonts w:ascii="Calibri" w:hAnsi="Calibri"/>
          <w:b w:val="0"/>
          <w:i w:val="0"/>
          <w:sz w:val="21"/>
        </w:rPr>
        <w:t>M&amp;A modeling is about transaction logic, not just valuation. A deal is a mix of purchase price, financing, synergies, tax effects, and accretion/dilution mechanics.</w:t>
      </w:r>
    </w:p>
    <w:p>
      <w:pPr>
        <w:pStyle w:val="ListBullet"/>
        <w:spacing w:after="20" w:line="252" w:lineRule="auto"/>
      </w:pPr>
      <w:r>
        <w:rPr>
          <w:rFonts w:ascii="Calibri" w:hAnsi="Calibri"/>
          <w:b w:val="0"/>
          <w:i w:val="0"/>
          <w:sz w:val="20"/>
        </w:rPr>
        <w:t>Sources and uses: shows where the buyer gets funds and where those funds go.</w:t>
      </w:r>
    </w:p>
    <w:p>
      <w:pPr>
        <w:pStyle w:val="ListBullet"/>
        <w:spacing w:after="20" w:line="252" w:lineRule="auto"/>
      </w:pPr>
      <w:r>
        <w:rPr>
          <w:rFonts w:ascii="Calibri" w:hAnsi="Calibri"/>
          <w:b w:val="0"/>
          <w:i w:val="0"/>
          <w:sz w:val="20"/>
        </w:rPr>
        <w:t>Purchase price allocation: determines how the acquired business is recorded on the acquirer's balance sheet.</w:t>
      </w:r>
    </w:p>
    <w:p>
      <w:pPr>
        <w:pStyle w:val="ListBullet"/>
        <w:spacing w:after="20" w:line="252" w:lineRule="auto"/>
      </w:pPr>
      <w:r>
        <w:rPr>
          <w:rFonts w:ascii="Calibri" w:hAnsi="Calibri"/>
          <w:b w:val="0"/>
          <w:i w:val="0"/>
          <w:sz w:val="20"/>
        </w:rPr>
        <w:t>Synergies: revenue upside or cost savings expected from combining businesses.</w:t>
      </w:r>
    </w:p>
    <w:p>
      <w:pPr>
        <w:pStyle w:val="ListBullet"/>
        <w:spacing w:after="20" w:line="252" w:lineRule="auto"/>
      </w:pPr>
      <w:r>
        <w:rPr>
          <w:rFonts w:ascii="Calibri" w:hAnsi="Calibri"/>
          <w:b w:val="0"/>
          <w:i w:val="0"/>
          <w:sz w:val="20"/>
        </w:rPr>
        <w:t>Accretion/dilution: whether post-deal EPS rises or falls.</w:t>
      </w:r>
    </w:p>
    <w:p>
      <w:pPr>
        <w:pStyle w:val="ListBullet"/>
        <w:spacing w:after="20" w:line="252" w:lineRule="auto"/>
      </w:pPr>
      <w:r>
        <w:rPr>
          <w:rFonts w:ascii="Calibri" w:hAnsi="Calibri"/>
          <w:b w:val="0"/>
          <w:i w:val="0"/>
          <w:sz w:val="20"/>
        </w:rPr>
        <w:t>Leveraged buyout basics: debt capacity, sponsor returns, exit multiple, IRR, and MOIC.</w:t>
      </w:r>
    </w:p>
    <w:p>
      <w:pPr>
        <w:pStyle w:val="Heading2"/>
        <w:spacing w:before="120" w:after="60"/>
      </w:pPr>
      <w:r>
        <w:rPr>
          <w:rFonts w:ascii="Calibri" w:hAnsi="Calibri"/>
          <w:b/>
          <w:i w:val="0"/>
          <w:color w:val="1F4E79"/>
          <w:sz w:val="25"/>
        </w:rPr>
        <w:t>Tricky areas</w:t>
      </w:r>
    </w:p>
    <w:p>
      <w:pPr>
        <w:pStyle w:val="ListBullet"/>
        <w:spacing w:after="20" w:line="252" w:lineRule="auto"/>
      </w:pPr>
      <w:r>
        <w:rPr>
          <w:rFonts w:ascii="Calibri" w:hAnsi="Calibri"/>
          <w:b w:val="0"/>
          <w:i w:val="0"/>
          <w:sz w:val="20"/>
        </w:rPr>
        <w:t>Synergies are often overstated in pitch books; integration risk is usually understated.</w:t>
      </w:r>
    </w:p>
    <w:p>
      <w:pPr>
        <w:pStyle w:val="ListBullet"/>
        <w:spacing w:after="20" w:line="252" w:lineRule="auto"/>
      </w:pPr>
      <w:r>
        <w:rPr>
          <w:rFonts w:ascii="Calibri" w:hAnsi="Calibri"/>
          <w:b w:val="0"/>
          <w:i w:val="0"/>
          <w:sz w:val="20"/>
        </w:rPr>
        <w:t>Goodwill can rise sharply in acquisitions, but goodwill is not a free asset. It is a premium paid that may later be impaired.</w:t>
      </w:r>
    </w:p>
    <w:p>
      <w:pPr>
        <w:pStyle w:val="ListBullet"/>
        <w:spacing w:after="20" w:line="252" w:lineRule="auto"/>
      </w:pPr>
      <w:r>
        <w:rPr>
          <w:rFonts w:ascii="Calibri" w:hAnsi="Calibri"/>
          <w:b w:val="0"/>
          <w:i w:val="0"/>
          <w:sz w:val="20"/>
        </w:rPr>
        <w:t>A deal can be accretive to EPS and still destroy value if the purchase price is too high.</w:t>
      </w:r>
    </w:p>
    <w:p>
      <w:pPr>
        <w:pStyle w:val="ListBullet"/>
        <w:spacing w:after="20" w:line="252" w:lineRule="auto"/>
      </w:pPr>
      <w:r>
        <w:rPr>
          <w:rFonts w:ascii="Calibri" w:hAnsi="Calibri"/>
          <w:b w:val="0"/>
          <w:i w:val="0"/>
          <w:sz w:val="20"/>
        </w:rPr>
        <w:t>Using debt to fund acquisition changes interest expense, tax shield, and leverage ratios; these effects must be reflected in the model.</w:t>
      </w:r>
    </w:p>
    <w:p>
      <w:pPr>
        <w:pStyle w:val="Heading1"/>
        <w:spacing w:before="120" w:after="60"/>
      </w:pPr>
      <w:r>
        <w:rPr>
          <w:rFonts w:ascii="Calibri" w:hAnsi="Calibri"/>
          <w:b/>
          <w:i w:val="0"/>
          <w:color w:val="1F4E79"/>
          <w:sz w:val="30"/>
        </w:rPr>
        <w:t>Section 9. Trading Analytics and Market Microstructure</w:t>
      </w:r>
    </w:p>
    <w:p>
      <w:pPr>
        <w:spacing w:after="80" w:line="252" w:lineRule="auto"/>
      </w:pPr>
      <w:r>
        <w:rPr>
          <w:rFonts w:ascii="Calibri" w:hAnsi="Calibri"/>
          <w:b w:val="0"/>
          <w:i w:val="0"/>
          <w:sz w:val="21"/>
        </w:rPr>
        <w:t>Trading analytics sits closer to probability than to traditional accounting. The focus shifts from annual reporting to price formation, liquidity, execution quality, and risk.</w:t>
      </w:r>
    </w:p>
    <w:p>
      <w:pPr>
        <w:pStyle w:val="ListBullet"/>
        <w:spacing w:after="20" w:line="252" w:lineRule="auto"/>
      </w:pPr>
      <w:r>
        <w:rPr>
          <w:rFonts w:ascii="Calibri" w:hAnsi="Calibri"/>
          <w:b w:val="0"/>
          <w:i w:val="0"/>
          <w:sz w:val="20"/>
        </w:rPr>
        <w:t>VWAP: volume-weighted average price; a benchmark for execution quality.</w:t>
      </w:r>
    </w:p>
    <w:p>
      <w:pPr>
        <w:pStyle w:val="ListBullet"/>
        <w:spacing w:after="20" w:line="252" w:lineRule="auto"/>
      </w:pPr>
      <w:r>
        <w:rPr>
          <w:rFonts w:ascii="Calibri" w:hAnsi="Calibri"/>
          <w:b w:val="0"/>
          <w:i w:val="0"/>
          <w:sz w:val="20"/>
        </w:rPr>
        <w:t>TWAP: time-weighted average price; useful when volume is not predictable.</w:t>
      </w:r>
    </w:p>
    <w:p>
      <w:pPr>
        <w:pStyle w:val="ListBullet"/>
        <w:spacing w:after="20" w:line="252" w:lineRule="auto"/>
      </w:pPr>
      <w:r>
        <w:rPr>
          <w:rFonts w:ascii="Calibri" w:hAnsi="Calibri"/>
          <w:b w:val="0"/>
          <w:i w:val="0"/>
          <w:sz w:val="20"/>
        </w:rPr>
        <w:t>Slippage: difference between expected execution and actual execution.</w:t>
      </w:r>
    </w:p>
    <w:p>
      <w:pPr>
        <w:pStyle w:val="ListBullet"/>
        <w:spacing w:after="20" w:line="252" w:lineRule="auto"/>
      </w:pPr>
      <w:r>
        <w:rPr>
          <w:rFonts w:ascii="Calibri" w:hAnsi="Calibri"/>
          <w:b w:val="0"/>
          <w:i w:val="0"/>
          <w:sz w:val="20"/>
        </w:rPr>
        <w:t>Volatility: magnitude of price variation; important for position sizing and risk limits.</w:t>
      </w:r>
    </w:p>
    <w:p>
      <w:pPr>
        <w:pStyle w:val="ListBullet"/>
        <w:spacing w:after="20" w:line="252" w:lineRule="auto"/>
      </w:pPr>
      <w:r>
        <w:rPr>
          <w:rFonts w:ascii="Calibri" w:hAnsi="Calibri"/>
          <w:b w:val="0"/>
          <w:i w:val="0"/>
          <w:sz w:val="20"/>
        </w:rPr>
        <w:t>Sharpe ratio: return per unit of total risk.</w:t>
      </w:r>
    </w:p>
    <w:p>
      <w:pPr>
        <w:pStyle w:val="Heading2"/>
        <w:spacing w:before="120" w:after="60"/>
      </w:pPr>
      <w:r>
        <w:rPr>
          <w:rFonts w:ascii="Calibri" w:hAnsi="Calibri"/>
          <w:b/>
          <w:i w:val="0"/>
          <w:color w:val="1F4E79"/>
          <w:sz w:val="25"/>
        </w:rPr>
        <w:t>Jane Street-style thinking</w:t>
      </w:r>
    </w:p>
    <w:p>
      <w:pPr>
        <w:pStyle w:val="ListBullet"/>
        <w:spacing w:after="20" w:line="252" w:lineRule="auto"/>
      </w:pPr>
      <w:r>
        <w:rPr>
          <w:rFonts w:ascii="Calibri" w:hAnsi="Calibri"/>
          <w:b w:val="0"/>
          <w:i w:val="0"/>
          <w:sz w:val="20"/>
        </w:rPr>
        <w:t>Expected value matters more than intuition.</w:t>
      </w:r>
    </w:p>
    <w:p>
      <w:pPr>
        <w:pStyle w:val="ListBullet"/>
        <w:spacing w:after="20" w:line="252" w:lineRule="auto"/>
      </w:pPr>
      <w:r>
        <w:rPr>
          <w:rFonts w:ascii="Calibri" w:hAnsi="Calibri"/>
          <w:b w:val="0"/>
          <w:i w:val="0"/>
          <w:sz w:val="20"/>
        </w:rPr>
        <w:t>Distribution shape matters more than one-point estimates.</w:t>
      </w:r>
    </w:p>
    <w:p>
      <w:pPr>
        <w:pStyle w:val="ListBullet"/>
        <w:spacing w:after="20" w:line="252" w:lineRule="auto"/>
      </w:pPr>
      <w:r>
        <w:rPr>
          <w:rFonts w:ascii="Calibri" w:hAnsi="Calibri"/>
          <w:b w:val="0"/>
          <w:i w:val="0"/>
          <w:sz w:val="20"/>
        </w:rPr>
        <w:t>Small edges repeated many times beat dramatic but unstable predictions.</w:t>
      </w:r>
    </w:p>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rFonts w:ascii="Calibri" w:hAnsi="Calibri"/>
                <w:b/>
                <w:i w:val="0"/>
                <w:color w:val="1F4E79"/>
                <w:sz w:val="21"/>
              </w:rPr>
              <w:t>Interview trap</w:t>
              <w:br/>
            </w:r>
            <w:r>
              <w:rPr>
                <w:rFonts w:ascii="Calibri" w:hAnsi="Calibri"/>
                <w:b w:val="0"/>
                <w:i w:val="0"/>
                <w:sz w:val="20"/>
              </w:rPr>
              <w:t>When asked to pick between two trades, the interviewer may not care about the exact market answer. They care whether you can reason about payoff, downside, probability, and liquidity without getting emotionally attached to a view.</w:t>
            </w:r>
          </w:p>
        </w:tc>
      </w:tr>
    </w:tbl>
    <w:p>
      <w:pPr>
        <w:spacing w:after="40"/>
      </w:pPr>
    </w:p>
    <w:p>
      <w:pPr>
        <w:pStyle w:val="Heading1"/>
        <w:spacing w:before="120" w:after="60"/>
      </w:pPr>
      <w:r>
        <w:rPr>
          <w:rFonts w:ascii="Calibri" w:hAnsi="Calibri"/>
          <w:b/>
          <w:i w:val="0"/>
          <w:color w:val="1F4E79"/>
          <w:sz w:val="30"/>
        </w:rPr>
        <w:t>Section 10. Interview Bank: Mock Questions and Answers</w:t>
      </w:r>
    </w:p>
    <w:p>
      <w:pPr>
        <w:spacing w:after="80" w:line="252" w:lineRule="auto"/>
      </w:pPr>
      <w:r>
        <w:rPr>
          <w:rFonts w:ascii="Calibri" w:hAnsi="Calibri"/>
          <w:b w:val="0"/>
          <w:i w:val="0"/>
          <w:sz w:val="21"/>
        </w:rPr>
        <w:t>The interview bank below is deliberately designed in the style of top banks, hedge funds, consulting firms, and Big Four advisory interviews. The answers are written to show logic, not just final results.</w:t>
      </w:r>
    </w:p>
    <w:tbl>
      <w:tblPr>
        <w:tblW w:type="auto" w:w="0"/>
        <w:jc w:val="center"/>
        <w:tblLayout w:type="autofit"/>
        <w:tblLook w:firstColumn="1" w:firstRow="1" w:lastColumn="0" w:lastRow="0" w:noHBand="0" w:noVBand="1" w:val="04A0"/>
      </w:tblPr>
      <w:tblGrid>
        <w:gridCol w:w="10224"/>
      </w:tblGrid>
      <w:tr>
        <w:tc>
          <w:tcPr>
            <w:tcW w:type="dxa" w:w="10224"/>
            <w:shd w:fill="F3F8FC"/>
          </w:tcPr>
          <w:p>
            <w:pPr>
              <w:spacing w:after="40"/>
            </w:pPr>
            <w:r>
              <w:rPr>
                <w:rFonts w:ascii="Calibri" w:hAnsi="Calibri"/>
                <w:b/>
                <w:i w:val="0"/>
                <w:color w:val="1F4E79"/>
                <w:sz w:val="21"/>
              </w:rPr>
              <w:t>Question</w:t>
              <w:br/>
            </w:r>
            <w:r>
              <w:rPr>
                <w:rFonts w:ascii="Calibri" w:hAnsi="Calibri"/>
                <w:b w:val="0"/>
                <w:i w:val="0"/>
                <w:sz w:val="20"/>
              </w:rPr>
              <w:t>What is the difference between Enterprise Value and Equity Value?</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BFBFB"/>
          </w:tcPr>
          <w:p>
            <w:pPr>
              <w:spacing w:after="40"/>
            </w:pPr>
            <w:r>
              <w:rPr>
                <w:rFonts w:ascii="Calibri" w:hAnsi="Calibri"/>
                <w:b/>
                <w:i w:val="0"/>
                <w:color w:val="1F4E79"/>
                <w:sz w:val="21"/>
              </w:rPr>
              <w:t>Answer</w:t>
              <w:br/>
            </w:r>
            <w:r>
              <w:rPr>
                <w:rFonts w:ascii="Calibri" w:hAnsi="Calibri"/>
                <w:b w:val="0"/>
                <w:i w:val="0"/>
                <w:sz w:val="20"/>
              </w:rPr>
              <w:t>Enterprise Value represents the value of the operating business available to all capital providers. Equity Value is the portion belonging to shareholders after debt and other claims are removed. To convert EV to Equity Value, subtract net debt and minority interest, and add non-operating investments if applicable. In practice, investors use EV for operating comparables and Equity Value for per-share pricing.</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3F8FC"/>
          </w:tcPr>
          <w:p>
            <w:pPr>
              <w:spacing w:after="40"/>
            </w:pPr>
            <w:r>
              <w:rPr>
                <w:rFonts w:ascii="Calibri" w:hAnsi="Calibri"/>
                <w:b/>
                <w:i w:val="0"/>
                <w:color w:val="1F4E79"/>
                <w:sz w:val="21"/>
              </w:rPr>
              <w:t>Question</w:t>
              <w:br/>
            </w:r>
            <w:r>
              <w:rPr>
                <w:rFonts w:ascii="Calibri" w:hAnsi="Calibri"/>
                <w:b w:val="0"/>
                <w:i w:val="0"/>
                <w:sz w:val="20"/>
              </w:rPr>
              <w:t>Why is EV/EBITDA preferred over P/E in many banking interviews?</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BFBFB"/>
          </w:tcPr>
          <w:p>
            <w:pPr>
              <w:spacing w:after="40"/>
            </w:pPr>
            <w:r>
              <w:rPr>
                <w:rFonts w:ascii="Calibri" w:hAnsi="Calibri"/>
                <w:b/>
                <w:i w:val="0"/>
                <w:color w:val="1F4E79"/>
                <w:sz w:val="21"/>
              </w:rPr>
              <w:t>Answer</w:t>
              <w:br/>
            </w:r>
            <w:r>
              <w:rPr>
                <w:rFonts w:ascii="Calibri" w:hAnsi="Calibri"/>
                <w:b w:val="0"/>
                <w:i w:val="0"/>
                <w:sz w:val="20"/>
              </w:rPr>
              <w:t>EV/EBITDA neutralizes differences in capital structure and taxes more than P/E. EBITDA is also closer to operating performance before depreciation and financing. It becomes especially useful when comparing companies with different leverage levels. The limitation is that it ignores capex and working capital, so it cannot replace cash flow analysis.</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3F8FC"/>
          </w:tcPr>
          <w:p>
            <w:pPr>
              <w:spacing w:after="40"/>
            </w:pPr>
            <w:r>
              <w:rPr>
                <w:rFonts w:ascii="Calibri" w:hAnsi="Calibri"/>
                <w:b/>
                <w:i w:val="0"/>
                <w:color w:val="1F4E79"/>
                <w:sz w:val="21"/>
              </w:rPr>
              <w:t>Question</w:t>
              <w:br/>
            </w:r>
            <w:r>
              <w:rPr>
                <w:rFonts w:ascii="Calibri" w:hAnsi="Calibri"/>
                <w:b w:val="0"/>
                <w:i w:val="0"/>
                <w:sz w:val="20"/>
              </w:rPr>
              <w:t>How do you forecast revenue in a model?</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BFBFB"/>
          </w:tcPr>
          <w:p>
            <w:pPr>
              <w:spacing w:after="40"/>
            </w:pPr>
            <w:r>
              <w:rPr>
                <w:rFonts w:ascii="Calibri" w:hAnsi="Calibri"/>
                <w:b/>
                <w:i w:val="0"/>
                <w:color w:val="1F4E79"/>
                <w:sz w:val="21"/>
              </w:rPr>
              <w:t>Answer</w:t>
              <w:br/>
            </w:r>
            <w:r>
              <w:rPr>
                <w:rFonts w:ascii="Calibri" w:hAnsi="Calibri"/>
                <w:b w:val="0"/>
                <w:i w:val="0"/>
                <w:sz w:val="20"/>
              </w:rPr>
              <w:t>Use the most relevant business driver. For retail, revenue may equal store count x sales per store. For subscription businesses, it may equal starting customers + new customers - churn x average revenue per customer. For industrials, volume x price is often appropriate. A strong forecast is driver-based, not just historical growth extrapolation.</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3F8FC"/>
          </w:tcPr>
          <w:p>
            <w:pPr>
              <w:spacing w:after="40"/>
            </w:pPr>
            <w:r>
              <w:rPr>
                <w:rFonts w:ascii="Calibri" w:hAnsi="Calibri"/>
                <w:b/>
                <w:i w:val="0"/>
                <w:color w:val="1F4E79"/>
                <w:sz w:val="21"/>
              </w:rPr>
              <w:t>Question</w:t>
              <w:br/>
            </w:r>
            <w:r>
              <w:rPr>
                <w:rFonts w:ascii="Calibri" w:hAnsi="Calibri"/>
                <w:b w:val="0"/>
                <w:i w:val="0"/>
                <w:sz w:val="20"/>
              </w:rPr>
              <w:t>What happens to DCF valuation if WACC rises?</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BFBFB"/>
          </w:tcPr>
          <w:p>
            <w:pPr>
              <w:spacing w:after="40"/>
            </w:pPr>
            <w:r>
              <w:rPr>
                <w:rFonts w:ascii="Calibri" w:hAnsi="Calibri"/>
                <w:b/>
                <w:i w:val="0"/>
                <w:color w:val="1F4E79"/>
                <w:sz w:val="21"/>
              </w:rPr>
              <w:t>Answer</w:t>
              <w:br/>
            </w:r>
            <w:r>
              <w:rPr>
                <w:rFonts w:ascii="Calibri" w:hAnsi="Calibri"/>
                <w:b w:val="0"/>
                <w:i w:val="0"/>
                <w:sz w:val="20"/>
              </w:rPr>
              <w:t>DCF value generally falls because future cash flows are discounted more heavily. The terminal value is particularly sensitive because it sits far in the future. A higher WACC is usually interpreted as higher risk or higher required return. In sensitivity tables, even a small WACC movement can materially change output.</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3F8FC"/>
          </w:tcPr>
          <w:p>
            <w:pPr>
              <w:spacing w:after="40"/>
            </w:pPr>
            <w:r>
              <w:rPr>
                <w:rFonts w:ascii="Calibri" w:hAnsi="Calibri"/>
                <w:b/>
                <w:i w:val="0"/>
                <w:color w:val="1F4E79"/>
                <w:sz w:val="21"/>
              </w:rPr>
              <w:t>Question</w:t>
              <w:br/>
            </w:r>
            <w:r>
              <w:rPr>
                <w:rFonts w:ascii="Calibri" w:hAnsi="Calibri"/>
                <w:b w:val="0"/>
                <w:i w:val="0"/>
                <w:sz w:val="20"/>
              </w:rPr>
              <w:t>Why does adding debt sometimes increase equity value in a DCF?</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BFBFB"/>
          </w:tcPr>
          <w:p>
            <w:pPr>
              <w:spacing w:after="40"/>
            </w:pPr>
            <w:r>
              <w:rPr>
                <w:rFonts w:ascii="Calibri" w:hAnsi="Calibri"/>
                <w:b/>
                <w:i w:val="0"/>
                <w:color w:val="1F4E79"/>
                <w:sz w:val="21"/>
              </w:rPr>
              <w:t>Answer</w:t>
              <w:br/>
            </w:r>
            <w:r>
              <w:rPr>
                <w:rFonts w:ascii="Calibri" w:hAnsi="Calibri"/>
                <w:b w:val="0"/>
                <w:i w:val="0"/>
                <w:sz w:val="20"/>
              </w:rPr>
              <w:t>Debt itself does not create value by magic. The value can rise because of the tax shield on interest, which reduces taxes and increases available cash flows. However, excessive debt raises financial distress risk, which can destroy value. Good analysis weighs both effects.</w:t>
            </w:r>
          </w:p>
        </w:tc>
      </w:tr>
    </w:tbl>
    <w:p>
      <w:pPr>
        <w:spacing w:after="40"/>
      </w:pPr>
    </w:p>
    <w:p>
      <w:pPr>
        <w:pStyle w:val="Heading2"/>
        <w:spacing w:before="120" w:after="60"/>
      </w:pPr>
      <w:r>
        <w:rPr>
          <w:rFonts w:ascii="Calibri" w:hAnsi="Calibri"/>
          <w:b/>
          <w:i w:val="0"/>
          <w:color w:val="1F4E79"/>
          <w:sz w:val="25"/>
        </w:rPr>
        <w:t>Firm-style prompt set</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pPr>
              <w:spacing w:after="0" w:line="240" w:lineRule="auto"/>
            </w:pPr>
            <w:r/>
            <w:r>
              <w:rPr>
                <w:rFonts w:ascii="Calibri" w:hAnsi="Calibri"/>
                <w:b/>
                <w:i w:val="0"/>
                <w:sz w:val="18"/>
              </w:rPr>
              <w:t>Firm style</w:t>
            </w:r>
          </w:p>
        </w:tc>
        <w:tc>
          <w:tcPr>
            <w:tcW w:type="dxa" w:w="7056"/>
            <w:vAlign w:val="center"/>
            <w:shd w:fill="D9EAF7"/>
          </w:tcPr>
          <w:p>
            <w:pPr>
              <w:spacing w:after="0" w:line="240" w:lineRule="auto"/>
            </w:pPr>
            <w:r/>
            <w:r>
              <w:rPr>
                <w:rFonts w:ascii="Calibri" w:hAnsi="Calibri"/>
                <w:b/>
                <w:i w:val="0"/>
                <w:sz w:val="18"/>
              </w:rPr>
              <w:t>Representative question</w:t>
            </w:r>
          </w:p>
        </w:tc>
      </w:tr>
      <w:tr>
        <w:tc>
          <w:tcPr>
            <w:tcW w:type="dxa" w:w="5112"/>
            <w:vAlign w:val="center"/>
          </w:tcPr>
          <w:p>
            <w:pPr>
              <w:spacing w:after="0" w:line="240" w:lineRule="auto"/>
            </w:pPr>
            <w:r/>
            <w:r>
              <w:rPr>
                <w:rFonts w:ascii="Calibri" w:hAnsi="Calibri"/>
                <w:b w:val="0"/>
                <w:i w:val="0"/>
                <w:sz w:val="18"/>
              </w:rPr>
              <w:t>J.P. Morgan / Morgan Stanley</w:t>
            </w:r>
          </w:p>
        </w:tc>
        <w:tc>
          <w:tcPr>
            <w:tcW w:type="dxa" w:w="5112"/>
            <w:vAlign w:val="center"/>
          </w:tcPr>
          <w:p>
            <w:pPr>
              <w:spacing w:after="0" w:line="240" w:lineRule="auto"/>
            </w:pPr>
            <w:r/>
            <w:r>
              <w:rPr>
                <w:rFonts w:ascii="Calibri" w:hAnsi="Calibri"/>
                <w:b w:val="0"/>
                <w:i w:val="0"/>
                <w:sz w:val="18"/>
              </w:rPr>
              <w:t>Walk me through a DCF, explain WACC, and tell me why your terminal value is credible.</w:t>
            </w:r>
          </w:p>
        </w:tc>
      </w:tr>
      <w:tr>
        <w:tc>
          <w:tcPr>
            <w:tcW w:type="dxa" w:w="5112"/>
            <w:vAlign w:val="center"/>
          </w:tcPr>
          <w:p>
            <w:pPr>
              <w:spacing w:after="0" w:line="240" w:lineRule="auto"/>
            </w:pPr>
            <w:r/>
            <w:r>
              <w:rPr>
                <w:rFonts w:ascii="Calibri" w:hAnsi="Calibri"/>
                <w:b w:val="0"/>
                <w:i w:val="0"/>
                <w:sz w:val="18"/>
              </w:rPr>
              <w:t>BlackRock / Wells Fargo</w:t>
            </w:r>
          </w:p>
        </w:tc>
        <w:tc>
          <w:tcPr>
            <w:tcW w:type="dxa" w:w="5112"/>
            <w:vAlign w:val="center"/>
          </w:tcPr>
          <w:p>
            <w:pPr>
              <w:spacing w:after="0" w:line="240" w:lineRule="auto"/>
            </w:pPr>
            <w:r/>
            <w:r>
              <w:rPr>
                <w:rFonts w:ascii="Calibri" w:hAnsi="Calibri"/>
                <w:b w:val="0"/>
                <w:i w:val="0"/>
                <w:sz w:val="18"/>
              </w:rPr>
              <w:t>How would you compare valuation across sectors with different capital intensity?</w:t>
            </w:r>
          </w:p>
        </w:tc>
      </w:tr>
      <w:tr>
        <w:tc>
          <w:tcPr>
            <w:tcW w:type="dxa" w:w="5112"/>
            <w:vAlign w:val="center"/>
          </w:tcPr>
          <w:p>
            <w:pPr>
              <w:spacing w:after="0" w:line="240" w:lineRule="auto"/>
            </w:pPr>
            <w:r/>
            <w:r>
              <w:rPr>
                <w:rFonts w:ascii="Calibri" w:hAnsi="Calibri"/>
                <w:b w:val="0"/>
                <w:i w:val="0"/>
                <w:sz w:val="18"/>
              </w:rPr>
              <w:t>Jane Street</w:t>
            </w:r>
          </w:p>
        </w:tc>
        <w:tc>
          <w:tcPr>
            <w:tcW w:type="dxa" w:w="5112"/>
            <w:vAlign w:val="center"/>
          </w:tcPr>
          <w:p>
            <w:pPr>
              <w:spacing w:after="0" w:line="240" w:lineRule="auto"/>
            </w:pPr>
            <w:r/>
            <w:r>
              <w:rPr>
                <w:rFonts w:ascii="Calibri" w:hAnsi="Calibri"/>
                <w:b w:val="0"/>
                <w:i w:val="0"/>
                <w:sz w:val="18"/>
              </w:rPr>
              <w:t>A coin is biased and pays based on expected value. How do you decide whether to bet?</w:t>
            </w:r>
          </w:p>
        </w:tc>
      </w:tr>
      <w:tr>
        <w:tc>
          <w:tcPr>
            <w:tcW w:type="dxa" w:w="5112"/>
            <w:vAlign w:val="center"/>
          </w:tcPr>
          <w:p>
            <w:pPr>
              <w:spacing w:after="0" w:line="240" w:lineRule="auto"/>
            </w:pPr>
            <w:r/>
            <w:r>
              <w:rPr>
                <w:rFonts w:ascii="Calibri" w:hAnsi="Calibri"/>
                <w:b w:val="0"/>
                <w:i w:val="0"/>
                <w:sz w:val="18"/>
              </w:rPr>
              <w:t>McKinsey / BCG / Bain</w:t>
            </w:r>
          </w:p>
        </w:tc>
        <w:tc>
          <w:tcPr>
            <w:tcW w:type="dxa" w:w="5112"/>
            <w:vAlign w:val="center"/>
          </w:tcPr>
          <w:p>
            <w:pPr>
              <w:spacing w:after="0" w:line="240" w:lineRule="auto"/>
            </w:pPr>
            <w:r/>
            <w:r>
              <w:rPr>
                <w:rFonts w:ascii="Calibri" w:hAnsi="Calibri"/>
                <w:b w:val="0"/>
                <w:i w:val="0"/>
                <w:sz w:val="18"/>
              </w:rPr>
              <w:t>A company’s margins fell while revenue rose. Diagnose the issue and propose a strategy.</w:t>
            </w:r>
          </w:p>
        </w:tc>
      </w:tr>
      <w:tr>
        <w:tc>
          <w:tcPr>
            <w:tcW w:type="dxa" w:w="5112"/>
            <w:vAlign w:val="center"/>
          </w:tcPr>
          <w:p>
            <w:pPr>
              <w:spacing w:after="0" w:line="240" w:lineRule="auto"/>
            </w:pPr>
            <w:r/>
            <w:r>
              <w:rPr>
                <w:rFonts w:ascii="Calibri" w:hAnsi="Calibri"/>
                <w:b w:val="0"/>
                <w:i w:val="0"/>
                <w:sz w:val="18"/>
              </w:rPr>
              <w:t>Big Four</w:t>
            </w:r>
          </w:p>
        </w:tc>
        <w:tc>
          <w:tcPr>
            <w:tcW w:type="dxa" w:w="5112"/>
            <w:vAlign w:val="center"/>
          </w:tcPr>
          <w:p>
            <w:pPr>
              <w:spacing w:after="0" w:line="240" w:lineRule="auto"/>
            </w:pPr>
            <w:r/>
            <w:r>
              <w:rPr>
                <w:rFonts w:ascii="Calibri" w:hAnsi="Calibri"/>
                <w:b w:val="0"/>
                <w:i w:val="0"/>
                <w:sz w:val="18"/>
              </w:rPr>
              <w:t>Explain how an acquisition affects the balance sheet and the income statement.</w:t>
            </w:r>
          </w:p>
        </w:tc>
      </w:tr>
    </w:tbl>
    <w:p>
      <w:pPr>
        <w:spacing w:after="40"/>
      </w:pPr>
    </w:p>
    <w:p>
      <w:pPr>
        <w:pStyle w:val="Heading2"/>
        <w:spacing w:before="120" w:after="60"/>
      </w:pPr>
      <w:r>
        <w:rPr>
          <w:rFonts w:ascii="Calibri" w:hAnsi="Calibri"/>
          <w:b/>
          <w:i w:val="0"/>
          <w:color w:val="1F4E79"/>
          <w:sz w:val="25"/>
        </w:rPr>
        <w:t>Exceptional cases and trick questions</w:t>
      </w:r>
    </w:p>
    <w:p>
      <w:pPr>
        <w:pStyle w:val="ListBullet"/>
        <w:spacing w:after="20" w:line="252" w:lineRule="auto"/>
      </w:pPr>
      <w:r>
        <w:rPr>
          <w:rFonts w:ascii="Calibri" w:hAnsi="Calibri"/>
          <w:b w:val="0"/>
          <w:i w:val="0"/>
          <w:sz w:val="20"/>
        </w:rPr>
        <w:t>Negative EBITDA: do not force EV/EBITDA. Use another multiple or a scenario-driven DCF.</w:t>
      </w:r>
    </w:p>
    <w:p>
      <w:pPr>
        <w:pStyle w:val="ListBullet"/>
        <w:spacing w:after="20" w:line="252" w:lineRule="auto"/>
      </w:pPr>
      <w:r>
        <w:rPr>
          <w:rFonts w:ascii="Calibri" w:hAnsi="Calibri"/>
          <w:b w:val="0"/>
          <w:i w:val="0"/>
          <w:sz w:val="20"/>
        </w:rPr>
        <w:t>Working capital release can make cash flow look unusually strong in a single period. Do not mistake one-time cash inflow for sustainable profitability.</w:t>
      </w:r>
    </w:p>
    <w:p>
      <w:pPr>
        <w:pStyle w:val="ListBullet"/>
        <w:spacing w:after="20" w:line="252" w:lineRule="auto"/>
      </w:pPr>
      <w:r>
        <w:rPr>
          <w:rFonts w:ascii="Calibri" w:hAnsi="Calibri"/>
          <w:b w:val="0"/>
          <w:i w:val="0"/>
          <w:sz w:val="20"/>
        </w:rPr>
        <w:t>A company can have positive net income but negative operating cash flow because earnings are non-cash or receivables are swelling.</w:t>
      </w:r>
    </w:p>
    <w:p>
      <w:pPr>
        <w:pStyle w:val="ListBullet"/>
        <w:spacing w:after="20" w:line="252" w:lineRule="auto"/>
      </w:pPr>
      <w:r>
        <w:rPr>
          <w:rFonts w:ascii="Calibri" w:hAnsi="Calibri"/>
          <w:b w:val="0"/>
          <w:i w:val="0"/>
          <w:sz w:val="20"/>
        </w:rPr>
        <w:t>A low P/E can indicate undervaluation, but it can also indicate earnings cyclicality or market skepticism. Cheap is not the same as good.</w:t>
      </w:r>
    </w:p>
    <w:p>
      <w:pPr>
        <w:pStyle w:val="ListBullet"/>
        <w:spacing w:after="20" w:line="252" w:lineRule="auto"/>
      </w:pPr>
      <w:r>
        <w:rPr>
          <w:rFonts w:ascii="Calibri" w:hAnsi="Calibri"/>
          <w:b w:val="0"/>
          <w:i w:val="0"/>
          <w:sz w:val="20"/>
        </w:rPr>
        <w:t>In mergers, EPS accretion does not automatically mean value creation. Price paid and synergy realism matter more than the accretion label.</w:t>
      </w:r>
    </w:p>
    <w:p>
      <w:pPr>
        <w:pStyle w:val="ListBullet"/>
        <w:spacing w:after="20" w:line="252" w:lineRule="auto"/>
      </w:pPr>
      <w:r>
        <w:rPr>
          <w:rFonts w:ascii="Calibri" w:hAnsi="Calibri"/>
          <w:b w:val="0"/>
          <w:i w:val="0"/>
          <w:sz w:val="20"/>
        </w:rPr>
        <w:t>A forecast with perfect precision is suspicious. Real models should include judgment, sensitivity, and scenario ranges.</w:t>
      </w:r>
    </w:p>
    <w:p>
      <w:pPr>
        <w:pStyle w:val="Heading2"/>
        <w:spacing w:before="120" w:after="60"/>
      </w:pPr>
      <w:r>
        <w:rPr>
          <w:rFonts w:ascii="Calibri" w:hAnsi="Calibri"/>
          <w:b/>
          <w:i w:val="0"/>
          <w:color w:val="1F4E79"/>
          <w:sz w:val="25"/>
        </w:rPr>
        <w:t>Answering style used by top candidates</w:t>
      </w:r>
    </w:p>
    <w:p>
      <w:pPr>
        <w:pStyle w:val="ListBullet"/>
        <w:spacing w:after="20" w:line="252" w:lineRule="auto"/>
      </w:pPr>
      <w:r>
        <w:rPr>
          <w:rFonts w:ascii="Calibri" w:hAnsi="Calibri"/>
          <w:b w:val="0"/>
          <w:i w:val="0"/>
          <w:sz w:val="20"/>
        </w:rPr>
        <w:t>Define the concept first.</w:t>
      </w:r>
    </w:p>
    <w:p>
      <w:pPr>
        <w:pStyle w:val="ListBullet"/>
        <w:spacing w:after="20" w:line="252" w:lineRule="auto"/>
      </w:pPr>
      <w:r>
        <w:rPr>
          <w:rFonts w:ascii="Calibri" w:hAnsi="Calibri"/>
          <w:b w:val="0"/>
          <w:i w:val="0"/>
          <w:sz w:val="20"/>
        </w:rPr>
        <w:t>State the formula or framework.</w:t>
      </w:r>
    </w:p>
    <w:p>
      <w:pPr>
        <w:pStyle w:val="ListBullet"/>
        <w:spacing w:after="20" w:line="252" w:lineRule="auto"/>
      </w:pPr>
      <w:r>
        <w:rPr>
          <w:rFonts w:ascii="Calibri" w:hAnsi="Calibri"/>
          <w:b w:val="0"/>
          <w:i w:val="0"/>
          <w:sz w:val="20"/>
        </w:rPr>
        <w:t>Explain the economic logic.</w:t>
      </w:r>
    </w:p>
    <w:p>
      <w:pPr>
        <w:pStyle w:val="ListBullet"/>
        <w:spacing w:after="20" w:line="252" w:lineRule="auto"/>
      </w:pPr>
      <w:r>
        <w:rPr>
          <w:rFonts w:ascii="Calibri" w:hAnsi="Calibri"/>
          <w:b w:val="0"/>
          <w:i w:val="0"/>
          <w:sz w:val="20"/>
        </w:rPr>
        <w:t>Add a quick example.</w:t>
      </w:r>
    </w:p>
    <w:p>
      <w:pPr>
        <w:pStyle w:val="ListBullet"/>
        <w:spacing w:after="20" w:line="252" w:lineRule="auto"/>
      </w:pPr>
      <w:r>
        <w:rPr>
          <w:rFonts w:ascii="Calibri" w:hAnsi="Calibri"/>
          <w:b w:val="0"/>
          <w:i w:val="0"/>
          <w:sz w:val="20"/>
        </w:rPr>
        <w:t>State the limitation or edge case.</w:t>
      </w:r>
    </w:p>
    <w:p>
      <w:pPr>
        <w:pStyle w:val="ListBullet"/>
        <w:spacing w:after="20" w:line="252" w:lineRule="auto"/>
      </w:pPr>
      <w:r>
        <w:rPr>
          <w:rFonts w:ascii="Calibri" w:hAnsi="Calibri"/>
          <w:b w:val="0"/>
          <w:i w:val="0"/>
          <w:sz w:val="20"/>
        </w:rPr>
        <w:t>Finish with why it matters in practice.</w:t>
      </w:r>
    </w:p>
    <w:p>
      <w:pPr>
        <w:pStyle w:val="Heading1"/>
        <w:spacing w:before="120" w:after="60"/>
      </w:pPr>
      <w:r>
        <w:rPr>
          <w:rFonts w:ascii="Calibri" w:hAnsi="Calibri"/>
          <w:b/>
          <w:i w:val="0"/>
          <w:color w:val="1F4E79"/>
          <w:sz w:val="30"/>
        </w:rPr>
        <w:t>Formula Library</w:t>
      </w:r>
    </w:p>
    <w:tbl>
      <w:tblPr>
        <w:tblStyle w:val="TableGrid"/>
        <w:tblW w:type="auto" w:w="0"/>
        <w:jc w:val="center"/>
        <w:tblLook w:firstColumn="1" w:firstRow="1" w:lastColumn="0" w:lastRow="0" w:noHBand="0" w:noVBand="1" w:val="04A0"/>
      </w:tblPr>
      <w:tblGrid>
        <w:gridCol w:w="5112"/>
        <w:gridCol w:w="5112"/>
      </w:tblGrid>
      <w:tr>
        <w:tc>
          <w:tcPr>
            <w:tcW w:type="dxa" w:w="2736"/>
            <w:vAlign w:val="center"/>
            <w:shd w:fill="D9EAF7"/>
          </w:tcPr>
          <w:p>
            <w:pPr>
              <w:spacing w:after="0" w:line="240" w:lineRule="auto"/>
            </w:pPr>
            <w:r/>
            <w:r>
              <w:rPr>
                <w:rFonts w:ascii="Calibri" w:hAnsi="Calibri"/>
                <w:b/>
                <w:i w:val="0"/>
                <w:sz w:val="18"/>
              </w:rPr>
              <w:t>Metric</w:t>
            </w:r>
          </w:p>
        </w:tc>
        <w:tc>
          <w:tcPr>
            <w:tcW w:type="dxa" w:w="7200"/>
            <w:vAlign w:val="center"/>
            <w:shd w:fill="D9EAF7"/>
          </w:tcPr>
          <w:p>
            <w:pPr>
              <w:spacing w:after="0" w:line="240" w:lineRule="auto"/>
            </w:pPr>
            <w:r/>
            <w:r>
              <w:rPr>
                <w:rFonts w:ascii="Calibri" w:hAnsi="Calibri"/>
                <w:b/>
                <w:i w:val="0"/>
                <w:sz w:val="18"/>
              </w:rPr>
              <w:t>Formula / definition</w:t>
            </w:r>
          </w:p>
        </w:tc>
      </w:tr>
      <w:tr>
        <w:tc>
          <w:tcPr>
            <w:tcW w:type="dxa" w:w="5112"/>
            <w:vAlign w:val="center"/>
          </w:tcPr>
          <w:p>
            <w:pPr>
              <w:spacing w:after="0" w:line="240" w:lineRule="auto"/>
            </w:pPr>
            <w:r/>
            <w:r>
              <w:rPr>
                <w:rFonts w:ascii="Calibri" w:hAnsi="Calibri"/>
                <w:b w:val="0"/>
                <w:i w:val="0"/>
                <w:sz w:val="18"/>
              </w:rPr>
              <w:t>Enterprise Value</w:t>
            </w:r>
          </w:p>
        </w:tc>
        <w:tc>
          <w:tcPr>
            <w:tcW w:type="dxa" w:w="5112"/>
            <w:vAlign w:val="center"/>
          </w:tcPr>
          <w:p>
            <w:pPr>
              <w:spacing w:after="0" w:line="240" w:lineRule="auto"/>
            </w:pPr>
            <w:r/>
            <w:r>
              <w:rPr>
                <w:rFonts w:ascii="Calibri" w:hAnsi="Calibri"/>
                <w:b w:val="0"/>
                <w:i w:val="0"/>
                <w:sz w:val="18"/>
              </w:rPr>
              <w:t>Market Cap + Debt + Preferred Equity + Minority Interest - Cash</w:t>
            </w:r>
          </w:p>
        </w:tc>
      </w:tr>
      <w:tr>
        <w:tc>
          <w:tcPr>
            <w:tcW w:type="dxa" w:w="5112"/>
            <w:vAlign w:val="center"/>
          </w:tcPr>
          <w:p>
            <w:pPr>
              <w:spacing w:after="0" w:line="240" w:lineRule="auto"/>
            </w:pPr>
            <w:r/>
            <w:r>
              <w:rPr>
                <w:rFonts w:ascii="Calibri" w:hAnsi="Calibri"/>
                <w:b w:val="0"/>
                <w:i w:val="0"/>
                <w:sz w:val="18"/>
              </w:rPr>
              <w:t>WACC</w:t>
            </w:r>
          </w:p>
        </w:tc>
        <w:tc>
          <w:tcPr>
            <w:tcW w:type="dxa" w:w="5112"/>
            <w:vAlign w:val="center"/>
          </w:tcPr>
          <w:p>
            <w:pPr>
              <w:spacing w:after="0" w:line="240" w:lineRule="auto"/>
            </w:pPr>
            <w:r/>
            <w:r>
              <w:rPr>
                <w:rFonts w:ascii="Calibri" w:hAnsi="Calibri"/>
                <w:b w:val="0"/>
                <w:i w:val="0"/>
                <w:sz w:val="18"/>
              </w:rPr>
              <w:t>E/V x Ke + D/V x Kd x (1 - Tax Rate)</w:t>
            </w:r>
          </w:p>
        </w:tc>
      </w:tr>
      <w:tr>
        <w:tc>
          <w:tcPr>
            <w:tcW w:type="dxa" w:w="5112"/>
            <w:vAlign w:val="center"/>
          </w:tcPr>
          <w:p>
            <w:pPr>
              <w:spacing w:after="0" w:line="240" w:lineRule="auto"/>
            </w:pPr>
            <w:r/>
            <w:r>
              <w:rPr>
                <w:rFonts w:ascii="Calibri" w:hAnsi="Calibri"/>
                <w:b w:val="0"/>
                <w:i w:val="0"/>
                <w:sz w:val="18"/>
              </w:rPr>
              <w:t>CAPM</w:t>
            </w:r>
          </w:p>
        </w:tc>
        <w:tc>
          <w:tcPr>
            <w:tcW w:type="dxa" w:w="5112"/>
            <w:vAlign w:val="center"/>
          </w:tcPr>
          <w:p>
            <w:pPr>
              <w:spacing w:after="0" w:line="240" w:lineRule="auto"/>
            </w:pPr>
            <w:r/>
            <w:r>
              <w:rPr>
                <w:rFonts w:ascii="Calibri" w:hAnsi="Calibri"/>
                <w:b w:val="0"/>
                <w:i w:val="0"/>
                <w:sz w:val="18"/>
              </w:rPr>
              <w:t>Ke = Rf + Beta x Equity Risk Premium</w:t>
            </w:r>
          </w:p>
        </w:tc>
      </w:tr>
      <w:tr>
        <w:tc>
          <w:tcPr>
            <w:tcW w:type="dxa" w:w="5112"/>
            <w:vAlign w:val="center"/>
          </w:tcPr>
          <w:p>
            <w:pPr>
              <w:spacing w:after="0" w:line="240" w:lineRule="auto"/>
            </w:pPr>
            <w:r/>
            <w:r>
              <w:rPr>
                <w:rFonts w:ascii="Calibri" w:hAnsi="Calibri"/>
                <w:b w:val="0"/>
                <w:i w:val="0"/>
                <w:sz w:val="18"/>
              </w:rPr>
              <w:t>FCFF</w:t>
            </w:r>
          </w:p>
        </w:tc>
        <w:tc>
          <w:tcPr>
            <w:tcW w:type="dxa" w:w="5112"/>
            <w:vAlign w:val="center"/>
          </w:tcPr>
          <w:p>
            <w:pPr>
              <w:spacing w:after="0" w:line="240" w:lineRule="auto"/>
            </w:pPr>
            <w:r/>
            <w:r>
              <w:rPr>
                <w:rFonts w:ascii="Calibri" w:hAnsi="Calibri"/>
                <w:b w:val="0"/>
                <w:i w:val="0"/>
                <w:sz w:val="18"/>
              </w:rPr>
              <w:t>EBIT x (1 - Tax) + D&amp;A - CapEx - Change in NWC</w:t>
            </w:r>
          </w:p>
        </w:tc>
      </w:tr>
      <w:tr>
        <w:tc>
          <w:tcPr>
            <w:tcW w:type="dxa" w:w="5112"/>
            <w:vAlign w:val="center"/>
          </w:tcPr>
          <w:p>
            <w:pPr>
              <w:spacing w:after="0" w:line="240" w:lineRule="auto"/>
            </w:pPr>
            <w:r/>
            <w:r>
              <w:rPr>
                <w:rFonts w:ascii="Calibri" w:hAnsi="Calibri"/>
                <w:b w:val="0"/>
                <w:i w:val="0"/>
                <w:sz w:val="18"/>
              </w:rPr>
              <w:t>FCFE</w:t>
            </w:r>
          </w:p>
        </w:tc>
        <w:tc>
          <w:tcPr>
            <w:tcW w:type="dxa" w:w="5112"/>
            <w:vAlign w:val="center"/>
          </w:tcPr>
          <w:p>
            <w:pPr>
              <w:spacing w:after="0" w:line="240" w:lineRule="auto"/>
            </w:pPr>
            <w:r/>
            <w:r>
              <w:rPr>
                <w:rFonts w:ascii="Calibri" w:hAnsi="Calibri"/>
                <w:b w:val="0"/>
                <w:i w:val="0"/>
                <w:sz w:val="18"/>
              </w:rPr>
              <w:t>Net Income + D&amp;A - CapEx - Change in NWC + Net Borrowing</w:t>
            </w:r>
          </w:p>
        </w:tc>
      </w:tr>
      <w:tr>
        <w:tc>
          <w:tcPr>
            <w:tcW w:type="dxa" w:w="5112"/>
            <w:vAlign w:val="center"/>
          </w:tcPr>
          <w:p>
            <w:pPr>
              <w:spacing w:after="0" w:line="240" w:lineRule="auto"/>
            </w:pPr>
            <w:r/>
            <w:r>
              <w:rPr>
                <w:rFonts w:ascii="Calibri" w:hAnsi="Calibri"/>
                <w:b w:val="0"/>
                <w:i w:val="0"/>
                <w:sz w:val="18"/>
              </w:rPr>
              <w:t>P/E</w:t>
            </w:r>
          </w:p>
        </w:tc>
        <w:tc>
          <w:tcPr>
            <w:tcW w:type="dxa" w:w="5112"/>
            <w:vAlign w:val="center"/>
          </w:tcPr>
          <w:p>
            <w:pPr>
              <w:spacing w:after="0" w:line="240" w:lineRule="auto"/>
            </w:pPr>
            <w:r/>
            <w:r>
              <w:rPr>
                <w:rFonts w:ascii="Calibri" w:hAnsi="Calibri"/>
                <w:b w:val="0"/>
                <w:i w:val="0"/>
                <w:sz w:val="18"/>
              </w:rPr>
              <w:t>Share Price / Earnings per Share</w:t>
            </w:r>
          </w:p>
        </w:tc>
      </w:tr>
      <w:tr>
        <w:tc>
          <w:tcPr>
            <w:tcW w:type="dxa" w:w="5112"/>
            <w:vAlign w:val="center"/>
          </w:tcPr>
          <w:p>
            <w:pPr>
              <w:spacing w:after="0" w:line="240" w:lineRule="auto"/>
            </w:pPr>
            <w:r/>
            <w:r>
              <w:rPr>
                <w:rFonts w:ascii="Calibri" w:hAnsi="Calibri"/>
                <w:b w:val="0"/>
                <w:i w:val="0"/>
                <w:sz w:val="18"/>
              </w:rPr>
              <w:t>EV/EBITDA</w:t>
            </w:r>
          </w:p>
        </w:tc>
        <w:tc>
          <w:tcPr>
            <w:tcW w:type="dxa" w:w="5112"/>
            <w:vAlign w:val="center"/>
          </w:tcPr>
          <w:p>
            <w:pPr>
              <w:spacing w:after="0" w:line="240" w:lineRule="auto"/>
            </w:pPr>
            <w:r/>
            <w:r>
              <w:rPr>
                <w:rFonts w:ascii="Calibri" w:hAnsi="Calibri"/>
                <w:b w:val="0"/>
                <w:i w:val="0"/>
                <w:sz w:val="18"/>
              </w:rPr>
              <w:t>Enterprise Value / EBITDA</w:t>
            </w:r>
          </w:p>
        </w:tc>
      </w:tr>
      <w:tr>
        <w:tc>
          <w:tcPr>
            <w:tcW w:type="dxa" w:w="5112"/>
            <w:vAlign w:val="center"/>
          </w:tcPr>
          <w:p>
            <w:pPr>
              <w:spacing w:after="0" w:line="240" w:lineRule="auto"/>
            </w:pPr>
            <w:r/>
            <w:r>
              <w:rPr>
                <w:rFonts w:ascii="Calibri" w:hAnsi="Calibri"/>
                <w:b w:val="0"/>
                <w:i w:val="0"/>
                <w:sz w:val="18"/>
              </w:rPr>
              <w:t>DSCR</w:t>
            </w:r>
          </w:p>
        </w:tc>
        <w:tc>
          <w:tcPr>
            <w:tcW w:type="dxa" w:w="5112"/>
            <w:vAlign w:val="center"/>
          </w:tcPr>
          <w:p>
            <w:pPr>
              <w:spacing w:after="0" w:line="240" w:lineRule="auto"/>
            </w:pPr>
            <w:r/>
            <w:r>
              <w:rPr>
                <w:rFonts w:ascii="Calibri" w:hAnsi="Calibri"/>
                <w:b w:val="0"/>
                <w:i w:val="0"/>
                <w:sz w:val="18"/>
              </w:rPr>
              <w:t>Cash Available for Debt Service / Debt Service</w:t>
            </w:r>
          </w:p>
        </w:tc>
      </w:tr>
    </w:tbl>
    <w:p>
      <w:pPr>
        <w:spacing w:after="40"/>
      </w:pPr>
    </w:p>
    <w:p>
      <w:pPr>
        <w:pStyle w:val="Heading1"/>
        <w:spacing w:before="120" w:after="60"/>
      </w:pPr>
      <w:r>
        <w:rPr>
          <w:rFonts w:ascii="Calibri" w:hAnsi="Calibri"/>
          <w:b/>
          <w:i w:val="0"/>
          <w:color w:val="1F4E79"/>
          <w:sz w:val="30"/>
        </w:rPr>
        <w:t>Final notes</w:t>
      </w:r>
    </w:p>
    <w:p>
      <w:pPr>
        <w:spacing w:after="80" w:line="252" w:lineRule="auto"/>
      </w:pPr>
      <w:r>
        <w:rPr>
          <w:rFonts w:ascii="Calibri" w:hAnsi="Calibri"/>
          <w:b w:val="0"/>
          <w:i w:val="0"/>
          <w:sz w:val="21"/>
        </w:rPr>
        <w:t>This book is intentionally built to be used as both a curriculum and a reference manual. In a live interview or live deal, no one cares how much theory you can recite. They care whether your model balances, your assumptions make sense, and your answer survives follow-up questions. That is the standard.</w:t>
      </w:r>
    </w:p>
    <w:p>
      <w:pPr>
        <w:pStyle w:val="Heading1"/>
        <w:spacing w:before="120" w:after="60"/>
      </w:pPr>
      <w:r>
        <w:rPr>
          <w:rFonts w:ascii="Calibri" w:hAnsi="Calibri"/>
          <w:b/>
          <w:i w:val="0"/>
          <w:color w:val="1F4E79"/>
          <w:sz w:val="30"/>
        </w:rPr>
        <w:t>Company-Wise Use Cases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pPr>
              <w:spacing w:after="0" w:line="240" w:lineRule="auto"/>
            </w:pPr>
            <w:r/>
            <w:r>
              <w:rPr>
                <w:rFonts w:ascii="Calibri" w:hAnsi="Calibri"/>
                <w:b/>
                <w:i w:val="0"/>
                <w:sz w:val="18"/>
              </w:rPr>
              <w:t>Firm</w:t>
            </w:r>
          </w:p>
        </w:tc>
        <w:tc>
          <w:tcPr>
            <w:tcW w:type="dxa" w:w="7056"/>
            <w:vAlign w:val="center"/>
            <w:shd w:fill="D9EAF7"/>
          </w:tcPr>
          <w:p>
            <w:pPr>
              <w:spacing w:after="0" w:line="240" w:lineRule="auto"/>
            </w:pPr>
            <w:r/>
            <w:r>
              <w:rPr>
                <w:rFonts w:ascii="Calibri" w:hAnsi="Calibri"/>
                <w:b/>
                <w:i w:val="0"/>
                <w:sz w:val="18"/>
              </w:rPr>
              <w:t>Typical analytical use</w:t>
            </w:r>
          </w:p>
        </w:tc>
      </w:tr>
      <w:tr>
        <w:tc>
          <w:tcPr>
            <w:tcW w:type="dxa" w:w="5112"/>
            <w:vAlign w:val="center"/>
          </w:tcPr>
          <w:p>
            <w:pPr>
              <w:spacing w:after="0" w:line="240" w:lineRule="auto"/>
            </w:pPr>
            <w:r/>
            <w:r>
              <w:rPr>
                <w:rFonts w:ascii="Calibri" w:hAnsi="Calibri"/>
                <w:b w:val="0"/>
                <w:i w:val="0"/>
                <w:sz w:val="18"/>
              </w:rPr>
              <w:t>J.P. Morgan / Morgan Stanley</w:t>
            </w:r>
          </w:p>
        </w:tc>
        <w:tc>
          <w:tcPr>
            <w:tcW w:type="dxa" w:w="5112"/>
            <w:vAlign w:val="center"/>
          </w:tcPr>
          <w:p>
            <w:pPr>
              <w:spacing w:after="0" w:line="240" w:lineRule="auto"/>
            </w:pPr>
            <w:r/>
            <w:r>
              <w:rPr>
                <w:rFonts w:ascii="Calibri" w:hAnsi="Calibri"/>
                <w:b w:val="0"/>
                <w:i w:val="0"/>
                <w:sz w:val="18"/>
              </w:rPr>
              <w:t>DCF, precedent transactions, leveraged finance, accretion/dilution, pitch books, IPO comparables.</w:t>
            </w:r>
          </w:p>
        </w:tc>
      </w:tr>
      <w:tr>
        <w:tc>
          <w:tcPr>
            <w:tcW w:type="dxa" w:w="5112"/>
            <w:vAlign w:val="center"/>
          </w:tcPr>
          <w:p>
            <w:pPr>
              <w:spacing w:after="0" w:line="240" w:lineRule="auto"/>
            </w:pPr>
            <w:r/>
            <w:r>
              <w:rPr>
                <w:rFonts w:ascii="Calibri" w:hAnsi="Calibri"/>
                <w:b w:val="0"/>
                <w:i w:val="0"/>
                <w:sz w:val="18"/>
              </w:rPr>
              <w:t>Barclays / Wells Fargo</w:t>
            </w:r>
          </w:p>
        </w:tc>
        <w:tc>
          <w:tcPr>
            <w:tcW w:type="dxa" w:w="5112"/>
            <w:vAlign w:val="center"/>
          </w:tcPr>
          <w:p>
            <w:pPr>
              <w:spacing w:after="0" w:line="240" w:lineRule="auto"/>
            </w:pPr>
            <w:r/>
            <w:r>
              <w:rPr>
                <w:rFonts w:ascii="Calibri" w:hAnsi="Calibri"/>
                <w:b w:val="0"/>
                <w:i w:val="0"/>
                <w:sz w:val="18"/>
              </w:rPr>
              <w:t>Credit analysis, capital structure, working capital models, sector valuation, transaction screening.</w:t>
            </w:r>
          </w:p>
        </w:tc>
      </w:tr>
      <w:tr>
        <w:tc>
          <w:tcPr>
            <w:tcW w:type="dxa" w:w="5112"/>
            <w:vAlign w:val="center"/>
          </w:tcPr>
          <w:p>
            <w:pPr>
              <w:spacing w:after="0" w:line="240" w:lineRule="auto"/>
            </w:pPr>
            <w:r/>
            <w:r>
              <w:rPr>
                <w:rFonts w:ascii="Calibri" w:hAnsi="Calibri"/>
                <w:b w:val="0"/>
                <w:i w:val="0"/>
                <w:sz w:val="18"/>
              </w:rPr>
              <w:t>BlackRock</w:t>
            </w:r>
          </w:p>
        </w:tc>
        <w:tc>
          <w:tcPr>
            <w:tcW w:type="dxa" w:w="5112"/>
            <w:vAlign w:val="center"/>
          </w:tcPr>
          <w:p>
            <w:pPr>
              <w:spacing w:after="0" w:line="240" w:lineRule="auto"/>
            </w:pPr>
            <w:r/>
            <w:r>
              <w:rPr>
                <w:rFonts w:ascii="Calibri" w:hAnsi="Calibri"/>
                <w:b w:val="0"/>
                <w:i w:val="0"/>
                <w:sz w:val="18"/>
              </w:rPr>
              <w:t>Portfolio analytics, relative valuation, risk attribution, market sensitivity, macro-aware scenario design.</w:t>
            </w:r>
          </w:p>
        </w:tc>
      </w:tr>
      <w:tr>
        <w:tc>
          <w:tcPr>
            <w:tcW w:type="dxa" w:w="5112"/>
            <w:vAlign w:val="center"/>
          </w:tcPr>
          <w:p>
            <w:pPr>
              <w:spacing w:after="0" w:line="240" w:lineRule="auto"/>
            </w:pPr>
            <w:r/>
            <w:r>
              <w:rPr>
                <w:rFonts w:ascii="Calibri" w:hAnsi="Calibri"/>
                <w:b w:val="0"/>
                <w:i w:val="0"/>
                <w:sz w:val="18"/>
              </w:rPr>
              <w:t>Jane Street</w:t>
            </w:r>
          </w:p>
        </w:tc>
        <w:tc>
          <w:tcPr>
            <w:tcW w:type="dxa" w:w="5112"/>
            <w:vAlign w:val="center"/>
          </w:tcPr>
          <w:p>
            <w:pPr>
              <w:spacing w:after="0" w:line="240" w:lineRule="auto"/>
            </w:pPr>
            <w:r/>
            <w:r>
              <w:rPr>
                <w:rFonts w:ascii="Calibri" w:hAnsi="Calibri"/>
                <w:b w:val="0"/>
                <w:i w:val="0"/>
                <w:sz w:val="18"/>
              </w:rPr>
              <w:t>Probability, expected value, execution quality, market microstructure, risk-adjusted decision-making.</w:t>
            </w:r>
          </w:p>
        </w:tc>
      </w:tr>
      <w:tr>
        <w:tc>
          <w:tcPr>
            <w:tcW w:type="dxa" w:w="5112"/>
            <w:vAlign w:val="center"/>
          </w:tcPr>
          <w:p>
            <w:pPr>
              <w:spacing w:after="0" w:line="240" w:lineRule="auto"/>
            </w:pPr>
            <w:r/>
            <w:r>
              <w:rPr>
                <w:rFonts w:ascii="Calibri" w:hAnsi="Calibri"/>
                <w:b w:val="0"/>
                <w:i w:val="0"/>
                <w:sz w:val="18"/>
              </w:rPr>
              <w:t>McKinsey / BCG / Bain</w:t>
            </w:r>
          </w:p>
        </w:tc>
        <w:tc>
          <w:tcPr>
            <w:tcW w:type="dxa" w:w="5112"/>
            <w:vAlign w:val="center"/>
          </w:tcPr>
          <w:p>
            <w:pPr>
              <w:spacing w:after="0" w:line="240" w:lineRule="auto"/>
            </w:pPr>
            <w:r/>
            <w:r>
              <w:rPr>
                <w:rFonts w:ascii="Calibri" w:hAnsi="Calibri"/>
                <w:b w:val="0"/>
                <w:i w:val="0"/>
                <w:sz w:val="18"/>
              </w:rPr>
              <w:t>Market sizing, profitability diagnostics, scenario analysis, merger rationale, strategic valuation.</w:t>
            </w:r>
          </w:p>
        </w:tc>
      </w:tr>
      <w:tr>
        <w:tc>
          <w:tcPr>
            <w:tcW w:type="dxa" w:w="5112"/>
            <w:vAlign w:val="center"/>
          </w:tcPr>
          <w:p>
            <w:pPr>
              <w:spacing w:after="0" w:line="240" w:lineRule="auto"/>
            </w:pPr>
            <w:r/>
            <w:r>
              <w:rPr>
                <w:rFonts w:ascii="Calibri" w:hAnsi="Calibri"/>
                <w:b w:val="0"/>
                <w:i w:val="0"/>
                <w:sz w:val="18"/>
              </w:rPr>
              <w:t>Big Four</w:t>
            </w:r>
          </w:p>
        </w:tc>
        <w:tc>
          <w:tcPr>
            <w:tcW w:type="dxa" w:w="5112"/>
            <w:vAlign w:val="center"/>
          </w:tcPr>
          <w:p>
            <w:pPr>
              <w:spacing w:after="0" w:line="240" w:lineRule="auto"/>
            </w:pPr>
            <w:r/>
            <w:r>
              <w:rPr>
                <w:rFonts w:ascii="Calibri" w:hAnsi="Calibri"/>
                <w:b w:val="0"/>
                <w:i w:val="0"/>
                <w:sz w:val="18"/>
              </w:rPr>
              <w:t>Audit support, impairment testing, valuation support, fairness opinions, transaction advisory, financial due diligence.</w:t>
            </w:r>
          </w:p>
        </w:tc>
      </w:tr>
    </w:tbl>
    <w:p>
      <w:pPr>
        <w:spacing w:after="40"/>
      </w:pPr>
    </w:p>
    <w:p>
      <w:pPr>
        <w:pStyle w:val="Heading1"/>
        <w:spacing w:before="120" w:after="60"/>
      </w:pPr>
      <w:r>
        <w:rPr>
          <w:rFonts w:ascii="Calibri" w:hAnsi="Calibri"/>
          <w:b/>
          <w:i w:val="0"/>
          <w:color w:val="1F4E79"/>
          <w:sz w:val="30"/>
        </w:rPr>
        <w:t>Interview Cheat Sheet</w:t>
      </w:r>
    </w:p>
    <w:p>
      <w:pPr>
        <w:pStyle w:val="ListBullet"/>
        <w:spacing w:after="20" w:line="252" w:lineRule="auto"/>
      </w:pPr>
      <w:r>
        <w:rPr>
          <w:rFonts w:ascii="Calibri" w:hAnsi="Calibri"/>
          <w:b w:val="0"/>
          <w:i w:val="0"/>
          <w:sz w:val="20"/>
        </w:rPr>
        <w:t>Always separate value drivers from value outputs.</w:t>
      </w:r>
    </w:p>
    <w:p>
      <w:pPr>
        <w:pStyle w:val="ListBullet"/>
        <w:spacing w:after="20" w:line="252" w:lineRule="auto"/>
      </w:pPr>
      <w:r>
        <w:rPr>
          <w:rFonts w:ascii="Calibri" w:hAnsi="Calibri"/>
          <w:b w:val="0"/>
          <w:i w:val="0"/>
          <w:sz w:val="20"/>
        </w:rPr>
        <w:t>Always check whether a metric is cash-based, accrual-based, or market-based.</w:t>
      </w:r>
    </w:p>
    <w:p>
      <w:pPr>
        <w:pStyle w:val="ListBullet"/>
        <w:spacing w:after="20" w:line="252" w:lineRule="auto"/>
      </w:pPr>
      <w:r>
        <w:rPr>
          <w:rFonts w:ascii="Calibri" w:hAnsi="Calibri"/>
          <w:b w:val="0"/>
          <w:i w:val="0"/>
          <w:sz w:val="20"/>
        </w:rPr>
        <w:t>Always identify whether the question is about operating business value or shareholder value.</w:t>
      </w:r>
    </w:p>
    <w:p>
      <w:pPr>
        <w:pStyle w:val="ListBullet"/>
        <w:spacing w:after="20" w:line="252" w:lineRule="auto"/>
      </w:pPr>
      <w:r>
        <w:rPr>
          <w:rFonts w:ascii="Calibri" w:hAnsi="Calibri"/>
          <w:b w:val="0"/>
          <w:i w:val="0"/>
          <w:sz w:val="20"/>
        </w:rPr>
        <w:t>Always test the sensitivity of your answer to growth, margins, discount rate, and exit multiple.</w:t>
      </w:r>
    </w:p>
    <w:p>
      <w:pPr>
        <w:pStyle w:val="ListBullet"/>
        <w:spacing w:after="20" w:line="252" w:lineRule="auto"/>
      </w:pPr>
      <w:r>
        <w:rPr>
          <w:rFonts w:ascii="Calibri" w:hAnsi="Calibri"/>
          <w:b w:val="0"/>
          <w:i w:val="0"/>
          <w:sz w:val="20"/>
        </w:rPr>
        <w:t>Always mention the limitation of the method you choose.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