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pPr>
      <w:r>
        <w:rPr>
          <w:b/>
          <w:bCs/>
          <w:color w:val="6D28D9"/>
          <w:sz w:val="72"/>
          <w:szCs w:val="72"/>
        </w:rPr>
        <w:t xml:space="preserve">MERIDIAN</w:t>
      </w:r>
    </w:p>
    <w:p>
      <w:pPr>
        <w:spacing w:after="40"/>
      </w:pPr>
      <w:r>
        <w:rPr>
          <w:color w:val="3F3457"/>
          <w:sz w:val="30"/>
          <w:szCs w:val="30"/>
        </w:rPr>
        <w:t xml:space="preserve">Vegetation Risk Intelligence for Electric Utilities</w:t>
      </w:r>
    </w:p>
    <w:p>
      <w:pPr>
        <w:pBdr>
          <w:bottom w:val="single" w:color="8B5CF6" w:sz="12" w:space="8"/>
        </w:pBdr>
        <w:spacing w:after="360"/>
      </w:pPr>
      <w:r>
        <w:rPr>
          <w:i/>
          <w:iCs/>
          <w:color w:val="8B7CA8"/>
          <w:sz w:val="24"/>
          <w:szCs w:val="24"/>
        </w:rPr>
        <w:t xml:space="preserve">Technical &amp; Interview Brief</w:t>
      </w:r>
    </w:p>
    <w:p>
      <w:pPr>
        <w:spacing w:after="120" w:line="276"/>
      </w:pPr>
      <w:r>
        <w:rPr>
          <w:sz w:val="22"/>
          <w:szCs w:val="22"/>
        </w:rPr>
        <w:t xml:space="preserve">A one-document briefing for talking about Meridian out loud: the elevator pitch, the problem domain and regulatory landscape condensed into talking points, the full technical architecture, the design decisions and their trade-offs, a prototype-to-production roadmap, and an anticipated interview Q&amp;A bank.</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CFD" w:sz="1"/>
              <w:left w:val="single" w:color="6D28D9" w:sz="18"/>
              <w:bottom w:val="single" w:color="F3ECFD" w:sz="1"/>
              <w:right w:val="single" w:color="F3ECFD" w:sz="1"/>
            </w:tcBorders>
            <w:shd w:fill="F3ECFD" w:val="clear"/>
            <w:tcMar>
              <w:top w:type="dxa" w:w="140"/>
              <w:left w:type="dxa" w:w="180"/>
              <w:bottom w:type="dxa" w:w="140"/>
              <w:right w:type="dxa" w:w="180"/>
            </w:tcMar>
          </w:tcPr>
          <w:p>
            <w:pPr>
              <w:spacing w:after="60"/>
            </w:pPr>
            <w:r>
              <w:rPr>
                <w:b/>
                <w:bCs/>
                <w:color w:val="6D28D9"/>
                <w:sz w:val="20"/>
                <w:szCs w:val="20"/>
              </w:rPr>
              <w:t xml:space="preserve">How to use this brief</w:t>
            </w:r>
          </w:p>
          <w:p>
            <w:pPr>
              <w:spacing w:after="40" w:line="264"/>
            </w:pPr>
            <w:r>
              <w:rPr>
                <w:sz w:val="20"/>
                <w:szCs w:val="20"/>
              </w:rPr>
              <w:t xml:space="preserve">For deep domain &amp; regulatory reference, see the companion </w:t>
            </w:r>
            <w:r>
              <w:rPr>
                <w:i/>
                <w:iCs/>
                <w:sz w:val="20"/>
                <w:szCs w:val="20"/>
              </w:rPr>
              <w:t xml:space="preserve">Meridian — Product Guide &amp; Domain Reference</w:t>
            </w:r>
            <w:r>
              <w:rPr>
                <w:sz w:val="20"/>
                <w:szCs w:val="20"/>
              </w:rPr>
              <w:t xml:space="preserve">. This brief condenses that material and adds the engineering story.</w:t>
            </w:r>
          </w:p>
          <w:p>
            <w:pPr>
              <w:spacing w:after="40" w:line="264"/>
            </w:pPr>
            <w:r>
              <w:rPr>
                <w:sz w:val="20"/>
                <w:szCs w:val="20"/>
              </w:rPr>
              <w:t xml:space="preserve">Live demo: </w:t>
            </w:r>
            <w:r>
              <w:rPr>
                <w:color w:val="6D28D9"/>
                <w:sz w:val="20"/>
                <w:szCs w:val="20"/>
                <w:u w:val="single"/>
              </w:rPr>
              <w:t xml:space="preserve">https://sattvitripathy.github.io/meridian/</w:t>
            </w:r>
            <w:r>
              <w:rPr>
                <w:sz w:val="20"/>
                <w:szCs w:val="20"/>
              </w:rPr>
              <w:t xml:space="preserve">   ·   Source: </w:t>
            </w:r>
            <w:r>
              <w:rPr>
                <w:color w:val="6D28D9"/>
                <w:sz w:val="20"/>
                <w:szCs w:val="20"/>
                <w:u w:val="single"/>
              </w:rPr>
              <w:t xml:space="preserve">github.com/SattviTripathy/meridian</w:t>
            </w:r>
          </w:p>
          <w:p>
            <w:pPr>
              <w:spacing w:after="40" w:line="264"/>
            </w:pPr>
            <w:r>
              <w:rPr>
                <w:sz w:val="20"/>
                <w:szCs w:val="20"/>
              </w:rPr>
              <w:t xml:space="preserve">All data in the product is </w:t>
            </w:r>
            <w:r>
              <w:rPr>
                <w:b/>
                <w:bCs/>
                <w:sz w:val="20"/>
                <w:szCs w:val="20"/>
              </w:rPr>
              <w:t xml:space="preserve">synthetic, seeded, and fictional</w:t>
            </w:r>
            <w:r>
              <w:rPr>
                <w:sz w:val="20"/>
                <w:szCs w:val="20"/>
              </w:rPr>
              <w:t xml:space="preserve"> — there is no real utility data and no backend. The modeled utility, </w:t>
            </w:r>
            <w:r>
              <w:rPr>
                <w:i/>
                <w:iCs/>
                <w:sz w:val="20"/>
                <w:szCs w:val="20"/>
              </w:rPr>
              <w:t xml:space="preserve">Sierra Crest Power &amp; Electric</w:t>
            </w:r>
            <w:r>
              <w:rPr>
                <w:sz w:val="20"/>
                <w:szCs w:val="20"/>
              </w:rPr>
              <w:t xml:space="preserve">, is invented for demonstration.</w:t>
            </w:r>
          </w:p>
        </w:tc>
      </w:tr>
    </w:tbl>
    <w:p>
      <w:r>
        <w:br w:type="page"/>
      </w:r>
    </w:p>
    <w:p>
      <w:pPr>
        <w:spacing w:after="160"/>
      </w:pPr>
      <w:r>
        <w:rPr>
          <w:b/>
          <w:bCs/>
          <w:color w:val="6D28D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 The Pitch</w:t>
      </w:r>
    </w:p>
    <w:p>
      <w:pPr>
        <w:pStyle w:val="Heading2"/>
      </w:pPr>
      <w:r>
        <w:t xml:space="preserve">1.1  The 30-second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CFD" w:sz="1"/>
              <w:left w:val="single" w:color="6D28D9" w:sz="18"/>
              <w:bottom w:val="single" w:color="F3ECFD" w:sz="1"/>
              <w:right w:val="single" w:color="F3ECFD" w:sz="1"/>
            </w:tcBorders>
            <w:shd w:fill="F3ECFD" w:val="clear"/>
            <w:tcMar>
              <w:top w:type="dxa" w:w="140"/>
              <w:left w:type="dxa" w:w="180"/>
              <w:bottom w:type="dxa" w:w="140"/>
              <w:right w:type="dxa" w:w="180"/>
            </w:tcMar>
          </w:tcPr>
          <w:p>
            <w:pPr>
              <w:spacing w:after="60"/>
            </w:pPr>
            <w:r>
              <w:rPr>
                <w:b/>
                <w:bCs/>
                <w:color w:val="6D28D9"/>
                <w:sz w:val="20"/>
                <w:szCs w:val="20"/>
              </w:rPr>
              <w:t xml:space="preserve">Say this first</w:t>
            </w:r>
          </w:p>
          <w:p>
            <w:pPr>
              <w:spacing w:after="40" w:line="264"/>
            </w:pPr>
            <w:r>
              <w:rPr>
                <w:sz w:val="21"/>
                <w:szCs w:val="21"/>
              </w:rPr>
              <w:t xml:space="preserve">“Meridian is a planning cockpit for electric-utility vegetation management. Utilities are legally required to keep trees clear of power lines, but most still trim on fixed calendar cycles — which over-trims safe areas and under-protects dangerous ones. Meridian scores every line </w:t>
            </w:r>
            <w:r>
              <w:rPr>
                <w:i/>
                <w:iCs/>
                <w:sz w:val="21"/>
                <w:szCs w:val="21"/>
              </w:rPr>
              <w:t xml:space="preserve">span</w:t>
            </w:r>
            <w:r>
              <w:rPr>
                <w:sz w:val="21"/>
                <w:szCs w:val="21"/>
              </w:rPr>
              <w:t xml:space="preserve"> on a 0–100 risk index, forecasts when each one will breach its legal clearance, and — under a fixed budget — picks the exact set of spans that buys down the most risk per dollar. It turns a calendar problem into a prioritization problem.”</w:t>
            </w:r>
          </w:p>
        </w:tc>
      </w:tr>
    </w:tbl>
    <w:p>
      <w:pPr>
        <w:pStyle w:val="Heading2"/>
      </w:pPr>
      <w:r>
        <w:t xml:space="preserve">1.2  The two-minute version</w:t>
      </w:r>
    </w:p>
    <w:p>
      <w:pPr>
        <w:spacing w:after="120" w:line="276"/>
      </w:pPr>
      <w:r>
        <w:t xml:space="preserve">Tree-and-vegetation contact is one of the leading causes of power outages and a leading cause of utility-sparked wildfires — the Dixie Fire (2021, ~963k acres) started with a Douglas fir touching a distribution line. The hard constraint is that there is always more vegetation work than budget, so the real question is never </w:t>
      </w:r>
      <w:r>
        <w:rPr>
          <w:i/>
          <w:iCs/>
        </w:rPr>
        <w:t xml:space="preserve">“is this risky?”</w:t>
      </w:r>
      <w:r>
        <w:t xml:space="preserve"> but </w:t>
      </w:r>
      <w:r>
        <w:rPr>
          <w:i/>
          <w:iCs/>
        </w:rPr>
        <w:t xml:space="preserve">“which work, in what order, for the money we have?”</w:t>
      </w:r>
      <w:r>
        <w:t xml:space="preserve"/>
      </w:r>
    </w:p>
    <w:p>
      <w:pPr>
        <w:spacing w:after="120" w:line="276"/>
      </w:pPr>
      <w:r>
        <w:t xml:space="preserve">Meridian answers that with three moving parts. First, a </w:t>
      </w:r>
      <w:r>
        <w:rPr>
          <w:b/>
          <w:bCs/>
        </w:rPr>
        <w:t xml:space="preserve">Vegetation Risk Index</w:t>
      </w:r>
      <w:r>
        <w:t xml:space="preserve"> blends five factors — encroachment, growth, fire-threat tier, criticality, and access — into a transparent, tunable 0–100 score per span. Second, </w:t>
      </w:r>
      <w:r>
        <w:rPr>
          <w:b/>
          <w:bCs/>
        </w:rPr>
        <w:t xml:space="preserve">time-to-violation</w:t>
      </w:r>
      <w:r>
        <w:t xml:space="preserve"> (clearance headroom ÷ growth rate) converts that score into a deadline, so work can be scheduled against budget cycles and seasonal wildlife windows. Third, a </w:t>
      </w:r>
      <w:r>
        <w:rPr>
          <w:b/>
          <w:bCs/>
        </w:rPr>
        <w:t xml:space="preserve">budget optimizer</w:t>
      </w:r>
      <w:r>
        <w:t xml:space="preserve"> does a greedy risk-per-dollar selection so the next dollar always goes where it removes the most risk. Around that sit a map, an auto-generated compliance register for GO 95 / FAC-003, a crew board, scenario comparison, and an on-device natural-language assistant. It is a zero-backend, offline-capable web app built on entirely synthetic data.</w:t>
      </w:r>
    </w:p>
    <w:p>
      <w:pPr>
        <w:pStyle w:val="Heading2"/>
      </w:pPr>
      <w:r>
        <w:t xml:space="preserve">1.3  Why it is interesting to talk about</w:t>
      </w:r>
    </w:p>
    <w:p>
      <w:pPr>
        <w:pStyle w:val="ListParagraph"/>
        <w:numPr>
          <w:ilvl w:val="0"/>
          <w:numId w:val="2"/>
        </w:numPr>
        <w:spacing w:after="60" w:line="264"/>
      </w:pPr>
      <w:r>
        <w:rPr>
          <w:b/>
          <w:bCs/>
        </w:rPr>
        <w:t xml:space="preserve">Real domain: </w:t>
      </w:r>
      <w:r>
        <w:t xml:space="preserve">it models an actual, regulated problem (utility vegetation management) with its real failure modes, economics, and law — not a toy CRUD app.</w:t>
      </w:r>
    </w:p>
    <w:p>
      <w:pPr>
        <w:pStyle w:val="ListParagraph"/>
        <w:numPr>
          <w:ilvl w:val="0"/>
          <w:numId w:val="2"/>
        </w:numPr>
        <w:spacing w:after="60" w:line="264"/>
      </w:pPr>
      <w:r>
        <w:rPr>
          <w:b/>
          <w:bCs/>
        </w:rPr>
        <w:t xml:space="preserve">A clear thesis: </w:t>
      </w:r>
      <w:r>
        <w:t xml:space="preserve">condition-based prioritization beats fixed-cycle trimming, and the product proves it visually with the spend-efficiency frontier.</w:t>
      </w:r>
    </w:p>
    <w:p>
      <w:pPr>
        <w:pStyle w:val="ListParagraph"/>
        <w:numPr>
          <w:ilvl w:val="0"/>
          <w:numId w:val="2"/>
        </w:numPr>
        <w:spacing w:after="60" w:line="264"/>
      </w:pPr>
      <w:r>
        <w:rPr>
          <w:b/>
          <w:bCs/>
        </w:rPr>
        <w:t xml:space="preserve">Explainable by design: </w:t>
      </w:r>
      <w:r>
        <w:t xml:space="preserve">a transparent weighted-factor model instead of a black box — which matters when a regulator asks “why is this span ranked first?”</w:t>
      </w:r>
    </w:p>
    <w:p>
      <w:pPr>
        <w:pStyle w:val="ListParagraph"/>
        <w:numPr>
          <w:ilvl w:val="0"/>
          <w:numId w:val="2"/>
        </w:numPr>
        <w:spacing w:after="60" w:line="264"/>
      </w:pPr>
      <w:r>
        <w:rPr>
          <w:b/>
          <w:bCs/>
        </w:rPr>
        <w:t xml:space="preserve">Pragmatic engineering: </w:t>
      </w:r>
      <w:r>
        <w:t xml:space="preserve">it deliberately delivers the desirable parts of a “GenAI” concept (recommendations, conversational data access, insights) without a cloud LLM, a database, or a backend — and is honest about that choice.</w:t>
      </w:r>
    </w:p>
    <w:p>
      <w:r>
        <w:br w:type="page"/>
      </w:r>
    </w:p>
    <w:p>
      <w:pPr>
        <w:pStyle w:val="Heading1"/>
      </w:pPr>
      <w:r>
        <w:t xml:space="preserve">2 — The Problem Domain (talking points)</w:t>
      </w:r>
    </w:p>
    <w:p>
      <w:pPr>
        <w:pStyle w:val="Heading2"/>
      </w:pPr>
      <w:r>
        <w:t xml:space="preserve">2.1  The one idea to anchor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CFD" w:sz="1"/>
              <w:left w:val="single" w:color="6D28D9" w:sz="18"/>
              <w:bottom w:val="single" w:color="F3ECFD" w:sz="1"/>
              <w:right w:val="single" w:color="F3ECFD" w:sz="1"/>
            </w:tcBorders>
            <w:shd w:fill="F3ECFD" w:val="clear"/>
            <w:tcMar>
              <w:top w:type="dxa" w:w="140"/>
              <w:left w:type="dxa" w:w="180"/>
              <w:bottom w:type="dxa" w:w="140"/>
              <w:right w:type="dxa" w:w="180"/>
            </w:tcMar>
          </w:tcPr>
          <w:p>
            <w:pPr>
              <w:spacing w:after="60"/>
            </w:pPr>
            <w:r>
              <w:rPr>
                <w:b/>
                <w:bCs/>
                <w:color w:val="6D28D9"/>
                <w:sz w:val="20"/>
                <w:szCs w:val="20"/>
              </w:rPr>
              <w:t xml:space="preserve">The thesis</w:t>
            </w:r>
          </w:p>
          <w:p>
            <w:pPr>
              <w:spacing w:after="40" w:line="264"/>
            </w:pPr>
            <w:r>
              <w:rPr>
                <w:b/>
                <w:bCs/>
                <w:sz w:val="21"/>
                <w:szCs w:val="21"/>
              </w:rPr>
              <w:t xml:space="preserve">Fixed-cycle trimming spends money evenly across the calendar. </w:t>
            </w:r>
            <w:r>
              <w:rPr>
                <w:sz w:val="21"/>
                <w:szCs w:val="21"/>
              </w:rPr>
              <w:t xml:space="preserve">Condition-based trimming spends it where risk is highest right now. The second is cheaper for the same risk reduction — but only if you can rank risk credibly. That ranking is the whole product.</w:t>
            </w:r>
          </w:p>
        </w:tc>
      </w:tr>
    </w:tbl>
    <w:p>
      <w:pPr>
        <w:pStyle w:val="Heading2"/>
      </w:pPr>
      <w:r>
        <w:t xml:space="preserve">2.2  Two failure modes, very different 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Failure mode</w:t>
            </w:r>
          </w:p>
        </w:tc>
        <w:tc>
          <w:tcPr>
            <w:tcW w:type="dxa" w:w="716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What happens / why it matters</w:t>
            </w:r>
          </w:p>
        </w:tc>
      </w:tr>
      <w:tr>
        <w:tc>
          <w:tcPr>
            <w:tcW w:type="dxa" w:w="22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Outage</w:t>
            </w:r>
          </w:p>
        </w:tc>
        <w:tc>
          <w:tcPr>
            <w:tcW w:type="dxa" w:w="71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Vegetation faults the line; customers lose power. Cost = reliability penalties, lost load, truck rolls. High frequency, bounded cost.</w:t>
            </w:r>
          </w:p>
        </w:tc>
      </w:tr>
      <w:tr>
        <w:tc>
          <w:tcPr>
            <w:tcW w:type="dxa" w:w="22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bCs/>
                <w:color w:val="3F3457"/>
                <w:sz w:val="19"/>
                <w:szCs w:val="19"/>
              </w:rPr>
              <w:t xml:space="preserve">Ignition</w:t>
            </w:r>
          </w:p>
        </w:tc>
        <w:tc>
          <w:tcPr>
            <w:tcW w:type="dxa" w:w="71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The same contact, under dry + windy conditions in a high fire-threat area, starts a wildfire. Cost = lives, property, multi-billion-dollar liability, even utility bankruptcy. Low frequency, catastrophic tail. This is why fire-threat is weighted as heavily as encroachment.</w:t>
            </w:r>
          </w:p>
        </w:tc>
      </w:tr>
    </w:tbl>
    <w:p>
      <w:pPr>
        <w:pStyle w:val="Heading2"/>
      </w:pPr>
      <w:r>
        <w:t xml:space="preserve">2.3  Where we operate — the modeled territory</w:t>
      </w:r>
    </w:p>
    <w:p>
      <w:pPr>
        <w:spacing w:after="120" w:line="276"/>
      </w:pPr>
      <w:r>
        <w:t xml:space="preserve">The product models a fictional California utility, </w:t>
      </w:r>
      <w:r>
        <w:rPr>
          <w:i/>
          <w:iCs/>
        </w:rPr>
        <w:t xml:space="preserve">Sierra Crest Power &amp; Electric</w:t>
      </w:r>
      <w:r>
        <w:t xml:space="preserve">, because California concentrates the problem: long dry summers, steep terrain, expanding wildland-urban interface, seasonal offshore winds, and the most stringent regulatory regime in the country. The territory runs west-to-east across three ecological bands that map onto the fire-threat gradient: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500"/>
        <w:gridCol w:w="5710"/>
      </w:tblGrid>
      <w:tr>
        <w:trPr>
          <w:tblHeader/>
        </w:trPr>
        <w:tc>
          <w:tcPr>
            <w:tcW w:type="dxa" w:w="215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Zone</w:t>
            </w:r>
          </w:p>
        </w:tc>
        <w:tc>
          <w:tcPr>
            <w:tcW w:type="dxa" w:w="15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Fire tier</w:t>
            </w:r>
          </w:p>
        </w:tc>
        <w:tc>
          <w:tcPr>
            <w:tcW w:type="dxa" w:w="571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Character &amp; dominant vegetation</w:t>
            </w:r>
          </w:p>
        </w:tc>
      </w:tr>
      <w:tr>
        <w:tc>
          <w:tcPr>
            <w:tcW w:type="dxa" w:w="21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Sacramento Valley</w:t>
            </w:r>
          </w:p>
        </w:tc>
        <w:tc>
          <w:tcPr>
            <w:tcW w:type="dxa" w:w="15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HFTD Tier 1</w:t>
            </w:r>
          </w:p>
        </w:tc>
        <w:tc>
          <w:tcPr>
            <w:tcW w:type="dxa" w:w="57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High customer density, gentle terrain. Valley oak, Fremont cottonwood (fast riparian growth), London plane street trees.</w:t>
            </w:r>
          </w:p>
        </w:tc>
      </w:tr>
      <w:tr>
        <w:tc>
          <w:tcPr>
            <w:tcW w:type="dxa" w:w="21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bCs/>
                <w:color w:val="3F3457"/>
                <w:sz w:val="19"/>
                <w:szCs w:val="19"/>
              </w:rPr>
              <w:t xml:space="preserve">Sierra foothills</w:t>
            </w:r>
          </w:p>
        </w:tc>
        <w:tc>
          <w:tcPr>
            <w:tcW w:type="dxa" w:w="15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HFTD Tier 2</w:t>
            </w:r>
          </w:p>
        </w:tc>
        <w:tc>
          <w:tcPr>
            <w:tcW w:type="dxa" w:w="57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Drier, steeper, brushier. Blue / interior live oak, gray (foothill) pine, chaparral (manzanita, chamise — intense fine fuel).</w:t>
            </w:r>
          </w:p>
        </w:tc>
      </w:tr>
      <w:tr>
        <w:tc>
          <w:tcPr>
            <w:tcW w:type="dxa" w:w="21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Sierra Nevada</w:t>
            </w:r>
          </w:p>
        </w:tc>
        <w:tc>
          <w:tcPr>
            <w:tcW w:type="dxa" w:w="15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HFTD Tier 3</w:t>
            </w:r>
          </w:p>
        </w:tc>
        <w:tc>
          <w:tcPr>
            <w:tcW w:type="dxa" w:w="57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Tall conifers, steep / hard-access terrain, highest ignition consequence. Ponderosa pine, Douglas fir, incense cedar, black oak.</w:t>
            </w:r>
          </w:p>
        </w:tc>
      </w:tr>
    </w:tbl>
    <w:p>
      <w:pPr>
        <w:spacing w:after="120" w:line="276"/>
      </w:pPr>
      <w:r>
        <w:rPr>
          <w:b/>
          <w:bCs/>
        </w:rPr>
        <w:t xml:space="preserve">Talking point: </w:t>
      </w:r>
      <w:r>
        <w:t xml:space="preserve">risk is not uniform — it is a function of what grows where and how fast. The west-to-east gradient is the reason the dataset is generated per-substation with zone-specific species, slopes, and customer densities rather than randomly.</w:t>
      </w:r>
    </w:p>
    <w:p>
      <w:pPr>
        <w:pStyle w:val="Heading2"/>
      </w:pPr>
      <w:r>
        <w:t xml:space="preserve">2.4  The other forces (one-liners)</w:t>
      </w:r>
    </w:p>
    <w:p>
      <w:pPr>
        <w:pStyle w:val="ListParagraph"/>
        <w:numPr>
          <w:ilvl w:val="0"/>
          <w:numId w:val="2"/>
        </w:numPr>
        <w:spacing w:after="60" w:line="264"/>
      </w:pPr>
      <w:r>
        <w:rPr>
          <w:b/>
          <w:bCs/>
        </w:rPr>
        <w:t xml:space="preserve">Drought &amp; tree mortality: </w:t>
      </w:r>
      <w:r>
        <w:t xml:space="preserve">bark-beetle outbreaks have killed 100M+ Sierra trees, leaving standing-dead “hazard trees” that fall in from outside the corridor.</w:t>
      </w:r>
    </w:p>
    <w:p>
      <w:pPr>
        <w:pStyle w:val="ListParagraph"/>
        <w:numPr>
          <w:ilvl w:val="0"/>
          <w:numId w:val="2"/>
        </w:numPr>
        <w:spacing w:after="60" w:line="264"/>
      </w:pPr>
      <w:r>
        <w:rPr>
          <w:b/>
          <w:bCs/>
        </w:rPr>
        <w:t xml:space="preserve">Climate &amp; fire season: </w:t>
      </w:r>
      <w:r>
        <w:t xml:space="preserve">longer, drier seasons widen the window in which a contact becomes an ignition.</w:t>
      </w:r>
    </w:p>
    <w:p>
      <w:pPr>
        <w:pStyle w:val="ListParagraph"/>
        <w:numPr>
          <w:ilvl w:val="0"/>
          <w:numId w:val="2"/>
        </w:numPr>
        <w:spacing w:after="60" w:line="264"/>
      </w:pPr>
      <w:r>
        <w:rPr>
          <w:b/>
          <w:bCs/>
        </w:rPr>
        <w:t xml:space="preserve">Wind: </w:t>
      </w:r>
      <w:r>
        <w:t xml:space="preserve">offshore “Diablo” winds drive both line-slap contacts and rapid spread — the consequence multiplier on a Tier-3 contact.</w:t>
      </w:r>
    </w:p>
    <w:p>
      <w:pPr>
        <w:pStyle w:val="ListParagraph"/>
        <w:numPr>
          <w:ilvl w:val="0"/>
          <w:numId w:val="2"/>
        </w:numPr>
        <w:spacing w:after="60" w:line="264"/>
      </w:pPr>
      <w:r>
        <w:rPr>
          <w:b/>
          <w:bCs/>
        </w:rPr>
        <w:t xml:space="preserve">Wildlife law as a scheduling constraint: </w:t>
      </w:r>
      <w:r>
        <w:t xml:space="preserve">the cheapest time to trim is not always a legal time to trim — nesting birds (MBTA), Swainson’s hawk, spotted owl, and listed species impose seasonal windows. This is precisely why a time-to-violation forecast (schedule ahead) beats reacting at the deadline.</w:t>
      </w:r>
    </w:p>
    <w:p>
      <w:r>
        <w:br w:type="page"/>
      </w:r>
    </w:p>
    <w:p>
      <w:pPr>
        <w:pStyle w:val="Heading1"/>
      </w:pPr>
      <w:r>
        <w:t xml:space="preserve">3 — Regulatory Snapshot (interview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DB" w:sz="1"/>
              <w:left w:val="single" w:color="B45309" w:sz="18"/>
              <w:bottom w:val="single" w:color="FDF0DB" w:sz="1"/>
              <w:right w:val="single" w:color="FDF0DB" w:sz="1"/>
            </w:tcBorders>
            <w:shd w:fill="FDF0DB" w:val="clear"/>
            <w:tcMar>
              <w:top w:type="dxa" w:w="140"/>
              <w:left w:type="dxa" w:w="180"/>
              <w:bottom w:type="dxa" w:w="140"/>
              <w:right w:type="dxa" w:w="180"/>
            </w:tcMar>
          </w:tcPr>
          <w:p>
            <w:pPr>
              <w:spacing w:after="60"/>
            </w:pPr>
            <w:r>
              <w:rPr>
                <w:b/>
                <w:bCs/>
                <w:color w:val="B45309"/>
                <w:sz w:val="20"/>
                <w:szCs w:val="20"/>
              </w:rPr>
              <w:t xml:space="preserve">Framing, not legal advice</w:t>
            </w:r>
          </w:p>
          <w:p>
            <w:pPr>
              <w:spacing w:after="40" w:line="264"/>
            </w:pPr>
            <w:r>
              <w:rPr>
                <w:sz w:val="20"/>
                <w:szCs w:val="20"/>
              </w:rPr>
              <w:t xml:space="preserve">Summaries are simplified for orientation; specific distances and cadences are amended periodically. The point in an interview is to show you know which body governs what, and how those rules show up in the product.</w:t>
            </w:r>
          </w:p>
        </w:tc>
      </w:tr>
    </w:tbl>
    <w:p>
      <w:pPr>
        <w:pStyle w:val="Heading2"/>
      </w:pPr>
      <w:r>
        <w:t xml:space="preserve">3.1  Who governs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3810"/>
      </w:tblGrid>
      <w:tr>
        <w:trPr>
          <w:tblHeader/>
        </w:trPr>
        <w:tc>
          <w:tcPr>
            <w:tcW w:type="dxa" w:w="235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Authority</w:t>
            </w:r>
          </w:p>
        </w:tc>
        <w:tc>
          <w:tcPr>
            <w:tcW w:type="dxa" w:w="32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Scope</w:t>
            </w:r>
          </w:p>
        </w:tc>
        <w:tc>
          <w:tcPr>
            <w:tcW w:type="dxa" w:w="381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Key instruments</w:t>
            </w:r>
          </w:p>
        </w:tc>
      </w:tr>
      <w:tr>
        <w:tc>
          <w:tcPr>
            <w:tcW w:type="dxa" w:w="23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FERC / NERC</w:t>
            </w:r>
          </w:p>
        </w:tc>
        <w:tc>
          <w:tcPr>
            <w:tcW w:type="dxa" w:w="32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Bulk transmission reliability (federal)</w:t>
            </w:r>
          </w:p>
        </w:tc>
        <w:tc>
          <w:tcPr>
            <w:tcW w:type="dxa" w:w="38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FAC-003 (transmission vegetation), MVCD, per-day penalties</w:t>
            </w:r>
          </w:p>
        </w:tc>
      </w:tr>
      <w:tr>
        <w:tc>
          <w:tcPr>
            <w:tcW w:type="dxa" w:w="23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CPUC</w:t>
            </w:r>
          </w:p>
        </w:tc>
        <w:tc>
          <w:tcPr>
            <w:tcW w:type="dxa" w:w="32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Investor-owned utility safety (California)</w:t>
            </w:r>
          </w:p>
        </w:tc>
        <w:tc>
          <w:tcPr>
            <w:tcW w:type="dxa" w:w="38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GO 95 (Rules 18 &amp; 35), GO 165, the HFTD map</w:t>
            </w:r>
          </w:p>
        </w:tc>
      </w:tr>
      <w:tr>
        <w:tc>
          <w:tcPr>
            <w:tcW w:type="dxa" w:w="23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CAL FIRE</w:t>
            </w:r>
          </w:p>
        </w:tc>
        <w:tc>
          <w:tcPr>
            <w:tcW w:type="dxa" w:w="32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Fire safety on state lands</w:t>
            </w:r>
          </w:p>
        </w:tc>
        <w:tc>
          <w:tcPr>
            <w:tcW w:type="dxa" w:w="38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Public Resources Code §§ 4292–4293</w:t>
            </w:r>
          </w:p>
        </w:tc>
      </w:tr>
      <w:tr>
        <w:tc>
          <w:tcPr>
            <w:tcW w:type="dxa" w:w="23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Energy Safety (OEIS)</w:t>
            </w:r>
          </w:p>
        </w:tc>
        <w:tc>
          <w:tcPr>
            <w:tcW w:type="dxa" w:w="32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Wildfire-mitigation oversight (California)</w:t>
            </w:r>
          </w:p>
        </w:tc>
        <w:tc>
          <w:tcPr>
            <w:tcW w:type="dxa" w:w="38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Wildfire Mitigation Plan review, safety certifications</w:t>
            </w:r>
          </w:p>
        </w:tc>
      </w:tr>
      <w:tr>
        <w:tc>
          <w:tcPr>
            <w:tcW w:type="dxa" w:w="23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USFWS / CDFW</w:t>
            </w:r>
          </w:p>
        </w:tc>
        <w:tc>
          <w:tcPr>
            <w:tcW w:type="dxa" w:w="32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Wildlife protection</w:t>
            </w:r>
          </w:p>
        </w:tc>
        <w:tc>
          <w:tcPr>
            <w:tcW w:type="dxa" w:w="38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MBTA, ESA / CESA survey &amp; avoidance</w:t>
            </w:r>
          </w:p>
        </w:tc>
      </w:tr>
    </w:tbl>
    <w:p>
      <w:pPr>
        <w:pStyle w:val="Heading2"/>
      </w:pPr>
      <w:r>
        <w:t xml:space="preserve">3.2  The four you should be able to name</w:t>
      </w:r>
    </w:p>
    <w:p>
      <w:pPr>
        <w:pStyle w:val="ListParagraph"/>
        <w:numPr>
          <w:ilvl w:val="0"/>
          <w:numId w:val="2"/>
        </w:numPr>
        <w:spacing w:after="60" w:line="264"/>
      </w:pPr>
      <w:r>
        <w:rPr>
          <w:b/>
          <w:bCs/>
        </w:rPr>
        <w:t xml:space="preserve">NERC FAC-003: </w:t>
      </w:r>
      <w:r>
        <w:t xml:space="preserve">federal transmission vegetation standard (≈200 kV+). Born directly out of the 2003 Northeast Blackout, which began with untrimmed trees on Ohio transmission lines. Requires minimum clearance distances, annual inspections, and a documented plan.</w:t>
      </w:r>
    </w:p>
    <w:p>
      <w:pPr>
        <w:pStyle w:val="ListParagraph"/>
        <w:numPr>
          <w:ilvl w:val="0"/>
          <w:numId w:val="2"/>
        </w:numPr>
        <w:spacing w:after="60" w:line="264"/>
      </w:pPr>
      <w:r>
        <w:rPr>
          <w:b/>
          <w:bCs/>
        </w:rPr>
        <w:t xml:space="preserve">CPUC GO 95, Rule 35: </w:t>
      </w:r>
      <w:r>
        <w:t xml:space="preserve">the California overhead-line vegetation-clearance rule. In High Fire-Threat Districts it incorporates the PRC minimums and pushes utilities to keep larger “time-of-trim” clearances so a span does not drop below the legal minimum before the next cycle. Rule 18 sets how nonconformances are prioritized (Priority 1/2/3) — which maps to Meridian’s “remediate-by” dates.</w:t>
      </w:r>
    </w:p>
    <w:p>
      <w:pPr>
        <w:pStyle w:val="ListParagraph"/>
        <w:numPr>
          <w:ilvl w:val="0"/>
          <w:numId w:val="2"/>
        </w:numPr>
        <w:spacing w:after="60" w:line="264"/>
      </w:pPr>
      <w:r>
        <w:rPr>
          <w:b/>
          <w:bCs/>
        </w:rPr>
        <w:t xml:space="preserve">PRC §§ 4292–4293 (CAL FIRE): </w:t>
      </w:r>
      <w:r>
        <w:t xml:space="preserve">hard radial minimums — ~10 ft cleared around poles with equipment (4292); and conductor-to-vegetation minimums that rise with voltage (4293): 4 ft at 2.4–72 kV, 6 ft at 72–110 kV, 10 ft above 110 kV, plus removal of dead/diseased trees.</w:t>
      </w:r>
    </w:p>
    <w:p>
      <w:pPr>
        <w:pStyle w:val="ListParagraph"/>
        <w:numPr>
          <w:ilvl w:val="0"/>
          <w:numId w:val="2"/>
        </w:numPr>
        <w:spacing w:after="60" w:line="264"/>
      </w:pPr>
      <w:r>
        <w:rPr>
          <w:b/>
          <w:bCs/>
        </w:rPr>
        <w:t xml:space="preserve">AB 1054 (2019): </w:t>
      </w:r>
      <w:r>
        <w:t xml:space="preserve">landmark post-fire law — created Energy Safety (OEIS), a multi-billion-dollar Wildfire Fund, and tied liability protection to annual safety certifications and Wildfire Mitigation Plans. SB 901 (2018) first required the annual WMPs.</w:t>
      </w:r>
    </w:p>
    <w:p>
      <w:pPr>
        <w:pStyle w:val="Heading2"/>
      </w:pPr>
      <w:r>
        <w:t xml:space="preserve">3.3  How the rules show up in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Regulatory concept</w:t>
            </w:r>
          </w:p>
        </w:tc>
        <w:tc>
          <w:tcPr>
            <w:tcW w:type="dxa" w:w="636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Where it lives in Meridian</w:t>
            </w:r>
          </w:p>
        </w:tc>
      </w:tr>
      <w:tr>
        <w:tc>
          <w:tcPr>
            <w:tcW w:type="dxa" w:w="30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Clearance minimums rise with voltage</w:t>
            </w:r>
          </w:p>
        </w:tc>
        <w:tc>
          <w:tcPr>
            <w:tcW w:type="dxa" w:w="63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Voltage classes (12 / 21 / 60 kV) each carry a base required clearance (4 / 6 / 10 ft).</w:t>
            </w:r>
          </w:p>
        </w:tc>
      </w:tr>
      <w:tr>
        <w:tc>
          <w:tcPr>
            <w:tcW w:type="dxa" w:w="30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Enhanced clearance in fire districts</w:t>
            </w:r>
          </w:p>
        </w:tc>
        <w:tc>
          <w:tcPr>
            <w:tcW w:type="dxa" w:w="63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Required clearance is increased by +4 ft in Tier 2 and +8 ft in Tier 3, so high-voltage Tier-3 spans carry the largest envelope and breach soonest.</w:t>
            </w:r>
          </w:p>
        </w:tc>
      </w:tr>
      <w:tr>
        <w:tc>
          <w:tcPr>
            <w:tcW w:type="dxa" w:w="30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Nonconformance prioritization (GO 95 R18)</w:t>
            </w:r>
          </w:p>
        </w:tc>
        <w:tc>
          <w:tcPr>
            <w:tcW w:type="dxa" w:w="63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The Compliance register sorts active violations first, then projected breaches, with remediation dates from time-to-violation.</w:t>
            </w:r>
          </w:p>
        </w:tc>
      </w:tr>
      <w:tr>
        <w:tc>
          <w:tcPr>
            <w:tcW w:type="dxa" w:w="30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Auditability</w:t>
            </w:r>
          </w:p>
        </w:tc>
        <w:tc>
          <w:tcPr>
            <w:tcW w:type="dxa" w:w="63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The register exports to CSV and prints with authority references (GO 95 / FAC-003 / HFTD tier) per finding.</w:t>
            </w:r>
          </w:p>
        </w:tc>
      </w:tr>
    </w:tbl>
    <w:p>
      <w:r>
        <w:br w:type="page"/>
      </w:r>
    </w:p>
    <w:p>
      <w:pPr>
        <w:pStyle w:val="Heading1"/>
      </w:pPr>
      <w:r>
        <w:t xml:space="preserve">4 — How the Model Works</w:t>
      </w:r>
    </w:p>
    <w:p>
      <w:pPr>
        <w:pStyle w:val="Heading2"/>
      </w:pPr>
      <w:r>
        <w:t xml:space="preserve">4.1  The Vegetation Risk Index (VRI)</w:t>
      </w:r>
    </w:p>
    <w:p>
      <w:pPr>
        <w:spacing w:after="120" w:line="276"/>
      </w:pPr>
      <w:r>
        <w:t xml:space="preserve">Each span scores 0–100. Each of five factors is normalized to 0–1, multiplied by a weight, and the weighted average is scaled to 100. The formula is intentionally simple and transparent:</w:t>
      </w:r>
    </w:p>
    <w:p>
      <w:pPr>
        <w:spacing w:after="120" w:before="60"/>
        <w:jc w:val="center"/>
      </w:pPr>
      <w:r>
        <w:rPr>
          <w:b/>
          <w:bCs/>
          <w:i/>
          <w:iCs/>
          <w:color w:val="6D28D9"/>
          <w:sz w:val="24"/>
          <w:szCs w:val="24"/>
        </w:rPr>
        <w:t xml:space="preserve">VRI = 100 × Σ(factorᵢ × weightᵢ) / Σ(weightᵢ)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00"/>
        <w:gridCol w:w="6210"/>
      </w:tblGrid>
      <w:tr>
        <w:trPr>
          <w:tblHeader/>
        </w:trPr>
        <w:tc>
          <w:tcPr>
            <w:tcW w:type="dxa" w:w="205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Factor</w:t>
            </w:r>
          </w:p>
        </w:tc>
        <w:tc>
          <w:tcPr>
            <w:tcW w:type="dxa" w:w="11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Default wt</w:t>
            </w:r>
          </w:p>
        </w:tc>
        <w:tc>
          <w:tcPr>
            <w:tcW w:type="dxa" w:w="621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What it captures (and how it is computed)</w:t>
            </w:r>
          </w:p>
        </w:tc>
      </w:tr>
      <w:tr>
        <w:tc>
          <w:tcPr>
            <w:tcW w:type="dxa" w:w="20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Encroachment</w:t>
            </w:r>
          </w:p>
        </w:tc>
        <w:tc>
          <w:tcPr>
            <w:tcW w:type="dxa" w:w="11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0.30</w:t>
            </w:r>
          </w:p>
        </w:tc>
        <w:tc>
          <w:tcPr>
            <w:tcW w:type="dxa" w:w="62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Tree-to-conductor headroom vs. required envelope. 1.0 if already in violation; otherwise 1 − margin/20 (zero by 20 ft of headroom).</w:t>
            </w:r>
          </w:p>
        </w:tc>
      </w:tr>
      <w:tr>
        <w:tc>
          <w:tcPr>
            <w:tcW w:type="dxa" w:w="20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bCs/>
                <w:color w:val="3F3457"/>
                <w:sz w:val="19"/>
                <w:szCs w:val="19"/>
              </w:rPr>
              <w:t xml:space="preserve">Fire threat</w:t>
            </w:r>
          </w:p>
        </w:tc>
        <w:tc>
          <w:tcPr>
            <w:tcW w:type="dxa" w:w="11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0.30</w:t>
            </w:r>
          </w:p>
        </w:tc>
        <w:tc>
          <w:tcPr>
            <w:tcW w:type="dxa" w:w="62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HFTD tier mapped to 0.18 / 0.58 / 1.00 for Tier 1 / 2 / 3. Turns an outage into a potential catastrophe.</w:t>
            </w:r>
          </w:p>
        </w:tc>
      </w:tr>
      <w:tr>
        <w:tc>
          <w:tcPr>
            <w:tcW w:type="dxa" w:w="20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Growth</w:t>
            </w:r>
          </w:p>
        </w:tc>
        <w:tc>
          <w:tcPr>
            <w:tcW w:type="dxa" w:w="11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0.20</w:t>
            </w:r>
          </w:p>
        </w:tc>
        <w:tc>
          <w:tcPr>
            <w:tcW w:type="dxa" w:w="62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Species growth rate ÷ 5 ft/yr (cottonwood ≈ max). How fast the gap is closing.</w:t>
            </w:r>
          </w:p>
        </w:tc>
      </w:tr>
      <w:tr>
        <w:tc>
          <w:tcPr>
            <w:tcW w:type="dxa" w:w="20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bCs/>
                <w:color w:val="3F3457"/>
                <w:sz w:val="19"/>
                <w:szCs w:val="19"/>
              </w:rPr>
              <w:t xml:space="preserve">Criticality</w:t>
            </w:r>
          </w:p>
        </w:tc>
        <w:tc>
          <w:tcPr>
            <w:tcW w:type="dxa" w:w="11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0.15</w:t>
            </w:r>
          </w:p>
        </w:tc>
        <w:tc>
          <w:tcPr>
            <w:tcW w:type="dxa" w:w="62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log-scaled customers downstream (70%) + voltage class (30%). How much a fault here hurts.</w:t>
            </w:r>
          </w:p>
        </w:tc>
      </w:tr>
      <w:tr>
        <w:tc>
          <w:tcPr>
            <w:tcW w:type="dxa" w:w="20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Access</w:t>
            </w:r>
          </w:p>
        </w:tc>
        <w:tc>
          <w:tcPr>
            <w:tcW w:type="dxa" w:w="11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0.05</w:t>
            </w:r>
          </w:p>
        </w:tc>
        <w:tc>
          <w:tcPr>
            <w:tcW w:type="dxa" w:w="62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Terrain slope (÷35°) + a hard-access flag. Affects response time and trim cost.</w:t>
            </w:r>
          </w:p>
        </w:tc>
      </w:tr>
    </w:tbl>
    <w:p>
      <w:pPr>
        <w:spacing w:after="120" w:line="276"/>
      </w:pPr>
      <w:r>
        <w:t xml:space="preserve">Because weights are explicit and user-tunable (Scenario Compare), the same network re-ranks under a “fire-forward” vs. a “reliability-forward” posture — and you can show a regulator exactly how the plan changes.</w:t>
      </w:r>
    </w:p>
    <w:p>
      <w:pPr>
        <w:pStyle w:val="Heading2"/>
      </w:pPr>
      <w:r>
        <w:t xml:space="preserve">4.2  Time-to-violation — a score becomes a deadline</w:t>
      </w:r>
    </w:p>
    <w:p>
      <w:pPr>
        <w:spacing w:after="120" w:line="276"/>
      </w:pPr>
      <w:r>
        <w:t xml:space="preserve">A score says how bad; it does not say when. </w:t>
      </w:r>
      <w:r>
        <w:rPr>
          <w:b/>
          <w:bCs/>
        </w:rPr>
        <w:t xml:space="preserve">time-to-violation = (current clearance − required clearance) ÷ growth rate</w:t>
      </w:r>
      <w:r>
        <w:t xml:space="preserve">, in months. A span 4 ft clear of a 2 ft/yr conifer breaches in ~24 months; a span already inside its envelope reads “in violation.” Planners think in deadlines — this field is what lets them schedule against budget cycles, crew capacity, and wildlife windows.</w:t>
      </w:r>
    </w:p>
    <w:p>
      <w:pPr>
        <w:pStyle w:val="Heading2"/>
      </w:pPr>
      <w:r>
        <w:t xml:space="preserve">4.3  Consequence &amp; the synthetic dataset</w:t>
      </w:r>
    </w:p>
    <w:p>
      <w:pPr>
        <w:spacing w:after="120" w:line="276"/>
      </w:pPr>
      <w:r>
        <w:rPr>
          <w:b/>
          <w:bCs/>
        </w:rPr>
        <w:t xml:space="preserve">Consequence</w:t>
      </w:r>
      <w:r>
        <w:t xml:space="preserve"> is estimated separately from likelihood as customers-downstream × a fire multiplier (Tier 3 largest), which drives the optimizer’s “customers protected” objective. The whole dataset is produced by a </w:t>
      </w:r>
      <w:r>
        <w:rPr>
          <w:b/>
          <w:bCs/>
        </w:rPr>
        <w:t xml:space="preserve">deterministic seeded generator</w:t>
      </w:r>
      <w:r>
        <w:t xml:space="preserve"> (so the demo is identical on every reload) and is entirely fictional: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Attribute</w:t>
            </w:r>
          </w:p>
        </w:tc>
        <w:tc>
          <w:tcPr>
            <w:tcW w:type="dxa" w:w="596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Value</w:t>
            </w:r>
          </w:p>
        </w:tc>
      </w:tr>
      <w:tr>
        <w:tc>
          <w:tcPr>
            <w:tcW w:type="dxa" w:w="34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Utility (fictional)</w:t>
            </w:r>
          </w:p>
        </w:tc>
        <w:tc>
          <w:tcPr>
            <w:tcW w:type="dxa" w:w="59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Sierra Crest Power &amp; Electric</w:t>
            </w:r>
          </w:p>
        </w:tc>
      </w:tr>
      <w:tr>
        <w:tc>
          <w:tcPr>
            <w:tcW w:type="dxa" w:w="34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Territory</w:t>
            </w:r>
          </w:p>
        </w:tc>
        <w:tc>
          <w:tcPr>
            <w:tcW w:type="dxa" w:w="59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Sacramento Valley → Sierra Nevada foothills, CA</w:t>
            </w:r>
          </w:p>
        </w:tc>
      </w:tr>
      <w:tr>
        <w:tc>
          <w:tcPr>
            <w:tcW w:type="dxa" w:w="34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Scale</w:t>
            </w:r>
          </w:p>
        </w:tc>
        <w:tc>
          <w:tcPr>
            <w:tcW w:type="dxa" w:w="59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≈570 spans · 21 circuits · 6 substations · ~4,180 line-miles</w:t>
            </w:r>
          </w:p>
        </w:tc>
      </w:tr>
      <w:tr>
        <w:tc>
          <w:tcPr>
            <w:tcW w:type="dxa" w:w="34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Fire gradient</w:t>
            </w:r>
          </w:p>
        </w:tc>
        <w:tc>
          <w:tcPr>
            <w:tcW w:type="dxa" w:w="59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HFTD Tier 1 (valley) → Tier 2 (foothills) → Tier 3 (Sierra)</w:t>
            </w:r>
          </w:p>
        </w:tc>
      </w:tr>
      <w:tr>
        <w:tc>
          <w:tcPr>
            <w:tcW w:type="dxa" w:w="34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Annual VM budget</w:t>
            </w:r>
          </w:p>
        </w:tc>
        <w:tc>
          <w:tcPr>
            <w:tcW w:type="dxa" w:w="59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$850,000 — set deliberately below the ~$1.47M backlog so prioritization actually bites</w:t>
            </w:r>
          </w:p>
        </w:tc>
      </w:tr>
    </w:tbl>
    <w:p>
      <w:r>
        <w:br w:type="page"/>
      </w:r>
    </w:p>
    <w:p>
      <w:pPr>
        <w:pStyle w:val="Heading1"/>
      </w:pPr>
      <w:r>
        <w:t xml:space="preserve">5 — Technical Architecture</w:t>
      </w:r>
    </w:p>
    <w:p>
      <w:pPr>
        <w:pStyle w:val="Heading2"/>
      </w:pPr>
      <w:r>
        <w:t xml:space="preserve">5.1  The shape of the system</w:t>
      </w:r>
    </w:p>
    <w:p>
      <w:pPr>
        <w:spacing w:after="120" w:line="276"/>
      </w:pPr>
      <w:r>
        <w:t xml:space="preserve">Meridian is a </w:t>
      </w:r>
      <w:r>
        <w:rPr>
          <w:b/>
          <w:bCs/>
        </w:rPr>
        <w:t xml:space="preserve">100% client-side, static, single-page web application</w:t>
      </w:r>
      <w:r>
        <w:t xml:space="preserve"> — no backend, no database, no API, no build step. Everything (data generation, scoring, optimization, charts, the assistant) runs in the browser. This is a deliberate architecture, not a limitation of scope (see §6 and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CFD" w:sz="1"/>
              <w:left w:val="single" w:color="6D28D9" w:sz="18"/>
              <w:bottom w:val="single" w:color="F3ECFD" w:sz="1"/>
              <w:right w:val="single" w:color="F3ECFD" w:sz="1"/>
            </w:tcBorders>
            <w:shd w:fill="F3ECFD" w:val="clear"/>
            <w:tcMar>
              <w:top w:type="dxa" w:w="140"/>
              <w:left w:type="dxa" w:w="180"/>
              <w:bottom w:type="dxa" w:w="140"/>
              <w:right w:type="dxa" w:w="180"/>
            </w:tcMar>
          </w:tcPr>
          <w:p>
            <w:pPr>
              <w:spacing w:after="60"/>
            </w:pPr>
            <w:r>
              <w:rPr>
                <w:b/>
                <w:bCs/>
                <w:color w:val="6D28D9"/>
                <w:sz w:val="20"/>
                <w:szCs w:val="20"/>
              </w:rPr>
              <w:t xml:space="preserve">Runtime data flow (all in-browser)</w:t>
            </w:r>
          </w:p>
          <w:p>
            <w:pPr>
              <w:spacing w:after="40" w:line="264"/>
            </w:pPr>
            <w:r>
              <w:rPr>
                <w:rFonts w:ascii="Consolas" w:cs="Consolas" w:eastAsia="Consolas" w:hAnsi="Consolas"/>
                <w:color w:val="5B21B6"/>
                <w:sz w:val="19"/>
                <w:szCs w:val="19"/>
              </w:rPr>
              <w:t xml:space="preserve">data.js  </w:t>
            </w:r>
          </w:p>
          <w:p>
            <w:pPr>
              <w:spacing w:after="40" w:line="264"/>
            </w:pPr>
            <w:r>
              <w:rPr>
                <w:sz w:val="20"/>
                <w:szCs w:val="20"/>
              </w:rPr>
              <w:t xml:space="preserve">   seeded generator → ~570 span objects + factor scores</w:t>
            </w:r>
          </w:p>
          <w:p>
            <w:pPr>
              <w:spacing w:after="40" w:line="264"/>
            </w:pPr>
            <w:r>
              <w:rPr>
                <w:rFonts w:ascii="Consolas" w:cs="Consolas" w:eastAsia="Consolas" w:hAnsi="Consolas"/>
                <w:color w:val="5B21B6"/>
                <w:sz w:val="19"/>
                <w:szCs w:val="19"/>
              </w:rPr>
              <w:t xml:space="preserve">   │</w:t>
            </w:r>
          </w:p>
          <w:p>
            <w:pPr>
              <w:spacing w:after="40" w:line="264"/>
            </w:pPr>
            <w:r>
              <w:rPr>
                <w:rFonts w:ascii="Consolas" w:cs="Consolas" w:eastAsia="Consolas" w:hAnsi="Consolas"/>
                <w:color w:val="5B21B6"/>
                <w:sz w:val="19"/>
                <w:szCs w:val="19"/>
              </w:rPr>
              <w:t xml:space="preserve">   ▼</w:t>
            </w:r>
          </w:p>
          <w:p>
            <w:pPr>
              <w:spacing w:after="40" w:line="264"/>
            </w:pPr>
            <w:r>
              <w:rPr>
                <w:rFonts w:ascii="Consolas" w:cs="Consolas" w:eastAsia="Consolas" w:hAnsi="Consolas"/>
                <w:color w:val="5B21B6"/>
                <w:sz w:val="19"/>
                <w:szCs w:val="19"/>
              </w:rPr>
              <w:t xml:space="preserve">app.js   </w:t>
            </w:r>
          </w:p>
          <w:p>
            <w:pPr>
              <w:spacing w:after="40" w:line="264"/>
            </w:pPr>
            <w:r>
              <w:rPr>
                <w:sz w:val="20"/>
                <w:szCs w:val="20"/>
              </w:rPr>
              <w:t xml:space="preserve">   state (weights, work, scenarios) ← localStorage</w:t>
            </w:r>
          </w:p>
          <w:p>
            <w:pPr>
              <w:spacing w:after="40" w:line="264"/>
            </w:pPr>
            <w:r>
              <w:rPr>
                <w:rFonts w:ascii="Consolas" w:cs="Consolas" w:eastAsia="Consolas" w:hAnsi="Consolas"/>
                <w:color w:val="5B21B6"/>
                <w:sz w:val="19"/>
                <w:szCs w:val="19"/>
              </w:rPr>
              <w:t xml:space="preserve">   │        router → 8 views</w:t>
            </w:r>
          </w:p>
          <w:p>
            <w:pPr>
              <w:spacing w:after="40" w:line="264"/>
            </w:pPr>
            <w:r>
              <w:rPr>
                <w:rFonts w:ascii="Consolas" w:cs="Consolas" w:eastAsia="Consolas" w:hAnsi="Consolas"/>
                <w:color w:val="5B21B6"/>
                <w:sz w:val="19"/>
                <w:szCs w:val="19"/>
              </w:rPr>
              <w:t xml:space="preserve">   ▼</w:t>
            </w:r>
          </w:p>
          <w:p>
            <w:pPr>
              <w:spacing w:after="40" w:line="264"/>
            </w:pPr>
            <w:r>
              <w:rPr>
                <w:sz w:val="20"/>
                <w:szCs w:val="20"/>
              </w:rPr>
              <w:t xml:space="preserve">   render: hand-rolled SVG  ·  Leaflet basemap  ·  hand-rolled SVG charts</w:t>
            </w:r>
          </w:p>
          <w:p>
            <w:pPr>
              <w:spacing w:after="40" w:line="264"/>
            </w:pPr>
            <w:r>
              <w:rPr>
                <w:rFonts w:ascii="Consolas" w:cs="Consolas" w:eastAsia="Consolas" w:hAnsi="Consolas"/>
                <w:color w:val="5B21B6"/>
                <w:sz w:val="19"/>
                <w:szCs w:val="19"/>
              </w:rPr>
              <w:t xml:space="preserve">   ▲</w:t>
            </w:r>
          </w:p>
          <w:p>
            <w:pPr>
              <w:spacing w:after="40" w:line="264"/>
            </w:pPr>
            <w:r>
              <w:rPr>
                <w:sz w:val="20"/>
                <w:szCs w:val="20"/>
              </w:rPr>
              <w:t xml:space="preserve">   user actions → recompute scores → re-render → persist to localStorage</w:t>
            </w:r>
          </w:p>
          <w:p>
            <w:pPr>
              <w:spacing w:after="40" w:line="264"/>
            </w:pPr>
            <w:r>
              <w:rPr>
                <w:i/>
                <w:iCs/>
                <w:sz w:val="20"/>
                <w:szCs w:val="20"/>
              </w:rPr>
              <w:t xml:space="preserve">sw.js → caches the app shell so the whole thing runs offline.</w:t>
            </w:r>
          </w:p>
        </w:tc>
      </w:tr>
    </w:tbl>
    <w:p>
      <w:pPr>
        <w:pStyle w:val="Heading2"/>
      </w:pPr>
      <w:r>
        <w:t xml:space="preserve">5.2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Layer</w:t>
            </w:r>
          </w:p>
        </w:tc>
        <w:tc>
          <w:tcPr>
            <w:tcW w:type="dxa" w:w="676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Choice</w:t>
            </w:r>
          </w:p>
        </w:tc>
      </w:tr>
      <w:tr>
        <w:tc>
          <w:tcPr>
            <w:tcW w:type="dxa" w:w="26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Language / framework</w:t>
            </w:r>
          </w:p>
        </w:tc>
        <w:tc>
          <w:tcPr>
            <w:tcW w:type="dxa" w:w="67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Vanilla JavaScript (ES2020), no framework, no transpiler, no bundler.</w:t>
            </w:r>
          </w:p>
        </w:tc>
      </w:tr>
      <w:tr>
        <w:tc>
          <w:tcPr>
            <w:tcW w:type="dxa" w:w="26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Markup / style</w:t>
            </w:r>
          </w:p>
        </w:tc>
        <w:tc>
          <w:tcPr>
            <w:tcW w:type="dxa" w:w="67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Single index.html + one hand-written CSS file (CSS custom properties for theming).</w:t>
            </w:r>
          </w:p>
        </w:tc>
      </w:tr>
      <w:tr>
        <w:tc>
          <w:tcPr>
            <w:tcW w:type="dxa" w:w="26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Geographic map</w:t>
            </w:r>
          </w:p>
        </w:tc>
        <w:tc>
          <w:tcPr>
            <w:tcW w:type="dxa" w:w="67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Leaflet + OpenStreetMap / CARTO tiles (CDN). The only network dependency.</w:t>
            </w:r>
          </w:p>
        </w:tc>
      </w:tr>
      <w:tr>
        <w:tc>
          <w:tcPr>
            <w:tcW w:type="dxa" w:w="26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Schematic map &amp; all charts</w:t>
            </w:r>
          </w:p>
        </w:tc>
        <w:tc>
          <w:tcPr>
            <w:tcW w:type="dxa" w:w="67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Hand-rolled inline SVG — zero charting libraries, works offline.</w:t>
            </w:r>
          </w:p>
        </w:tc>
      </w:tr>
      <w:tr>
        <w:tc>
          <w:tcPr>
            <w:tcW w:type="dxa" w:w="26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Persistence</w:t>
            </w:r>
          </w:p>
        </w:tc>
        <w:tc>
          <w:tcPr>
            <w:tcW w:type="dxa" w:w="67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Browser localStorage (work orders, weights, saved scenarios).</w:t>
            </w:r>
          </w:p>
        </w:tc>
      </w:tr>
      <w:tr>
        <w:tc>
          <w:tcPr>
            <w:tcW w:type="dxa" w:w="26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Offline / installability</w:t>
            </w:r>
          </w:p>
        </w:tc>
        <w:tc>
          <w:tcPr>
            <w:tcW w:type="dxa" w:w="67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Service worker (cache-first app shell) + web app manifest = installable PWA.</w:t>
            </w:r>
          </w:p>
        </w:tc>
      </w:tr>
      <w:tr>
        <w:tc>
          <w:tcPr>
            <w:tcW w:type="dxa" w:w="26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Build / deploy</w:t>
            </w:r>
          </w:p>
        </w:tc>
        <w:tc>
          <w:tcPr>
            <w:tcW w:type="dxa" w:w="67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No build. Static files served as-is; deployed on GitHub Pages from main.</w:t>
            </w:r>
          </w:p>
        </w:tc>
      </w:tr>
      <w:tr>
        <w:tc>
          <w:tcPr>
            <w:tcW w:type="dxa" w:w="26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Tooling</w:t>
            </w:r>
          </w:p>
        </w:tc>
        <w:tc>
          <w:tcPr>
            <w:tcW w:type="dxa" w:w="676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A tiny zero-dependency Node script generates PNG icons; this docs/ folder uses the docx lib only for these documents.</w:t>
            </w:r>
          </w:p>
        </w:tc>
      </w:tr>
    </w:tbl>
    <w:p>
      <w:pPr>
        <w:pStyle w:val="Heading2"/>
      </w:pPr>
      <w:r>
        <w:t xml:space="preserve">5.3  The data &amp; scoring engine (data.js)</w:t>
      </w:r>
    </w:p>
    <w:p>
      <w:pPr>
        <w:spacing w:after="120" w:line="276"/>
      </w:pPr>
      <w:r>
        <w:t xml:space="preserve">A single self-contained module that owns the domain. It exposes pure functions and a generator:</w:t>
      </w:r>
    </w:p>
    <w:p>
      <w:pPr>
        <w:pStyle w:val="ListParagraph"/>
        <w:numPr>
          <w:ilvl w:val="0"/>
          <w:numId w:val="2"/>
        </w:numPr>
        <w:spacing w:after="60" w:line="264"/>
      </w:pPr>
      <w:r>
        <w:rPr>
          <w:b/>
          <w:bCs/>
        </w:rPr>
        <w:t xml:space="preserve">Seeded PRNG (mulberry32): </w:t>
      </w:r>
      <w:r>
        <w:t xml:space="preserve">a 32-bit deterministic generator seeded with a fixed constant, so every reload yields the identical network — essential for a demo and for reproducible screenshots.</w:t>
      </w:r>
    </w:p>
    <w:p>
      <w:pPr>
        <w:pStyle w:val="ListParagraph"/>
        <w:numPr>
          <w:ilvl w:val="0"/>
          <w:numId w:val="2"/>
        </w:numPr>
        <w:spacing w:after="60" w:line="264"/>
      </w:pPr>
      <w:r>
        <w:rPr>
          <w:b/>
          <w:bCs/>
        </w:rPr>
        <w:t xml:space="preserve">Domain catalogs: </w:t>
      </w:r>
      <w:r>
        <w:t xml:space="preserve">species (growth rate, canopy size, conifer flag), substations (zone, tier, location, species mix, slope, customer base), voltage classes, and crews — these encode the west-to-east gradient.</w:t>
      </w:r>
    </w:p>
    <w:p>
      <w:pPr>
        <w:pStyle w:val="ListParagraph"/>
        <w:numPr>
          <w:ilvl w:val="0"/>
          <w:numId w:val="2"/>
        </w:numPr>
        <w:spacing w:after="60" w:line="264"/>
      </w:pPr>
      <w:r>
        <w:rPr>
          <w:rFonts w:ascii="Consolas" w:cs="Consolas" w:eastAsia="Consolas" w:hAnsi="Consolas"/>
          <w:color w:val="5B21B6"/>
          <w:sz w:val="19"/>
          <w:szCs w:val="19"/>
        </w:rPr>
        <w:t xml:space="preserve">generate()</w:t>
      </w:r>
      <w:r>
        <w:t xml:space="preserve"> builds radial feeders: a trunk of poles stepping outward from each substation with occasional lateral branches, producing geographically plausible circuits. Customer counts decay outward along the feeder.</w:t>
      </w:r>
    </w:p>
    <w:p>
      <w:pPr>
        <w:pStyle w:val="ListParagraph"/>
        <w:numPr>
          <w:ilvl w:val="0"/>
          <w:numId w:val="2"/>
        </w:numPr>
        <w:spacing w:after="60" w:line="264"/>
      </w:pPr>
      <w:r>
        <w:rPr>
          <w:b/>
          <w:bCs/>
        </w:rPr>
        <w:t xml:space="preserve">Pure scoring functions: </w:t>
      </w:r>
      <w:r>
        <w:rPr>
          <w:rFonts w:ascii="Consolas" w:cs="Consolas" w:eastAsia="Consolas" w:hAnsi="Consolas"/>
          <w:color w:val="5B21B6"/>
          <w:sz w:val="19"/>
          <w:szCs w:val="19"/>
        </w:rPr>
        <w:t xml:space="preserve">factorsFor()</w:t>
      </w:r>
      <w:r>
        <w:t xml:space="preserve">, </w:t>
      </w:r>
      <w:r>
        <w:rPr>
          <w:rFonts w:ascii="Consolas" w:cs="Consolas" w:eastAsia="Consolas" w:hAnsi="Consolas"/>
          <w:color w:val="5B21B6"/>
          <w:sz w:val="19"/>
          <w:szCs w:val="19"/>
        </w:rPr>
        <w:t xml:space="preserve">computeVRI(span, weights)</w:t>
      </w:r>
      <w:r>
        <w:t xml:space="preserve">, </w:t>
      </w:r>
      <w:r>
        <w:rPr>
          <w:rFonts w:ascii="Consolas" w:cs="Consolas" w:eastAsia="Consolas" w:hAnsi="Consolas"/>
          <w:color w:val="5B21B6"/>
          <w:sz w:val="19"/>
          <w:szCs w:val="19"/>
        </w:rPr>
        <w:t xml:space="preserve">timeToViolation()</w:t>
      </w:r>
      <w:r>
        <w:t xml:space="preserve">, </w:t>
      </w:r>
      <w:r>
        <w:rPr>
          <w:rFonts w:ascii="Consolas" w:cs="Consolas" w:eastAsia="Consolas" w:hAnsi="Consolas"/>
          <w:color w:val="5B21B6"/>
          <w:sz w:val="19"/>
          <w:szCs w:val="19"/>
        </w:rPr>
        <w:t xml:space="preserve">consequence()</w:t>
      </w:r>
      <w:r>
        <w:t xml:space="preserve"> — no side effects, which makes them trivially re-runnable when weights change.</w:t>
      </w:r>
    </w:p>
    <w:p>
      <w:pPr>
        <w:pStyle w:val="Heading2"/>
      </w:pPr>
      <w:r>
        <w:t xml:space="preserve">5.4  The application layer (app.js)</w:t>
      </w:r>
    </w:p>
    <w:p>
      <w:pPr>
        <w:pStyle w:val="ListParagraph"/>
        <w:numPr>
          <w:ilvl w:val="0"/>
          <w:numId w:val="2"/>
        </w:numPr>
        <w:spacing w:after="60" w:line="264"/>
      </w:pPr>
      <w:r>
        <w:rPr>
          <w:b/>
          <w:bCs/>
        </w:rPr>
        <w:t xml:space="preserve">Single IIFE, no framework. </w:t>
      </w:r>
      <w:r>
        <w:t xml:space="preserve">State lives in a handful of module-scoped variables; a ~10-line </w:t>
      </w:r>
      <w:r>
        <w:rPr>
          <w:rFonts w:ascii="Consolas" w:cs="Consolas" w:eastAsia="Consolas" w:hAnsi="Consolas"/>
          <w:color w:val="5B21B6"/>
          <w:sz w:val="19"/>
          <w:szCs w:val="19"/>
        </w:rPr>
        <w:t xml:space="preserve">go(view)</w:t>
      </w:r>
      <w:r>
        <w:t xml:space="preserve"> function is the entire router for the 8 views.</w:t>
      </w:r>
    </w:p>
    <w:p>
      <w:pPr>
        <w:pStyle w:val="ListParagraph"/>
        <w:numPr>
          <w:ilvl w:val="0"/>
          <w:numId w:val="2"/>
        </w:numPr>
        <w:spacing w:after="60" w:line="264"/>
      </w:pPr>
      <w:r>
        <w:rPr>
          <w:b/>
          <w:bCs/>
        </w:rPr>
        <w:t xml:space="preserve">Render-on-change. </w:t>
      </w:r>
      <w:r>
        <w:t xml:space="preserve">Each view is a function that writes an HTML string into the main panel and wires its own event handlers. Changing a weight calls </w:t>
      </w:r>
      <w:r>
        <w:rPr>
          <w:rFonts w:ascii="Consolas" w:cs="Consolas" w:eastAsia="Consolas" w:hAnsi="Consolas"/>
          <w:color w:val="5B21B6"/>
          <w:sz w:val="19"/>
          <w:szCs w:val="19"/>
        </w:rPr>
        <w:t xml:space="preserve">recomputeAll()</w:t>
      </w:r>
      <w:r>
        <w:t xml:space="preserve"> then re-renders — no virtual DOM, no reactivity framework, and it is fast enough at this scale.</w:t>
      </w:r>
    </w:p>
    <w:p>
      <w:pPr>
        <w:pStyle w:val="ListParagraph"/>
        <w:numPr>
          <w:ilvl w:val="0"/>
          <w:numId w:val="2"/>
        </w:numPr>
        <w:spacing w:after="60" w:line="264"/>
      </w:pPr>
      <w:r>
        <w:rPr>
          <w:b/>
          <w:bCs/>
        </w:rPr>
        <w:t xml:space="preserve">Hybrid map. </w:t>
      </w:r>
      <w:r>
        <w:t xml:space="preserve">A custom lat/lng → viewport projection draws the schematic SVG; the same span set feeds Leaflet polylines for the geographic view. Both share one risk-color ramp.</w:t>
      </w:r>
    </w:p>
    <w:p>
      <w:pPr>
        <w:pStyle w:val="ListParagraph"/>
        <w:numPr>
          <w:ilvl w:val="0"/>
          <w:numId w:val="2"/>
        </w:numPr>
        <w:spacing w:after="60" w:line="264"/>
      </w:pPr>
      <w:r>
        <w:rPr>
          <w:b/>
          <w:bCs/>
        </w:rPr>
        <w:t xml:space="preserve">Hand-rolled SVG charts. </w:t>
      </w:r>
      <w:r>
        <w:t xml:space="preserve">The 24-month projection, tier donut, circuit/species bars, spend-efficiency frontier, and margin histogram are all generated as SVG strings — no dependency, fully offline, and styled to match.</w:t>
      </w:r>
    </w:p>
    <w:p>
      <w:pPr>
        <w:pStyle w:val="Heading2"/>
      </w:pPr>
      <w:r>
        <w:t xml:space="preserve">5.5  The budget optimizer</w:t>
      </w:r>
    </w:p>
    <w:p>
      <w:pPr>
        <w:spacing w:after="120" w:line="276"/>
      </w:pPr>
      <w:r>
        <w:t xml:space="preserve">Given a budget and an objective (risk / customers / fire-tier), it computes each candidate span’s </w:t>
      </w:r>
      <w:r>
        <w:rPr>
          <w:b/>
          <w:bCs/>
        </w:rPr>
        <w:t xml:space="preserve">value-per-dollar</w:t>
      </w:r>
      <w:r>
        <w:t xml:space="preserve">, sorts descending, and greedily funds spans until the budget is exhausted. It simultaneously builds the full </w:t>
      </w:r>
      <w:r>
        <w:rPr>
          <w:b/>
          <w:bCs/>
        </w:rPr>
        <w:t xml:space="preserve">spend-efficiency frontier</w:t>
      </w:r>
      <w:r>
        <w:t xml:space="preserve"> (cumulative risk reduced vs. cumulative dollars) whose steep early slope is the visual proof that the first dollars clear the worst spans. Complexity is O(n log n), dominated by the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CFD" w:sz="1"/>
              <w:left w:val="single" w:color="6D28D9" w:sz="18"/>
              <w:bottom w:val="single" w:color="F3ECFD" w:sz="1"/>
              <w:right w:val="single" w:color="F3ECFD" w:sz="1"/>
            </w:tcBorders>
            <w:shd w:fill="F3ECFD" w:val="clear"/>
            <w:tcMar>
              <w:top w:type="dxa" w:w="140"/>
              <w:left w:type="dxa" w:w="180"/>
              <w:bottom w:type="dxa" w:w="140"/>
              <w:right w:type="dxa" w:w="180"/>
            </w:tcMar>
          </w:tcPr>
          <w:p>
            <w:pPr>
              <w:spacing w:after="60"/>
            </w:pPr>
            <w:r>
              <w:rPr>
                <w:b/>
                <w:bCs/>
                <w:color w:val="6D28D9"/>
                <w:sz w:val="20"/>
                <w:szCs w:val="20"/>
              </w:rPr>
              <w:t xml:space="preserve">Why greedy and not a “real” optimizer</w:t>
            </w:r>
          </w:p>
          <w:p>
            <w:pPr>
              <w:spacing w:after="40" w:line="264"/>
            </w:pPr>
            <w:r>
              <w:rPr>
                <w:sz w:val="20"/>
                <w:szCs w:val="20"/>
              </w:rPr>
              <w:t xml:space="preserve">The exact form (maximize value subject to a cost budget) is the 0/1 knapsack problem, which is NP-hard. But because trim costs are tiny relative to the budget and items are near-divisible in aggregate, the greedy value-per-dollar solution is provably near-optimal here — and, crucially, it is explainable: every funded span has an obvious reason. For this domain, defensibility beats squeezing out the last fraction of a percent.</w:t>
            </w:r>
          </w:p>
        </w:tc>
      </w:tr>
    </w:tbl>
    <w:p>
      <w:pPr>
        <w:pStyle w:val="Heading2"/>
      </w:pPr>
      <w:r>
        <w:t xml:space="preserve">5.6  Ask Meridian — the on-device NL assistant</w:t>
      </w:r>
    </w:p>
    <w:p>
      <w:pPr>
        <w:spacing w:after="120" w:line="276"/>
      </w:pPr>
      <w:r>
        <w:t xml:space="preserve">A natural-language query layer that runs </w:t>
      </w:r>
      <w:r>
        <w:rPr>
          <w:b/>
          <w:bCs/>
        </w:rPr>
        <w:t xml:space="preserve">entirely in the browser</w:t>
      </w:r>
      <w:r>
        <w:t xml:space="preserve"> — no LLM, no API key, no network, nothing leaves the device. </w:t>
      </w:r>
      <w:r>
        <w:rPr>
          <w:rFonts w:ascii="Consolas" w:cs="Consolas" w:eastAsia="Consolas" w:hAnsi="Consolas"/>
          <w:color w:val="5B21B6"/>
          <w:sz w:val="19"/>
          <w:szCs w:val="19"/>
        </w:rPr>
        <w:t xml:space="preserve">askMeridian(text)</w:t>
      </w:r>
      <w:r>
        <w:t xml:space="preserve"> is a deterministic </w:t>
      </w:r>
      <w:r>
        <w:rPr>
          <w:b/>
          <w:bCs/>
        </w:rPr>
        <w:t xml:space="preserve">intent parser</w:t>
      </w:r>
      <w:r>
        <w:t xml:space="preserve">: it extracts entities (span / circuit / substation IDs, species, fire tier, a time window, a result count) with regex, matches the question against an ordered set of intent handlers, and answers by querying the live in-memory dataset.</w:t>
      </w:r>
    </w:p>
    <w:p>
      <w:pPr>
        <w:pStyle w:val="ListParagraph"/>
        <w:numPr>
          <w:ilvl w:val="0"/>
          <w:numId w:val="2"/>
        </w:numPr>
        <w:spacing w:after="60" w:line="264"/>
      </w:pPr>
      <w:r>
        <w:rPr>
          <w:b/>
          <w:bCs/>
        </w:rPr>
        <w:t xml:space="preserve">Intents: </w:t>
      </w:r>
      <w:r>
        <w:t xml:space="preserve">explain-a-span (with a factor-contribution breakdown), explain-a-circuit, network insights/patterns, compliance, critical-infrastructure, species/substation comparison, counts, cost totals, and a general filter-and-rank fallback (by tier / substation / species / status / high-risk, sorted by risk / cost / customers / breach-time).</w:t>
      </w:r>
    </w:p>
    <w:p>
      <w:pPr>
        <w:pStyle w:val="ListParagraph"/>
        <w:numPr>
          <w:ilvl w:val="0"/>
          <w:numId w:val="2"/>
        </w:numPr>
        <w:spacing w:after="60" w:line="264"/>
      </w:pPr>
      <w:r>
        <w:rPr>
          <w:b/>
          <w:bCs/>
        </w:rPr>
        <w:t xml:space="preserve">Honest by design: </w:t>
      </w:r>
      <w:r>
        <w:t xml:space="preserve">it tells the user what it is (on-device) and admits gaps — e.g., “there is no named hospitals layer yet,” then answers with the closest available proxy (criticality).</w:t>
      </w:r>
    </w:p>
    <w:p>
      <w:pPr>
        <w:pStyle w:val="ListParagraph"/>
        <w:numPr>
          <w:ilvl w:val="0"/>
          <w:numId w:val="2"/>
        </w:numPr>
        <w:spacing w:after="60" w:line="264"/>
      </w:pPr>
      <w:r>
        <w:rPr>
          <w:b/>
          <w:bCs/>
        </w:rPr>
        <w:t xml:space="preserve">Wired to the rest of the app: </w:t>
      </w:r>
      <w:r>
        <w:t xml:space="preserve">answer rows are clickable and deep-link into the dashboard with the relevant span’s detail drawer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CFD" w:sz="1"/>
              <w:left w:val="single" w:color="6D28D9" w:sz="18"/>
              <w:bottom w:val="single" w:color="F3ECFD" w:sz="1"/>
              <w:right w:val="single" w:color="F3ECFD" w:sz="1"/>
            </w:tcBorders>
            <w:shd w:fill="F3ECFD" w:val="clear"/>
            <w:tcMar>
              <w:top w:type="dxa" w:w="140"/>
              <w:left w:type="dxa" w:w="180"/>
              <w:bottom w:type="dxa" w:w="140"/>
              <w:right w:type="dxa" w:w="180"/>
            </w:tcMar>
          </w:tcPr>
          <w:p>
            <w:pPr>
              <w:spacing w:after="60"/>
            </w:pPr>
            <w:r>
              <w:rPr>
                <w:b/>
                <w:bCs/>
                <w:color w:val="6D28D9"/>
                <w:sz w:val="20"/>
                <w:szCs w:val="20"/>
              </w:rPr>
              <w:t xml:space="preserve">The “GenAI” backstory — a great interview moment</w:t>
            </w:r>
          </w:p>
          <w:p>
            <w:pPr>
              <w:spacing w:after="40" w:line="264"/>
            </w:pPr>
            <w:r>
              <w:rPr>
                <w:sz w:val="20"/>
                <w:szCs w:val="20"/>
              </w:rPr>
              <w:t xml:space="preserve">The assistant was inspired by a vendor slide proposing a GenAI vegetation system: OpenAI + LangChain + a SQL-agent over a MySQL warehouse + a human-feedback loop. </w:t>
            </w:r>
            <w:r>
              <w:rPr>
                <w:b/>
                <w:bCs/>
                <w:sz w:val="20"/>
                <w:szCs w:val="20"/>
              </w:rPr>
              <w:t xml:space="preserve">Meridian deliberately delivers the desirable, doable parts of that vision — prioritized recommendations, conversational data access, generated insights — without a cloud LLM, a database, or a backend.</w:t>
            </w:r>
          </w:p>
          <w:p>
            <w:pPr>
              <w:spacing w:after="40" w:line="264"/>
            </w:pPr>
            <w:r>
              <w:rPr>
                <w:sz w:val="20"/>
                <w:szCs w:val="20"/>
              </w:rPr>
              <w:t xml:space="preserve">That is the talking point: the value was in the prioritization and the conversation, not in the specific stack. An on-device parser keeps it free, private, offline, and deterministic. §7 covers exactly when you would reach for the real LLM stack.</w:t>
            </w:r>
          </w:p>
        </w:tc>
      </w:tr>
    </w:tbl>
    <w:p>
      <w:pPr>
        <w:pStyle w:val="Heading2"/>
      </w:pPr>
      <w:r>
        <w:t xml:space="preserve">5.7  Offline, persistence &amp; deployment</w:t>
      </w:r>
    </w:p>
    <w:p>
      <w:pPr>
        <w:pStyle w:val="ListParagraph"/>
        <w:numPr>
          <w:ilvl w:val="0"/>
          <w:numId w:val="2"/>
        </w:numPr>
        <w:spacing w:after="60" w:line="264"/>
      </w:pPr>
      <w:r>
        <w:t xml:space="preserve">Service worker (</w:t>
      </w:r>
      <w:r>
        <w:rPr>
          <w:rFonts w:ascii="Consolas" w:cs="Consolas" w:eastAsia="Consolas" w:hAnsi="Consolas"/>
          <w:color w:val="5B21B6"/>
          <w:sz w:val="19"/>
          <w:szCs w:val="19"/>
        </w:rPr>
        <w:t xml:space="preserve">sw.js</w:t>
      </w:r>
      <w:r>
        <w:t xml:space="preserve">): </w:t>
      </w:r>
      <w:r>
        <w:t xml:space="preserve">caches the app shell cache-first so the app loads and runs with no connection; only the satellite-style basemap needs the network and fails gracefully to the offline schematic. The cache name is versioned (</w:t>
      </w:r>
      <w:r>
        <w:rPr>
          <w:rFonts w:ascii="Consolas" w:cs="Consolas" w:eastAsia="Consolas" w:hAnsi="Consolas"/>
          <w:color w:val="5B21B6"/>
          <w:sz w:val="19"/>
          <w:szCs w:val="19"/>
        </w:rPr>
        <w:t xml:space="preserve">meridian-v4</w:t>
      </w:r>
      <w:r>
        <w:t xml:space="preserve">) and bumped on every shell change so installed PWAs update.</w:t>
      </w:r>
    </w:p>
    <w:p>
      <w:pPr>
        <w:pStyle w:val="ListParagraph"/>
        <w:numPr>
          <w:ilvl w:val="0"/>
          <w:numId w:val="2"/>
        </w:numPr>
        <w:spacing w:after="60" w:line="264"/>
      </w:pPr>
      <w:r>
        <w:rPr>
          <w:b/>
          <w:bCs/>
        </w:rPr>
        <w:t xml:space="preserve">Persistence: </w:t>
      </w:r>
      <w:r>
        <w:t xml:space="preserve">work-order state, tuned weights, and saved scenarios live in localStorage under namespaced keys; “Reset demo” clears them.</w:t>
      </w:r>
    </w:p>
    <w:p>
      <w:pPr>
        <w:pStyle w:val="ListParagraph"/>
        <w:numPr>
          <w:ilvl w:val="0"/>
          <w:numId w:val="2"/>
        </w:numPr>
        <w:spacing w:after="60" w:line="264"/>
      </w:pPr>
      <w:r>
        <w:rPr>
          <w:b/>
          <w:bCs/>
        </w:rPr>
        <w:t xml:space="preserve">Deployment: </w:t>
      </w:r>
      <w:r>
        <w:t xml:space="preserve">the repo is the site — push to </w:t>
      </w:r>
      <w:r>
        <w:rPr>
          <w:rFonts w:ascii="Consolas" w:cs="Consolas" w:eastAsia="Consolas" w:hAnsi="Consolas"/>
          <w:color w:val="5B21B6"/>
          <w:sz w:val="19"/>
          <w:szCs w:val="19"/>
        </w:rPr>
        <w:t xml:space="preserve">main</w:t>
      </w:r>
      <w:r>
        <w:t xml:space="preserve"> and GitHub Pages serves the static files. No CI, no servers, no cost.</w:t>
      </w:r>
    </w:p>
    <w:p>
      <w:r>
        <w:br w:type="page"/>
      </w:r>
    </w:p>
    <w:p>
      <w:pPr>
        <w:pStyle w:val="Heading1"/>
      </w:pPr>
      <w:r>
        <w:t xml:space="preserve">6 — Design Decisions &amp; Trade-offs</w:t>
      </w:r>
    </w:p>
    <w:p>
      <w:pPr>
        <w:spacing w:after="120" w:line="276"/>
      </w:pPr>
      <w:r>
        <w:t xml:space="preserve">Every interesting choice here was a trade-off. Being able to articulate the alternative you rejected — and why — is the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3300"/>
        <w:gridCol w:w="3710"/>
      </w:tblGrid>
      <w:tr>
        <w:trPr>
          <w:tblHeader/>
        </w:trPr>
        <w:tc>
          <w:tcPr>
            <w:tcW w:type="dxa" w:w="235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Decision</w:t>
            </w:r>
          </w:p>
        </w:tc>
        <w:tc>
          <w:tcPr>
            <w:tcW w:type="dxa" w:w="33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Alternative considered</w:t>
            </w:r>
          </w:p>
        </w:tc>
        <w:tc>
          <w:tcPr>
            <w:tcW w:type="dxa" w:w="371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Why this way</w:t>
            </w:r>
          </w:p>
        </w:tc>
      </w:tr>
      <w:tr>
        <w:tc>
          <w:tcPr>
            <w:tcW w:type="dxa" w:w="23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Transparent weighted-factor score</w:t>
            </w:r>
          </w:p>
        </w:tc>
        <w:tc>
          <w:tcPr>
            <w:tcW w:type="dxa" w:w="33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A trained ML risk model</w:t>
            </w:r>
          </w:p>
        </w:tc>
        <w:tc>
          <w:tcPr>
            <w:tcW w:type="dxa" w:w="37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No labeled outcome data exists; and the score must be explainable and defensible to a regulator. A tunable linear blend is auditable and lets a utility set its own posture. ML is a later calibration step, not the foundation.</w:t>
            </w:r>
          </w:p>
        </w:tc>
      </w:tr>
      <w:tr>
        <w:tc>
          <w:tcPr>
            <w:tcW w:type="dxa" w:w="23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bCs/>
                <w:color w:val="3F3457"/>
                <w:sz w:val="19"/>
                <w:szCs w:val="19"/>
              </w:rPr>
              <w:t xml:space="preserve">Span as the atomic unit</w:t>
            </w:r>
          </w:p>
        </w:tc>
        <w:tc>
          <w:tcPr>
            <w:tcW w:type="dxa" w:w="33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Score whole circuits</w:t>
            </w:r>
          </w:p>
        </w:tc>
        <w:tc>
          <w:tcPr>
            <w:tcW w:type="dxa" w:w="37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Crews work span-by-span; risk is wildly non-uniform within a circuit. Span granularity is what makes prioritization actionable. Circuit-level rollups are derived on top.</w:t>
            </w:r>
          </w:p>
        </w:tc>
      </w:tr>
      <w:tr>
        <w:tc>
          <w:tcPr>
            <w:tcW w:type="dxa" w:w="23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Greedy risk-per-dollar</w:t>
            </w:r>
          </w:p>
        </w:tc>
        <w:tc>
          <w:tcPr>
            <w:tcW w:type="dxa" w:w="33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Exact knapsack / ILP solver</w:t>
            </w:r>
          </w:p>
        </w:tc>
        <w:tc>
          <w:tcPr>
            <w:tcW w:type="dxa" w:w="37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Knapsack is NP-hard; greedy is near-optimal here and, more importantly, explainable. Defensibility &gt; the last 0.5%.</w:t>
            </w:r>
          </w:p>
        </w:tc>
      </w:tr>
      <w:tr>
        <w:tc>
          <w:tcPr>
            <w:tcW w:type="dxa" w:w="23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bCs/>
                <w:color w:val="3F3457"/>
                <w:sz w:val="19"/>
                <w:szCs w:val="19"/>
              </w:rPr>
              <w:t xml:space="preserve">On-device NL parser</w:t>
            </w:r>
          </w:p>
        </w:tc>
        <w:tc>
          <w:tcPr>
            <w:tcW w:type="dxa" w:w="33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Cloud LLM (OpenAI etc.)</w:t>
            </w:r>
          </w:p>
        </w:tc>
        <w:tc>
          <w:tcPr>
            <w:tcW w:type="dxa" w:w="37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Keeps it free, private, offline, and deterministic; no key management. Trade-off: it understands a bounded vocabulary, not arbitrary phrasing. Acceptable for a demo; §7 shows the upgrade path.</w:t>
            </w:r>
          </w:p>
        </w:tc>
      </w:tr>
      <w:tr>
        <w:tc>
          <w:tcPr>
            <w:tcW w:type="dxa" w:w="23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Static, no-backend PWA</w:t>
            </w:r>
          </w:p>
        </w:tc>
        <w:tc>
          <w:tcPr>
            <w:tcW w:type="dxa" w:w="33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Server + database + auth</w:t>
            </w:r>
          </w:p>
        </w:tc>
        <w:tc>
          <w:tcPr>
            <w:tcW w:type="dxa" w:w="37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Zero cost, trivial deploy, fully offline, and the synthetic data needs no persistence layer. Trade-off: single-user, no shared state, no live data feeds.</w:t>
            </w:r>
          </w:p>
        </w:tc>
      </w:tr>
      <w:tr>
        <w:tc>
          <w:tcPr>
            <w:tcW w:type="dxa" w:w="23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bCs/>
                <w:color w:val="3F3457"/>
                <w:sz w:val="19"/>
                <w:szCs w:val="19"/>
              </w:rPr>
              <w:t xml:space="preserve">Synthetic, seeded data</w:t>
            </w:r>
          </w:p>
        </w:tc>
        <w:tc>
          <w:tcPr>
            <w:tcW w:type="dxa" w:w="33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A real or scraped dataset</w:t>
            </w:r>
          </w:p>
        </w:tc>
        <w:tc>
          <w:tcPr>
            <w:tcW w:type="dxa" w:w="37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No real utility data is public or safe to use; seeding makes the demo reproducible and the screenshots stable. Trade-off: it cannot reveal real-world data-quality problems.</w:t>
            </w:r>
          </w:p>
        </w:tc>
      </w:tr>
      <w:tr>
        <w:tc>
          <w:tcPr>
            <w:tcW w:type="dxa" w:w="235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Hand-rolled SVG charts</w:t>
            </w:r>
          </w:p>
        </w:tc>
        <w:tc>
          <w:tcPr>
            <w:tcW w:type="dxa" w:w="33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A charting library (D3/Chart.js)</w:t>
            </w:r>
          </w:p>
        </w:tc>
        <w:tc>
          <w:tcPr>
            <w:tcW w:type="dxa" w:w="371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Zero dependencies, smaller payload, works offline, and full control over styling. Trade-off: more code per chart.</w:t>
            </w:r>
          </w:p>
        </w:tc>
      </w:tr>
      <w:tr>
        <w:tc>
          <w:tcPr>
            <w:tcW w:type="dxa" w:w="235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bCs/>
                <w:color w:val="3F3457"/>
                <w:sz w:val="19"/>
                <w:szCs w:val="19"/>
              </w:rPr>
              <w:t xml:space="preserve">No framework (vanilla JS)</w:t>
            </w:r>
          </w:p>
        </w:tc>
        <w:tc>
          <w:tcPr>
            <w:tcW w:type="dxa" w:w="330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React / Vue / Svelte</w:t>
            </w:r>
          </w:p>
        </w:tc>
        <w:tc>
          <w:tcPr>
            <w:tcW w:type="dxa" w:w="3710"/>
            <w:tcBorders>
              <w:top w:val="single" w:color="D9CCF2" w:sz="1"/>
              <w:left w:val="single" w:color="D9CCF2" w:sz="1"/>
              <w:bottom w:val="single" w:color="D9CCF2" w:sz="1"/>
              <w:right w:val="single" w:color="D9CCF2" w:sz="1"/>
            </w:tcBorders>
            <w:shd w:fill="F7F3FE"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No build step, instant load, nothing to learn to read it; at this scale a framework adds weight without benefit. Trade-off: manual DOM wiring.</w:t>
            </w:r>
          </w:p>
        </w:tc>
      </w:tr>
    </w:tbl>
    <w:p>
      <w:r>
        <w:br w:type="page"/>
      </w:r>
    </w:p>
    <w:p>
      <w:pPr>
        <w:pStyle w:val="Heading1"/>
      </w:pPr>
      <w:r>
        <w:t xml:space="preserve">7 — From Prototype to Production</w:t>
      </w:r>
    </w:p>
    <w:p>
      <w:pPr>
        <w:spacing w:after="120" w:line="276"/>
      </w:pPr>
      <w:r>
        <w:t xml:space="preserve">If asked “how would you make this real?”, the honest answer is that the analytics core would survive and everything around it would grow a backend and real data. The roadmap, in order of value:</w:t>
      </w:r>
    </w:p>
    <w:p>
      <w:pPr>
        <w:pStyle w:val="ListParagraph"/>
        <w:numPr>
          <w:ilvl w:val="0"/>
          <w:numId w:val="3"/>
        </w:numPr>
        <w:spacing w:after="80" w:line="264"/>
      </w:pPr>
      <w:r>
        <w:rPr>
          <w:b/>
          <w:bCs/>
        </w:rPr>
        <w:t xml:space="preserve">Real condition data. </w:t>
      </w:r>
      <w:r>
        <w:t xml:space="preserve">Replace synthetic clearance/growth with measured inputs: LiDAR / satellite or aerial imagery for encroachment, a GIS asset model for the network, species and growth from inventory + remote sensing, and the live CPUC HFTD layer for fire tier.</w:t>
      </w:r>
    </w:p>
    <w:p>
      <w:pPr>
        <w:pStyle w:val="ListParagraph"/>
        <w:numPr>
          <w:ilvl w:val="0"/>
          <w:numId w:val="3"/>
        </w:numPr>
        <w:spacing w:after="80" w:line="264"/>
      </w:pPr>
      <w:r>
        <w:rPr>
          <w:b/>
          <w:bCs/>
        </w:rPr>
        <w:t xml:space="preserve">A data pipeline + store. </w:t>
      </w:r>
      <w:r>
        <w:t xml:space="preserve">Ingest, clean, and enrich those feeds into a warehouse (the slide’s MySQL / warehouse layer); the scoring functions move server-side or into a job that materializes per-span scores.</w:t>
      </w:r>
    </w:p>
    <w:p>
      <w:pPr>
        <w:pStyle w:val="ListParagraph"/>
        <w:numPr>
          <w:ilvl w:val="0"/>
          <w:numId w:val="3"/>
        </w:numPr>
        <w:spacing w:after="80" w:line="264"/>
      </w:pPr>
      <w:r>
        <w:rPr>
          <w:b/>
          <w:bCs/>
        </w:rPr>
        <w:t xml:space="preserve">Calibrate the weights with outcomes. </w:t>
      </w:r>
      <w:r>
        <w:t xml:space="preserve">Once you have historical faults/ignitions, fit or validate the factor weights against real outcomes — turning the transparent model into a transparent </w:t>
      </w:r>
      <w:r>
        <w:rPr>
          <w:i/>
          <w:iCs/>
        </w:rPr>
        <w:t xml:space="preserve">and</w:t>
      </w:r>
      <w:r>
        <w:t xml:space="preserve"> empirically grounded one. Keep it explainable.</w:t>
      </w:r>
    </w:p>
    <w:p>
      <w:pPr>
        <w:pStyle w:val="ListParagraph"/>
        <w:numPr>
          <w:ilvl w:val="0"/>
          <w:numId w:val="3"/>
        </w:numPr>
        <w:spacing w:after="80" w:line="264"/>
      </w:pPr>
      <w:r>
        <w:rPr>
          <w:b/>
          <w:bCs/>
        </w:rPr>
        <w:t xml:space="preserve">A real assistant (RAG + LLM). </w:t>
      </w:r>
      <w:r>
        <w:t xml:space="preserve">Swap the on-device parser for a retrieval-augmented LLM with a SQL/agent tool over the warehouse — the slide’s vision — once there is real, large, messy data worth conversing with. Add the human-feedback loop to improve recommendations.</w:t>
      </w:r>
    </w:p>
    <w:p>
      <w:pPr>
        <w:pStyle w:val="ListParagraph"/>
        <w:numPr>
          <w:ilvl w:val="0"/>
          <w:numId w:val="3"/>
        </w:numPr>
        <w:spacing w:after="80" w:line="264"/>
      </w:pPr>
      <w:r>
        <w:rPr>
          <w:b/>
          <w:bCs/>
        </w:rPr>
        <w:t xml:space="preserve">Multi-user backend. </w:t>
      </w:r>
      <w:r>
        <w:t xml:space="preserve">Auth, roles (planner / compliance / crew), shared scenarios and work orders, and an audit trail — replacing localStorage.</w:t>
      </w:r>
    </w:p>
    <w:p>
      <w:pPr>
        <w:pStyle w:val="ListParagraph"/>
        <w:numPr>
          <w:ilvl w:val="0"/>
          <w:numId w:val="3"/>
        </w:numPr>
        <w:spacing w:after="80" w:line="264"/>
      </w:pPr>
      <w:r>
        <w:rPr>
          <w:b/>
          <w:bCs/>
        </w:rPr>
        <w:t xml:space="preserve">Integrations. </w:t>
      </w:r>
      <w:r>
        <w:t xml:space="preserve">Push work orders to the utility’s work-management system; pull crew availability; file compliance exports into the regulatory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4EA" w:sz="1"/>
              <w:left w:val="single" w:color="067A52" w:sz="18"/>
              <w:bottom w:val="single" w:color="E6F4EA" w:sz="1"/>
              <w:right w:val="single" w:color="E6F4EA" w:sz="1"/>
            </w:tcBorders>
            <w:shd w:fill="E6F4EA" w:val="clear"/>
            <w:tcMar>
              <w:top w:type="dxa" w:w="140"/>
              <w:left w:type="dxa" w:w="180"/>
              <w:bottom w:type="dxa" w:w="140"/>
              <w:right w:type="dxa" w:w="180"/>
            </w:tcMar>
          </w:tcPr>
          <w:p>
            <w:pPr>
              <w:spacing w:after="60"/>
            </w:pPr>
            <w:r>
              <w:rPr>
                <w:b/>
                <w:bCs/>
                <w:color w:val="067A52"/>
                <w:sz w:val="20"/>
                <w:szCs w:val="20"/>
              </w:rPr>
              <w:t xml:space="preserve">The discipline to emphasize</w:t>
            </w:r>
          </w:p>
          <w:p>
            <w:pPr>
              <w:spacing w:after="40" w:line="264"/>
            </w:pPr>
            <w:r>
              <w:rPr>
                <w:sz w:val="20"/>
                <w:szCs w:val="20"/>
              </w:rPr>
              <w:t xml:space="preserve">The prototype intentionally stops at the boundary where real data and real users begin. It proves the decision-support value cheaply and honestly, and the architecture leaves a clean seam (the pure scoring functions, the synthetic generator) to swap in production data without rewriting the analytics.</w:t>
            </w:r>
          </w:p>
        </w:tc>
      </w:tr>
    </w:tbl>
    <w:p>
      <w:r>
        <w:br w:type="page"/>
      </w:r>
    </w:p>
    <w:p>
      <w:pPr>
        <w:pStyle w:val="Heading1"/>
      </w:pPr>
      <w:r>
        <w:t xml:space="preserve">8 — Anticipated Questions &amp; Answers</w:t>
      </w:r>
    </w:p>
    <w:p>
      <w:pPr>
        <w:pStyle w:val="Heading2"/>
      </w:pPr>
      <w:r>
        <w:t xml:space="preserve">8.1  Product &amp; domain</w:t>
      </w:r>
    </w:p>
    <w:p>
      <w:pPr>
        <w:keepNext/>
        <w:spacing w:after="50" w:before="120"/>
      </w:pPr>
      <w:r>
        <w:rPr>
          <w:b/>
          <w:bCs/>
          <w:color w:val="6D28D9"/>
        </w:rPr>
        <w:t xml:space="preserve">Q.  </w:t>
      </w:r>
      <w:r>
        <w:rPr>
          <w:b/>
          <w:bCs/>
          <w:color w:val="3F3457"/>
        </w:rPr>
        <w:t xml:space="preserve">In one sentence, what is Meridian?</w:t>
      </w:r>
    </w:p>
    <w:p>
      <w:pPr>
        <w:spacing w:after="60" w:line="272"/>
      </w:pPr>
      <w:r>
        <w:rPr>
          <w:b/>
          <w:bCs/>
          <w:color w:val="067A52"/>
        </w:rPr>
        <w:t xml:space="preserve">A.  </w:t>
      </w:r>
      <w:r>
        <w:t xml:space="preserve">A decision-support cockpit that scores every line span by vegetation risk, forecasts when each breaches its legal clearance, and picks the highest risk-per-dollar set of spans to trim under a fixed budget — replacing fixed-cycle trimming with condition-based prioritization.</w:t>
      </w:r>
    </w:p>
    <w:p>
      <w:pPr>
        <w:keepNext/>
        <w:spacing w:after="50" w:before="120"/>
      </w:pPr>
      <w:r>
        <w:rPr>
          <w:b/>
          <w:bCs/>
          <w:color w:val="6D28D9"/>
        </w:rPr>
        <w:t xml:space="preserve">Q.  </w:t>
      </w:r>
      <w:r>
        <w:rPr>
          <w:b/>
          <w:bCs/>
          <w:color w:val="3F3457"/>
        </w:rPr>
        <w:t xml:space="preserve">Why does this problem matter?</w:t>
      </w:r>
    </w:p>
    <w:p>
      <w:pPr>
        <w:spacing w:after="60" w:line="272"/>
      </w:pPr>
      <w:r>
        <w:rPr>
          <w:b/>
          <w:bCs/>
          <w:color w:val="067A52"/>
        </w:rPr>
        <w:t xml:space="preserve">A.  </w:t>
      </w:r>
      <w:r>
        <w:t xml:space="preserve">Vegetation contact is a top cause of outages and utility-sparked wildfires; the Dixie Fire alone burned ~963k acres from a tree touching a line. There is always more work than budget, so credible risk ranking is the difference between spending well and spending evenly.</w:t>
      </w:r>
    </w:p>
    <w:p>
      <w:pPr>
        <w:keepNext/>
        <w:spacing w:after="50" w:before="120"/>
      </w:pPr>
      <w:r>
        <w:rPr>
          <w:b/>
          <w:bCs/>
          <w:color w:val="6D28D9"/>
        </w:rPr>
        <w:t xml:space="preserve">Q.  </w:t>
      </w:r>
      <w:r>
        <w:rPr>
          <w:b/>
          <w:bCs/>
          <w:color w:val="3F3457"/>
        </w:rPr>
        <w:t xml:space="preserve">How is risk actually scored?</w:t>
      </w:r>
    </w:p>
    <w:p>
      <w:pPr>
        <w:spacing w:after="60" w:line="272"/>
      </w:pPr>
      <w:r>
        <w:rPr>
          <w:b/>
          <w:bCs/>
          <w:color w:val="067A52"/>
        </w:rPr>
        <w:t xml:space="preserve">A.  </w:t>
      </w:r>
      <w:r>
        <w:t xml:space="preserve">A 0–100 Vegetation Risk Index: five normalized factors (encroachment, fire-threat tier, growth, criticality, access) times tunable weights, scaled to 100. Time-to-violation = clearance headroom ÷ growth rate turns the score into a deadline.</w:t>
      </w:r>
    </w:p>
    <w:p>
      <w:pPr>
        <w:pStyle w:val="Heading2"/>
      </w:pPr>
      <w:r>
        <w:t xml:space="preserve">8.2  Technical</w:t>
      </w:r>
    </w:p>
    <w:p>
      <w:pPr>
        <w:keepNext/>
        <w:spacing w:after="50" w:before="120"/>
      </w:pPr>
      <w:r>
        <w:rPr>
          <w:b/>
          <w:bCs/>
          <w:color w:val="6D28D9"/>
        </w:rPr>
        <w:t xml:space="preserve">Q.  </w:t>
      </w:r>
      <w:r>
        <w:rPr>
          <w:b/>
          <w:bCs/>
          <w:color w:val="3F3457"/>
        </w:rPr>
        <w:t xml:space="preserve">Walk me through what happens when I click a span.</w:t>
      </w:r>
    </w:p>
    <w:p>
      <w:pPr>
        <w:spacing w:after="60" w:line="272"/>
      </w:pPr>
      <w:r>
        <w:rPr>
          <w:b/>
          <w:bCs/>
          <w:color w:val="067A52"/>
        </w:rPr>
        <w:t xml:space="preserve">A.  </w:t>
      </w:r>
      <w:r>
        <w:t xml:space="preserve">The click handler finds the span object, recomputes its five normalized factors, and renders the detail drawer: a clearance gauge (current vs. required), time-to-violation, growth, species, customers, cost, fault consequence, the weighted factor breakdown, and a recommended action — all from in-memory data, no network call.</w:t>
      </w:r>
    </w:p>
    <w:p>
      <w:pPr>
        <w:keepNext/>
        <w:spacing w:after="50" w:before="120"/>
      </w:pPr>
      <w:r>
        <w:rPr>
          <w:b/>
          <w:bCs/>
          <w:color w:val="6D28D9"/>
        </w:rPr>
        <w:t xml:space="preserve">Q.  </w:t>
      </w:r>
      <w:r>
        <w:rPr>
          <w:b/>
          <w:bCs/>
          <w:color w:val="3F3457"/>
        </w:rPr>
        <w:t xml:space="preserve">Why no backend or framework?</w:t>
      </w:r>
    </w:p>
    <w:p>
      <w:pPr>
        <w:spacing w:after="60" w:line="272"/>
      </w:pPr>
      <w:r>
        <w:rPr>
          <w:b/>
          <w:bCs/>
          <w:color w:val="067A52"/>
        </w:rPr>
        <w:t xml:space="preserve">A.  </w:t>
      </w:r>
      <w:r>
        <w:t xml:space="preserve">The data is synthetic and needs no persistence beyond the browser; the compute is light enough to run client-side; and a static PWA deploys for free on GitHub Pages and works offline. A framework would add a build step and weight without benefit at this scale. It is a deliberate fit-to-purpose choice, and there is a clear path to a backend (§7).</w:t>
      </w:r>
    </w:p>
    <w:p>
      <w:pPr>
        <w:keepNext/>
        <w:spacing w:after="50" w:before="120"/>
      </w:pPr>
      <w:r>
        <w:rPr>
          <w:b/>
          <w:bCs/>
          <w:color w:val="6D28D9"/>
        </w:rPr>
        <w:t xml:space="preserve">Q.  </w:t>
      </w:r>
      <w:r>
        <w:rPr>
          <w:b/>
          <w:bCs/>
          <w:color w:val="3F3457"/>
        </w:rPr>
        <w:t xml:space="preserve">Is the budget optimizer optimal?</w:t>
      </w:r>
    </w:p>
    <w:p>
      <w:pPr>
        <w:spacing w:after="60" w:line="272"/>
      </w:pPr>
      <w:r>
        <w:rPr>
          <w:b/>
          <w:bCs/>
          <w:color w:val="067A52"/>
        </w:rPr>
        <w:t xml:space="preserve">A.  </w:t>
      </w:r>
      <w:r>
        <w:t xml:space="preserve">It is a greedy value-per-dollar selection — near-optimal for this problem because trim costs are small relative to the budget, and far more explainable than an exact knapsack solver, which would be NP-hard. For a regulated, defensible plan, explainability wins.</w:t>
      </w:r>
    </w:p>
    <w:p>
      <w:pPr>
        <w:keepNext/>
        <w:spacing w:after="50" w:before="120"/>
      </w:pPr>
      <w:r>
        <w:rPr>
          <w:b/>
          <w:bCs/>
          <w:color w:val="6D28D9"/>
        </w:rPr>
        <w:t xml:space="preserve">Q.  </w:t>
      </w:r>
      <w:r>
        <w:rPr>
          <w:b/>
          <w:bCs/>
          <w:color w:val="3F3457"/>
        </w:rPr>
        <w:t xml:space="preserve">Does “Ask Meridian” use ChatGPT?</w:t>
      </w:r>
    </w:p>
    <w:p>
      <w:pPr>
        <w:spacing w:after="60" w:line="272"/>
      </w:pPr>
      <w:r>
        <w:rPr>
          <w:b/>
          <w:bCs/>
          <w:color w:val="067A52"/>
        </w:rPr>
        <w:t xml:space="preserve">A.  </w:t>
      </w:r>
      <w:r>
        <w:t xml:space="preserve">No — and that is intentional. It is a deterministic intent parser running in the browser: no LLM, no API key, no network, nothing leaves the device. It was inspired by a GenAI concept slide, but I delivered the valuable parts (recommendations, conversation, insights) without the cloud stack. If real, large, messy data existed, §7 is where a RAG + LLM assistant would slot in.</w:t>
      </w:r>
    </w:p>
    <w:p>
      <w:pPr>
        <w:keepNext/>
        <w:spacing w:after="50" w:before="120"/>
      </w:pPr>
      <w:r>
        <w:rPr>
          <w:b/>
          <w:bCs/>
          <w:color w:val="6D28D9"/>
        </w:rPr>
        <w:t xml:space="preserve">Q.  </w:t>
      </w:r>
      <w:r>
        <w:rPr>
          <w:b/>
          <w:bCs/>
          <w:color w:val="3F3457"/>
        </w:rPr>
        <w:t xml:space="preserve">How do you keep the demo reproducible?</w:t>
      </w:r>
    </w:p>
    <w:p>
      <w:pPr>
        <w:spacing w:after="60" w:line="272"/>
      </w:pPr>
      <w:r>
        <w:rPr>
          <w:b/>
          <w:bCs/>
          <w:color w:val="067A52"/>
        </w:rPr>
        <w:t xml:space="preserve">A.  </w:t>
      </w:r>
      <w:r>
        <w:t xml:space="preserve">A seeded mulberry32 PRNG generates the entire network deterministically, so every reload — and every screenshot — is identical.</w:t>
      </w:r>
    </w:p>
    <w:p>
      <w:pPr>
        <w:pStyle w:val="Heading2"/>
      </w:pPr>
      <w:r>
        <w:t xml:space="preserve">8.3  Judgment &amp; reflection</w:t>
      </w:r>
    </w:p>
    <w:p>
      <w:pPr>
        <w:keepNext/>
        <w:spacing w:after="50" w:before="120"/>
      </w:pPr>
      <w:r>
        <w:rPr>
          <w:b/>
          <w:bCs/>
          <w:color w:val="6D28D9"/>
        </w:rPr>
        <w:t xml:space="preserve">Q.  </w:t>
      </w:r>
      <w:r>
        <w:rPr>
          <w:b/>
          <w:bCs/>
          <w:color w:val="3F3457"/>
        </w:rPr>
        <w:t xml:space="preserve">What was the hardest part?</w:t>
      </w:r>
    </w:p>
    <w:p>
      <w:pPr>
        <w:spacing w:after="60" w:line="272"/>
      </w:pPr>
      <w:r>
        <w:rPr>
          <w:b/>
          <w:bCs/>
          <w:color w:val="067A52"/>
        </w:rPr>
        <w:t xml:space="preserve">A.  </w:t>
      </w:r>
      <w:r>
        <w:t xml:space="preserve">Designing a risk score that is both credible to a domain expert and simple enough to be transparent. The temptation is to over-engineer it; the discipline was keeping it a tunable linear blend that a planner can explain to a regulator.</w:t>
      </w:r>
    </w:p>
    <w:p>
      <w:pPr>
        <w:keepNext/>
        <w:spacing w:after="50" w:before="120"/>
      </w:pPr>
      <w:r>
        <w:rPr>
          <w:b/>
          <w:bCs/>
          <w:color w:val="6D28D9"/>
        </w:rPr>
        <w:t xml:space="preserve">Q.  </w:t>
      </w:r>
      <w:r>
        <w:rPr>
          <w:b/>
          <w:bCs/>
          <w:color w:val="3F3457"/>
        </w:rPr>
        <w:t xml:space="preserve">What would you do differently or next?</w:t>
      </w:r>
    </w:p>
    <w:p>
      <w:pPr>
        <w:spacing w:after="60" w:line="272"/>
      </w:pPr>
      <w:r>
        <w:rPr>
          <w:b/>
          <w:bCs/>
          <w:color w:val="067A52"/>
        </w:rPr>
        <w:t xml:space="preserve">A.  </w:t>
      </w:r>
      <w:r>
        <w:t xml:space="preserve">Bring in real condition data (LiDAR/imagery for encroachment, GIS for the network) and calibrate the weights against historical fault/ignition outcomes. That is the single biggest lift from “convincing prototype” to “operational tool.”</w:t>
      </w:r>
    </w:p>
    <w:p>
      <w:pPr>
        <w:keepNext/>
        <w:spacing w:after="50" w:before="120"/>
      </w:pPr>
      <w:r>
        <w:rPr>
          <w:b/>
          <w:bCs/>
          <w:color w:val="6D28D9"/>
        </w:rPr>
        <w:t xml:space="preserve">Q.  </w:t>
      </w:r>
      <w:r>
        <w:rPr>
          <w:b/>
          <w:bCs/>
          <w:color w:val="3F3457"/>
        </w:rPr>
        <w:t xml:space="preserve">How would you know if it actually worked in production?</w:t>
      </w:r>
    </w:p>
    <w:p>
      <w:pPr>
        <w:spacing w:after="60" w:line="272"/>
      </w:pPr>
      <w:r>
        <w:rPr>
          <w:b/>
          <w:bCs/>
          <w:color w:val="067A52"/>
        </w:rPr>
        <w:t xml:space="preserve">A.  </w:t>
      </w:r>
      <w:r>
        <w:t xml:space="preserve">Track risk-reduced-per-dollar against the prior fixed-cycle program, and compare vegetation-caused outage and ignition rates on managed vs. baseline circuits over a season. The 24-month projection view is the in-product version of that argument.</w:t>
      </w:r>
    </w:p>
    <w:p>
      <w:pPr>
        <w:keepNext/>
        <w:spacing w:after="50" w:before="120"/>
      </w:pPr>
      <w:r>
        <w:rPr>
          <w:b/>
          <w:bCs/>
          <w:color w:val="6D28D9"/>
        </w:rPr>
        <w:t xml:space="preserve">Q.  </w:t>
      </w:r>
      <w:r>
        <w:rPr>
          <w:b/>
          <w:bCs/>
          <w:color w:val="3F3457"/>
        </w:rPr>
        <w:t xml:space="preserve">What are its limitations?</w:t>
      </w:r>
    </w:p>
    <w:p>
      <w:pPr>
        <w:spacing w:after="60" w:line="272"/>
      </w:pPr>
      <w:r>
        <w:rPr>
          <w:b/>
          <w:bCs/>
          <w:color w:val="067A52"/>
        </w:rPr>
        <w:t xml:space="preserve">A.  </w:t>
      </w:r>
      <w:r>
        <w:t xml:space="preserve">Synthetic data can’t expose real data-quality issues; it’s single-user with no live feeds; the assistant understands a bounded vocabulary; and the weights are reasoned, not yet empirically calibrated. None of these are hidden — the product and the FAQ state them.</w:t>
      </w:r>
    </w:p>
    <w:p>
      <w:r>
        <w:br w:type="page"/>
      </w:r>
    </w:p>
    <w:p>
      <w:pPr>
        <w:pStyle w:val="Heading1"/>
      </w:pPr>
      <w:r>
        <w:t xml:space="preserve">9 — Numbers &amp; Names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
            </w:r>
          </w:p>
        </w:tc>
        <w:tc>
          <w:tcPr>
            <w:tcW w:type="dxa" w:w="6360"/>
            <w:tcBorders>
              <w:top w:val="single" w:color="D9CCF2" w:sz="1"/>
              <w:left w:val="single" w:color="D9CCF2" w:sz="1"/>
              <w:bottom w:val="single" w:color="D9CCF2" w:sz="1"/>
              <w:right w:val="single" w:color="D9CCF2" w:sz="1"/>
            </w:tcBorders>
            <w:shd w:fill="EDE6FD" w:val="clear"/>
            <w:tcMar>
              <w:top w:type="dxa" w:w="70"/>
              <w:left w:type="dxa" w:w="120"/>
              <w:bottom w:type="dxa" w:w="70"/>
              <w:right w:type="dxa" w:w="120"/>
            </w:tcMar>
            <w:vAlign w:val="center"/>
          </w:tcPr>
          <w:p>
            <w:pPr>
              <w:spacing w:after="0" w:line="252"/>
              <w:jc w:val="left"/>
            </w:pPr>
            <w:r>
              <w:rPr>
                <w:b/>
                <w:bCs/>
                <w:color w:val="6D28D9"/>
                <w:sz w:val="19"/>
                <w:szCs w:val="19"/>
              </w:rPr>
              <w:t xml:space="preserve"/>
            </w:r>
          </w:p>
        </w:tc>
      </w:tr>
      <w:tr>
        <w:tc>
          <w:tcPr>
            <w:tcW w:type="dxa" w:w="30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Scale</w:t>
            </w:r>
          </w:p>
        </w:tc>
        <w:tc>
          <w:tcPr>
            <w:tcW w:type="dxa" w:w="63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≈570 spans · 21 circuits · 6 substations · ~4,180 line-miles</w:t>
            </w:r>
          </w:p>
        </w:tc>
      </w:tr>
      <w:tr>
        <w:tc>
          <w:tcPr>
            <w:tcW w:type="dxa" w:w="30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Budget</w:t>
            </w:r>
          </w:p>
        </w:tc>
        <w:tc>
          <w:tcPr>
            <w:tcW w:type="dxa" w:w="63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$850K/yr modeled, below a ~$1.47M backlog (so prioritization matters)</w:t>
            </w:r>
          </w:p>
        </w:tc>
      </w:tr>
      <w:tr>
        <w:tc>
          <w:tcPr>
            <w:tcW w:type="dxa" w:w="30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VRI factors + weights</w:t>
            </w:r>
          </w:p>
        </w:tc>
        <w:tc>
          <w:tcPr>
            <w:tcW w:type="dxa" w:w="63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Encroachment .30 · Fire .30 · Growth .20 · Criticality .15 · Access .05</w:t>
            </w:r>
          </w:p>
        </w:tc>
      </w:tr>
      <w:tr>
        <w:tc>
          <w:tcPr>
            <w:tcW w:type="dxa" w:w="30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Voltage / clearance</w:t>
            </w:r>
          </w:p>
        </w:tc>
        <w:tc>
          <w:tcPr>
            <w:tcW w:type="dxa" w:w="63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12 / 21 / 60 kV → base 4 / 6 / 10 ft; +4 ft Tier 2, +8 ft Tier 3</w:t>
            </w:r>
          </w:p>
        </w:tc>
      </w:tr>
      <w:tr>
        <w:tc>
          <w:tcPr>
            <w:tcW w:type="dxa" w:w="30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Fire tiers</w:t>
            </w:r>
          </w:p>
        </w:tc>
        <w:tc>
          <w:tcPr>
            <w:tcW w:type="dxa" w:w="63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HFTD Tier 1 valley · Tier 2 foothills · Tier 3 Sierra</w:t>
            </w:r>
          </w:p>
        </w:tc>
      </w:tr>
      <w:tr>
        <w:tc>
          <w:tcPr>
            <w:tcW w:type="dxa" w:w="30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Views (8)</w:t>
            </w:r>
          </w:p>
        </w:tc>
        <w:tc>
          <w:tcPr>
            <w:tcW w:type="dxa" w:w="63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Dashboard · Optimizer · Analytics · Crews · Compliance · Scenarios · Ask Meridian · FAQ</w:t>
            </w:r>
          </w:p>
        </w:tc>
      </w:tr>
      <w:tr>
        <w:tc>
          <w:tcPr>
            <w:tcW w:type="dxa" w:w="30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Regulators</w:t>
            </w:r>
          </w:p>
        </w:tc>
        <w:tc>
          <w:tcPr>
            <w:tcW w:type="dxa" w:w="63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NERC FAC-003 · CPUC GO 95/165 · CAL FIRE PRC 4292–4293 · OEIS WMP · USFWS/CDFW</w:t>
            </w:r>
          </w:p>
        </w:tc>
      </w:tr>
      <w:tr>
        <w:tc>
          <w:tcPr>
            <w:tcW w:type="dxa" w:w="300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bCs/>
                <w:color w:val="3F3457"/>
                <w:sz w:val="19"/>
                <w:szCs w:val="19"/>
              </w:rPr>
              <w:t xml:space="preserve">Stack</w:t>
            </w:r>
          </w:p>
        </w:tc>
        <w:tc>
          <w:tcPr>
            <w:tcW w:type="dxa" w:w="6360"/>
            <w:tcBorders>
              <w:top w:val="single" w:color="D9CCF2" w:sz="1"/>
              <w:left w:val="single" w:color="D9CCF2" w:sz="1"/>
              <w:bottom w:val="single" w:color="D9CCF2" w:sz="1"/>
              <w:right w:val="single" w:color="D9CCF2" w:sz="1"/>
            </w:tcBorders>
            <w:shd w:fill="FFFFFF" w:val="clear"/>
            <w:tcMar>
              <w:top w:type="dxa" w:w="70"/>
              <w:left w:type="dxa" w:w="120"/>
              <w:bottom w:type="dxa" w:w="70"/>
              <w:right w:type="dxa" w:w="120"/>
            </w:tcMar>
            <w:vAlign w:val="center"/>
          </w:tcPr>
          <w:p>
            <w:pPr>
              <w:spacing w:after="0" w:line="252"/>
              <w:jc w:val="left"/>
            </w:pPr>
            <w:r>
              <w:rPr>
                <w:b w:val="false"/>
                <w:bCs w:val="false"/>
                <w:color w:val="3F3457"/>
                <w:sz w:val="19"/>
                <w:szCs w:val="19"/>
              </w:rPr>
              <w:t xml:space="preserve">Vanilla JS · SVG + Leaflet · localStorage · service-worker PWA · GitHub Pages, no build</w:t>
            </w:r>
          </w:p>
        </w:tc>
      </w:tr>
    </w:tbl>
    <w:p>
      <w:pPr>
        <w:spacing w:after="160"/>
      </w:pPr>
      <w:r>
        <w:t xml:space="preserve"/>
      </w:r>
    </w:p>
    <w:p>
      <w:pPr>
        <w:spacing w:after="120" w:line="276"/>
      </w:pPr>
      <w:r>
        <w:rPr>
          <w:i/>
          <w:iCs/>
          <w:color w:val="8B7CA8"/>
          <w:sz w:val="20"/>
          <w:szCs w:val="20"/>
        </w:rPr>
        <w:t xml:space="preserve">Companion document: </w:t>
      </w:r>
      <w:r>
        <w:rPr>
          <w:i/>
          <w:iCs/>
          <w:color w:val="8B7CA8"/>
          <w:sz w:val="20"/>
          <w:szCs w:val="20"/>
        </w:rPr>
        <w:t xml:space="preserve">Meridian — Product Guide &amp; Domain Reference</w:t>
      </w:r>
      <w:r>
        <w:rPr>
          <w:i/>
          <w:iCs/>
          <w:color w:val="8B7CA8"/>
          <w:sz w:val="20"/>
          <w:szCs w:val="20"/>
        </w:rPr>
        <w:t xml:space="preserve"> (full domain, flora/fauna, and regulatory depth).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7CA8"/>
        <w:sz w:val="16"/>
        <w:szCs w:val="16"/>
      </w:rPr>
      <w:t xml:space="preserve">Page </w:t>
    </w:r>
    <w:r>
      <w:rPr>
        <w:color w:val="8B7CA8"/>
        <w:sz w:val="16"/>
        <w:szCs w:val="16"/>
      </w:rPr>
      <w:fldChar w:fldCharType="begin"/>
      <w:instrText xml:space="preserve">PAGE</w:instrText>
      <w:fldChar w:fldCharType="separate"/>
      <w:fldChar w:fldCharType="end"/>
    </w:r>
    <w:r>
      <w:rPr>
        <w:color w:val="8B7CA8"/>
        <w:sz w:val="16"/>
        <w:szCs w:val="16"/>
      </w:rPr>
      <w:t xml:space="preserve"> · Technical &amp; Interview Brief · synthetic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DBF7" w:sz="4" w:space="4"/>
      </w:pBdr>
      <w:spacing w:after="0"/>
      <w:jc w:val="right"/>
    </w:pPr>
    <w:r>
      <w:rPr>
        <w:b/>
        <w:bCs/>
        <w:color w:val="6D28D9"/>
        <w:sz w:val="16"/>
        <w:szCs w:val="16"/>
      </w:rPr>
      <w:t xml:space="preserve">MERIDIAN</w:t>
    </w:r>
    <w:r>
      <w:rPr>
        <w:color w:val="8B7CA8"/>
        <w:sz w:val="16"/>
        <w:szCs w:val="16"/>
      </w:rPr>
      <w:t xml:space="preserve">  ·  Technical &amp; Interview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6D28D9"/>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F345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9CCF2" w:sz="8" w:space="6"/>
      </w:pBdr>
      <w:spacing w:after="200" w:before="320"/>
      <w:outlineLvl w:val="0"/>
    </w:pPr>
    <w:rPr>
      <w:rFonts w:ascii="Arial" w:cs="Arial" w:eastAsia="Arial" w:hAnsi="Arial"/>
      <w:b/>
      <w:bCs/>
      <w:color w:val="6D28D9"/>
      <w:sz w:val="34"/>
      <w:szCs w:val="34"/>
    </w:rPr>
  </w:style>
  <w:style w:type="paragraph" w:styleId="Heading2">
    <w:name w:val="Heading 2"/>
    <w:basedOn w:val="Normal"/>
    <w:next w:val="Normal"/>
    <w:qFormat/>
    <w:pPr>
      <w:keepNext/>
      <w:spacing w:after="120" w:before="240"/>
      <w:outlineLvl w:val="1"/>
    </w:pPr>
    <w:rPr>
      <w:rFonts w:ascii="Arial" w:cs="Arial" w:eastAsia="Arial" w:hAnsi="Arial"/>
      <w:b/>
      <w:bCs/>
      <w:color w:val="5B21B6"/>
      <w:sz w:val="27"/>
      <w:szCs w:val="27"/>
    </w:rPr>
  </w:style>
  <w:style w:type="paragraph" w:styleId="Heading3">
    <w:name w:val="Heading 3"/>
    <w:basedOn w:val="Normal"/>
    <w:next w:val="Normal"/>
    <w:qFormat/>
    <w:pPr>
      <w:keepNext/>
      <w:spacing w:after="80" w:before="160"/>
      <w:outlineLvl w:val="2"/>
    </w:pPr>
    <w:rPr>
      <w:rFonts w:ascii="Arial" w:cs="Arial" w:eastAsia="Arial" w:hAnsi="Arial"/>
      <w:b/>
      <w:bCs/>
      <w:color w:val="3F34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 Technical &amp; Interview Brief</dc:title>
  <dc:creator>Meridian</dc:creator>
  <dc:description>Pitch, domain &amp; regulatory talking points, technical architecture, trade-offs, and interview Q&amp;A for the Meridian vegetation risk intelligence product.</dc:description>
  <cp:lastModifiedBy>Un-named</cp:lastModifiedBy>
  <cp:revision>1</cp:revision>
  <dcterms:created xsi:type="dcterms:W3CDTF">2026-06-30T17:21:40.704Z</dcterms:created>
  <dcterms:modified xsi:type="dcterms:W3CDTF">2026-06-30T17:21:40.712Z</dcterms:modified>
</cp:coreProperties>
</file>

<file path=docProps/custom.xml><?xml version="1.0" encoding="utf-8"?>
<Properties xmlns="http://schemas.openxmlformats.org/officeDocument/2006/custom-properties" xmlns:vt="http://schemas.openxmlformats.org/officeDocument/2006/docPropsVTypes"/>
</file>