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FFF64" w14:textId="61A0D759" w:rsidR="00A22623" w:rsidRPr="002C1A85" w:rsidRDefault="00A22623" w:rsidP="00A226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623">
        <w:rPr>
          <w:rFonts w:ascii="Times New Roman" w:hAnsi="Times New Roman" w:cs="Times New Roman"/>
          <w:b/>
          <w:bCs/>
          <w:sz w:val="28"/>
          <w:szCs w:val="28"/>
        </w:rPr>
        <w:t>ELECTRIC VEHICLE (EV) DATA ANALYSIS – TABLEAU PROJECT REPORT</w:t>
      </w:r>
    </w:p>
    <w:p w14:paraId="7E835E59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354B4F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52970771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This Tableau dashboard provides an in-depth analysis of Electric Vehicle (EV) adoption across the United States.</w:t>
      </w:r>
      <w:r w:rsidRPr="00A22623">
        <w:rPr>
          <w:rFonts w:ascii="Times New Roman" w:hAnsi="Times New Roman" w:cs="Times New Roman"/>
          <w:sz w:val="24"/>
          <w:szCs w:val="24"/>
        </w:rPr>
        <w:br/>
        <w:t>It highlights major KPIs such as total EV count, BEV/PHEV distribution, average electric range, CAFV eligibility, and manufacturer dominance.</w:t>
      </w:r>
      <w:r w:rsidRPr="00A22623">
        <w:rPr>
          <w:rFonts w:ascii="Times New Roman" w:hAnsi="Times New Roman" w:cs="Times New Roman"/>
          <w:sz w:val="24"/>
          <w:szCs w:val="24"/>
        </w:rPr>
        <w:br/>
        <w:t>The dashboard also explores trends across model years, states, vehicle makes, and models to help understand how the EV market has evolved over time.</w:t>
      </w:r>
    </w:p>
    <w:p w14:paraId="070549B4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The visualizations in Tableau—including maps, bar charts, donut charts, and line trends—allow clear and interactive exploration of EV data.</w:t>
      </w:r>
    </w:p>
    <w:p w14:paraId="70E93516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pict w14:anchorId="541116A9">
          <v:rect id="_x0000_i1185" style="width:0;height:1.5pt" o:hralign="center" o:hrstd="t" o:hr="t" fillcolor="#a0a0a0" stroked="f"/>
        </w:pict>
      </w:r>
    </w:p>
    <w:p w14:paraId="3DA67DC2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2. Key Performance Indicators (KPIs)</w:t>
      </w:r>
    </w:p>
    <w:p w14:paraId="3733638E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• Total Vehicles</w:t>
      </w:r>
    </w:p>
    <w:p w14:paraId="497EFD87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1,50,413 EVs are recorded in the dataset, representing the overall EV presence across the U.S.</w:t>
      </w:r>
    </w:p>
    <w:p w14:paraId="27D0EDB3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• Average Electric Range</w:t>
      </w:r>
    </w:p>
    <w:p w14:paraId="153BB4B6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The average electric range is 67.83 miles, showing the typical distance EVs can travel on a single full charge.</w:t>
      </w:r>
    </w:p>
    <w:p w14:paraId="2E9064F0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• Total BEV Vehicles</w:t>
      </w:r>
    </w:p>
    <w:p w14:paraId="747D1537" w14:textId="77777777" w:rsidR="00A22623" w:rsidRPr="00A22623" w:rsidRDefault="00A22623" w:rsidP="00A2262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1,16,745 Battery Electric Vehicles (BEVs)</w:t>
      </w:r>
    </w:p>
    <w:p w14:paraId="7DA3CA80" w14:textId="77777777" w:rsidR="00A22623" w:rsidRPr="00A22623" w:rsidRDefault="00A22623" w:rsidP="00A2262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77.62% of total EVs</w:t>
      </w:r>
    </w:p>
    <w:p w14:paraId="0F9C8385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This indicates that fully electric vehicles make up most of the EV population.</w:t>
      </w:r>
    </w:p>
    <w:p w14:paraId="026E31E7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• Total PHEV Vehicles</w:t>
      </w:r>
    </w:p>
    <w:p w14:paraId="587D2151" w14:textId="77777777" w:rsidR="00A22623" w:rsidRPr="00A22623" w:rsidRDefault="00A22623" w:rsidP="00A2262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33,668 Plug-in Hybrid Electric Vehicles (PHEVs)</w:t>
      </w:r>
    </w:p>
    <w:p w14:paraId="5373F552" w14:textId="77777777" w:rsidR="00A22623" w:rsidRPr="00A22623" w:rsidRDefault="00A22623" w:rsidP="00A2262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22.38% of total EVs</w:t>
      </w:r>
    </w:p>
    <w:p w14:paraId="229733EA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While still significant, PHEV adoption remains notably lower than BEVs.</w:t>
      </w:r>
    </w:p>
    <w:p w14:paraId="1DAF6BC8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pict w14:anchorId="2E9F45AF">
          <v:rect id="_x0000_i1186" style="width:0;height:1.5pt" o:hralign="center" o:hrstd="t" o:hr="t" fillcolor="#a0a0a0" stroked="f"/>
        </w:pict>
      </w:r>
    </w:p>
    <w:p w14:paraId="6DC68DFA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3. Vehicles by Model Year (Trend Analysis)</w:t>
      </w:r>
    </w:p>
    <w:p w14:paraId="7541A41B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The Tableau line chart displays the growth pattern of EV adoption from 2011 to 2024:</w:t>
      </w:r>
    </w:p>
    <w:p w14:paraId="72419C69" w14:textId="77777777" w:rsidR="00A22623" w:rsidRPr="00A22623" w:rsidRDefault="00A22623" w:rsidP="00A2262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2011–2014: Slow but steady increase (0.8K → 3.6K).</w:t>
      </w:r>
    </w:p>
    <w:p w14:paraId="5A1A6B0B" w14:textId="77777777" w:rsidR="00A22623" w:rsidRPr="00A22623" w:rsidRDefault="00A22623" w:rsidP="00A2262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2016–2019: Rapid growth period with:</w:t>
      </w:r>
    </w:p>
    <w:p w14:paraId="42896B6C" w14:textId="77777777" w:rsidR="00A22623" w:rsidRPr="00A22623" w:rsidRDefault="00A22623" w:rsidP="00A22623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lastRenderedPageBreak/>
        <w:t>2018 peak at 14.4K</w:t>
      </w:r>
    </w:p>
    <w:p w14:paraId="2CEAF3B0" w14:textId="77777777" w:rsidR="00A22623" w:rsidRPr="00A22623" w:rsidRDefault="00A22623" w:rsidP="00A22623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2019 at 10.7K</w:t>
      </w:r>
    </w:p>
    <w:p w14:paraId="4C937E87" w14:textId="77777777" w:rsidR="00A22623" w:rsidRPr="00A22623" w:rsidRDefault="00A22623" w:rsidP="00A2262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2021: Another major peak with 18.7K vehicles—the highest recorded.</w:t>
      </w:r>
    </w:p>
    <w:p w14:paraId="5169E7D8" w14:textId="77777777" w:rsidR="00A22623" w:rsidRDefault="00A22623" w:rsidP="00A2262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2024: A visible decline (0.6K) due to incomplete data for the current year.</w:t>
      </w:r>
    </w:p>
    <w:p w14:paraId="74E5F699" w14:textId="77777777" w:rsidR="002C1A85" w:rsidRPr="00A22623" w:rsidRDefault="002C1A85" w:rsidP="002C1A8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6C4B220" w14:textId="77777777" w:rsidR="002C1A85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Insight:</w:t>
      </w:r>
    </w:p>
    <w:p w14:paraId="66F02B66" w14:textId="68C41E20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br/>
        <w:t>EV adoption has steadily increased, with strong surges after 2016—likely driven by improved battery technology, more model availability, and market incentives.</w:t>
      </w:r>
    </w:p>
    <w:p w14:paraId="26BDD168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pict w14:anchorId="2F4120D1">
          <v:rect id="_x0000_i1230" style="width:0;height:1.5pt" o:hralign="center" o:hrstd="t" o:hr="t" fillcolor="#a0a0a0" stroked="f"/>
        </w:pict>
      </w:r>
    </w:p>
    <w:p w14:paraId="5B174517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4. Vehicles by State (Geographical Distribution)</w:t>
      </w:r>
    </w:p>
    <w:p w14:paraId="26C27A0B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The Tableau filled map highlights EV concentration across U.S. states:</w:t>
      </w:r>
    </w:p>
    <w:p w14:paraId="0DD0C70D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Top EV-Adopting States</w:t>
      </w:r>
    </w:p>
    <w:p w14:paraId="1D70E30A" w14:textId="77777777" w:rsidR="00A22623" w:rsidRPr="00A22623" w:rsidRDefault="00A22623" w:rsidP="00A2262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California – 50,082 EVs (Highest)</w:t>
      </w:r>
    </w:p>
    <w:p w14:paraId="0EC2BBA5" w14:textId="77777777" w:rsidR="00A22623" w:rsidRPr="00A22623" w:rsidRDefault="00A22623" w:rsidP="00A2262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Washington</w:t>
      </w:r>
    </w:p>
    <w:p w14:paraId="5FA56794" w14:textId="77777777" w:rsidR="00A22623" w:rsidRPr="00A22623" w:rsidRDefault="00A22623" w:rsidP="00A2262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Oregon</w:t>
      </w:r>
    </w:p>
    <w:p w14:paraId="67839345" w14:textId="77777777" w:rsidR="00A22623" w:rsidRPr="00A22623" w:rsidRDefault="00A22623" w:rsidP="00A2262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Texas</w:t>
      </w:r>
    </w:p>
    <w:p w14:paraId="3DB5BD98" w14:textId="77777777" w:rsidR="00A22623" w:rsidRPr="00A22623" w:rsidRDefault="00A22623" w:rsidP="00A2262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New York</w:t>
      </w:r>
    </w:p>
    <w:p w14:paraId="00374FE8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Lowest EV Counts</w:t>
      </w:r>
    </w:p>
    <w:p w14:paraId="65012908" w14:textId="77777777" w:rsidR="00A22623" w:rsidRPr="00A22623" w:rsidRDefault="00A22623" w:rsidP="00A2262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North Dakota</w:t>
      </w:r>
    </w:p>
    <w:p w14:paraId="7890091F" w14:textId="77777777" w:rsidR="00A22623" w:rsidRPr="00A22623" w:rsidRDefault="00A22623" w:rsidP="00A2262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South Dakota</w:t>
      </w:r>
    </w:p>
    <w:p w14:paraId="48BAE418" w14:textId="77777777" w:rsidR="00A22623" w:rsidRDefault="00A22623" w:rsidP="00A2262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Wyoming</w:t>
      </w:r>
    </w:p>
    <w:p w14:paraId="63226BE7" w14:textId="77777777" w:rsidR="002C1A85" w:rsidRPr="00A22623" w:rsidRDefault="002C1A85" w:rsidP="002C1A8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EE5964F" w14:textId="77777777" w:rsidR="002C1A85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Insight:</w:t>
      </w:r>
    </w:p>
    <w:p w14:paraId="44CD540B" w14:textId="3A927029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br/>
        <w:t>Coastal and urban states show the strongest EV adoption, influenced by better infrastructure, environmental policies, and state-level incentives.</w:t>
      </w:r>
    </w:p>
    <w:p w14:paraId="141E1658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pict w14:anchorId="7094CE62">
          <v:rect id="_x0000_i1232" style="width:0;height:1.5pt" o:hralign="center" o:hrstd="t" o:hr="t" fillcolor="#a0a0a0" stroked="f"/>
        </w:pict>
      </w:r>
    </w:p>
    <w:p w14:paraId="27D357E4" w14:textId="77777777" w:rsidR="002C1A85" w:rsidRDefault="002C1A85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793D42" w14:textId="77777777" w:rsidR="002C1A85" w:rsidRDefault="002C1A85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7262BD" w14:textId="77777777" w:rsidR="002C1A85" w:rsidRDefault="002C1A85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6BF8A2" w14:textId="77777777" w:rsidR="002C1A85" w:rsidRDefault="002C1A85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4BFA78" w14:textId="3642E585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Top 8 Vehicle Makes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229"/>
        <w:gridCol w:w="1419"/>
        <w:gridCol w:w="882"/>
      </w:tblGrid>
      <w:tr w:rsidR="00A22623" w:rsidRPr="00A22623" w14:paraId="4D12AE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4B8E4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DC5E0DE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14:paraId="7B50568C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Total Vehicles</w:t>
            </w:r>
          </w:p>
        </w:tc>
        <w:tc>
          <w:tcPr>
            <w:tcW w:w="0" w:type="auto"/>
            <w:vAlign w:val="center"/>
            <w:hideMark/>
          </w:tcPr>
          <w:p w14:paraId="54153803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% Share</w:t>
            </w:r>
          </w:p>
        </w:tc>
      </w:tr>
      <w:tr w:rsidR="00A22623" w:rsidRPr="00A22623" w14:paraId="12D65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3FD6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75DFF8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Tesla</w:t>
            </w:r>
          </w:p>
        </w:tc>
        <w:tc>
          <w:tcPr>
            <w:tcW w:w="0" w:type="auto"/>
            <w:vAlign w:val="center"/>
            <w:hideMark/>
          </w:tcPr>
          <w:p w14:paraId="201DDDCD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68,939</w:t>
            </w:r>
          </w:p>
        </w:tc>
        <w:tc>
          <w:tcPr>
            <w:tcW w:w="0" w:type="auto"/>
            <w:vAlign w:val="center"/>
            <w:hideMark/>
          </w:tcPr>
          <w:p w14:paraId="34D2B77F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55.60%</w:t>
            </w:r>
          </w:p>
        </w:tc>
      </w:tr>
      <w:tr w:rsidR="00A22623" w:rsidRPr="00A22623" w14:paraId="066F8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16F3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14433D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Nissan</w:t>
            </w:r>
          </w:p>
        </w:tc>
        <w:tc>
          <w:tcPr>
            <w:tcW w:w="0" w:type="auto"/>
            <w:vAlign w:val="center"/>
            <w:hideMark/>
          </w:tcPr>
          <w:p w14:paraId="486468A1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13,497</w:t>
            </w:r>
          </w:p>
        </w:tc>
        <w:tc>
          <w:tcPr>
            <w:tcW w:w="0" w:type="auto"/>
            <w:vAlign w:val="center"/>
            <w:hideMark/>
          </w:tcPr>
          <w:p w14:paraId="4F0ED0DD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10.89%</w:t>
            </w:r>
          </w:p>
        </w:tc>
      </w:tr>
      <w:tr w:rsidR="00A22623" w:rsidRPr="00A22623" w14:paraId="6A12B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639D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596E95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Chevrolet</w:t>
            </w:r>
          </w:p>
        </w:tc>
        <w:tc>
          <w:tcPr>
            <w:tcW w:w="0" w:type="auto"/>
            <w:vAlign w:val="center"/>
            <w:hideMark/>
          </w:tcPr>
          <w:p w14:paraId="75F3F702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12,024</w:t>
            </w:r>
          </w:p>
        </w:tc>
        <w:tc>
          <w:tcPr>
            <w:tcW w:w="0" w:type="auto"/>
            <w:vAlign w:val="center"/>
            <w:hideMark/>
          </w:tcPr>
          <w:p w14:paraId="2B58005D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9.70%</w:t>
            </w:r>
          </w:p>
        </w:tc>
      </w:tr>
      <w:tr w:rsidR="00A22623" w:rsidRPr="00A22623" w14:paraId="361FE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7586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B2828D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Ford</w:t>
            </w:r>
          </w:p>
        </w:tc>
        <w:tc>
          <w:tcPr>
            <w:tcW w:w="0" w:type="auto"/>
            <w:vAlign w:val="center"/>
            <w:hideMark/>
          </w:tcPr>
          <w:p w14:paraId="1C473224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7,601</w:t>
            </w:r>
          </w:p>
        </w:tc>
        <w:tc>
          <w:tcPr>
            <w:tcW w:w="0" w:type="auto"/>
            <w:vAlign w:val="center"/>
            <w:hideMark/>
          </w:tcPr>
          <w:p w14:paraId="725B5D86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6.13%</w:t>
            </w:r>
          </w:p>
        </w:tc>
      </w:tr>
      <w:tr w:rsidR="00A22623" w:rsidRPr="00A22623" w14:paraId="5CBED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8D29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55011D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BMW</w:t>
            </w:r>
          </w:p>
        </w:tc>
        <w:tc>
          <w:tcPr>
            <w:tcW w:w="0" w:type="auto"/>
            <w:vAlign w:val="center"/>
            <w:hideMark/>
          </w:tcPr>
          <w:p w14:paraId="4C18773F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6,439</w:t>
            </w:r>
          </w:p>
        </w:tc>
        <w:tc>
          <w:tcPr>
            <w:tcW w:w="0" w:type="auto"/>
            <w:vAlign w:val="center"/>
            <w:hideMark/>
          </w:tcPr>
          <w:p w14:paraId="61A39CAF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5.19%</w:t>
            </w:r>
          </w:p>
        </w:tc>
      </w:tr>
      <w:tr w:rsidR="00A22623" w:rsidRPr="00A22623" w14:paraId="1E5AE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24BF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456A75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KIA</w:t>
            </w:r>
          </w:p>
        </w:tc>
        <w:tc>
          <w:tcPr>
            <w:tcW w:w="0" w:type="auto"/>
            <w:vAlign w:val="center"/>
            <w:hideMark/>
          </w:tcPr>
          <w:p w14:paraId="6E11F7BF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6,198</w:t>
            </w:r>
          </w:p>
        </w:tc>
        <w:tc>
          <w:tcPr>
            <w:tcW w:w="0" w:type="auto"/>
            <w:vAlign w:val="center"/>
            <w:hideMark/>
          </w:tcPr>
          <w:p w14:paraId="425A5425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5.00%</w:t>
            </w:r>
          </w:p>
        </w:tc>
      </w:tr>
      <w:tr w:rsidR="00A22623" w:rsidRPr="00A22623" w14:paraId="64214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75B5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CF7100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Toyota</w:t>
            </w:r>
          </w:p>
        </w:tc>
        <w:tc>
          <w:tcPr>
            <w:tcW w:w="0" w:type="auto"/>
            <w:vAlign w:val="center"/>
            <w:hideMark/>
          </w:tcPr>
          <w:p w14:paraId="362EFB72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5,219</w:t>
            </w:r>
          </w:p>
        </w:tc>
        <w:tc>
          <w:tcPr>
            <w:tcW w:w="0" w:type="auto"/>
            <w:vAlign w:val="center"/>
            <w:hideMark/>
          </w:tcPr>
          <w:p w14:paraId="43711436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4.21%</w:t>
            </w:r>
          </w:p>
        </w:tc>
      </w:tr>
      <w:tr w:rsidR="00A22623" w:rsidRPr="00A22623" w14:paraId="1DE90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DD8F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A69FB3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Volkswagen</w:t>
            </w:r>
          </w:p>
        </w:tc>
        <w:tc>
          <w:tcPr>
            <w:tcW w:w="0" w:type="auto"/>
            <w:vAlign w:val="center"/>
            <w:hideMark/>
          </w:tcPr>
          <w:p w14:paraId="3B496D78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4,074</w:t>
            </w:r>
          </w:p>
        </w:tc>
        <w:tc>
          <w:tcPr>
            <w:tcW w:w="0" w:type="auto"/>
            <w:vAlign w:val="center"/>
            <w:hideMark/>
          </w:tcPr>
          <w:p w14:paraId="0AF96D76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3.29%</w:t>
            </w:r>
          </w:p>
        </w:tc>
      </w:tr>
      <w:tr w:rsidR="002C1A85" w:rsidRPr="00A22623" w14:paraId="49AC6AB2" w14:textId="77777777">
        <w:trPr>
          <w:tblCellSpacing w:w="15" w:type="dxa"/>
        </w:trPr>
        <w:tc>
          <w:tcPr>
            <w:tcW w:w="0" w:type="auto"/>
            <w:vAlign w:val="center"/>
          </w:tcPr>
          <w:p w14:paraId="6D79B967" w14:textId="77777777" w:rsidR="002C1A85" w:rsidRPr="00A22623" w:rsidRDefault="002C1A85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CA952F" w14:textId="77777777" w:rsidR="002C1A85" w:rsidRPr="00A22623" w:rsidRDefault="002C1A85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3CA1427" w14:textId="77777777" w:rsidR="002C1A85" w:rsidRPr="00A22623" w:rsidRDefault="002C1A85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A73DB2E" w14:textId="77777777" w:rsidR="002C1A85" w:rsidRPr="00A22623" w:rsidRDefault="002C1A85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78D00D" w14:textId="77777777" w:rsidR="002C1A85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Insight:</w:t>
      </w:r>
    </w:p>
    <w:p w14:paraId="1071D473" w14:textId="2C2E261C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br/>
        <w:t>Tesla dominates the EV market with over 55% share—more than all other manufacturers combined.</w:t>
      </w:r>
    </w:p>
    <w:p w14:paraId="79F00921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pict w14:anchorId="17BE8B5A">
          <v:rect id="_x0000_i1189" style="width:0;height:1.5pt" o:hralign="center" o:hrstd="t" o:hr="t" fillcolor="#a0a0a0" stroked="f"/>
        </w:pict>
      </w:r>
    </w:p>
    <w:p w14:paraId="089B3087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6. Vehicles by CAFV Eligibility</w:t>
      </w:r>
    </w:p>
    <w:p w14:paraId="44A15022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The Tableau donut chart reveals CAFV (Clean Alternative Fuel Vehicle) status:</w:t>
      </w:r>
    </w:p>
    <w:p w14:paraId="7B8BFED1" w14:textId="77777777" w:rsidR="00A22623" w:rsidRPr="00A22623" w:rsidRDefault="00A22623" w:rsidP="00A2262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CAFV Eligible: 62,887 (41.81%)</w:t>
      </w:r>
    </w:p>
    <w:p w14:paraId="44BB894B" w14:textId="77777777" w:rsidR="00A22623" w:rsidRPr="00A22623" w:rsidRDefault="00A22623" w:rsidP="00A2262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Non-Eligible: 17,829 (11.85%)</w:t>
      </w:r>
    </w:p>
    <w:p w14:paraId="698ED557" w14:textId="77777777" w:rsidR="00A22623" w:rsidRDefault="00A22623" w:rsidP="00A2262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Unknown: 69,697 (46.34%)</w:t>
      </w:r>
    </w:p>
    <w:p w14:paraId="5BAD96BD" w14:textId="2471AD7B" w:rsidR="002C1A85" w:rsidRPr="00A22623" w:rsidRDefault="002C1A85" w:rsidP="002C1A8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602B08B" w14:textId="77777777" w:rsidR="002C1A85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Insight:</w:t>
      </w:r>
    </w:p>
    <w:p w14:paraId="279B554E" w14:textId="381919E1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br/>
        <w:t>Nearly half the vehicles have unknown CAFV status, indicating incomplete data reporting.</w:t>
      </w:r>
      <w:r w:rsidRPr="00A22623">
        <w:rPr>
          <w:rFonts w:ascii="Times New Roman" w:hAnsi="Times New Roman" w:cs="Times New Roman"/>
          <w:sz w:val="24"/>
          <w:szCs w:val="24"/>
        </w:rPr>
        <w:br/>
        <w:t>Among identified vehicles, the majority are CAFV-eligible.</w:t>
      </w:r>
    </w:p>
    <w:p w14:paraId="0D245DFE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pict w14:anchorId="03F4B804">
          <v:rect id="_x0000_i1234" style="width:0;height:1.5pt" o:hralign="center" o:hrstd="t" o:hr="t" fillcolor="#a0a0a0" stroked="f"/>
        </w:pict>
      </w:r>
    </w:p>
    <w:p w14:paraId="29E59E89" w14:textId="77777777" w:rsidR="002C1A85" w:rsidRDefault="002C1A85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93BD9A" w14:textId="77777777" w:rsidR="002C1A85" w:rsidRDefault="002C1A85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19613F" w14:textId="77777777" w:rsidR="002C1A85" w:rsidRDefault="002C1A85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685C8" w14:textId="39DD9E94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Vehicles by Model (Top Models)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007"/>
        <w:gridCol w:w="540"/>
        <w:gridCol w:w="1419"/>
        <w:gridCol w:w="1081"/>
      </w:tblGrid>
      <w:tr w:rsidR="00A22623" w:rsidRPr="00A22623" w14:paraId="5BB8F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71F74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93E57CB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14:paraId="27BAD87F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103A22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Total Vehicles</w:t>
            </w:r>
          </w:p>
        </w:tc>
        <w:tc>
          <w:tcPr>
            <w:tcW w:w="0" w:type="auto"/>
            <w:vAlign w:val="center"/>
            <w:hideMark/>
          </w:tcPr>
          <w:p w14:paraId="7792F474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% of Total</w:t>
            </w:r>
          </w:p>
        </w:tc>
      </w:tr>
      <w:tr w:rsidR="00A22623" w:rsidRPr="00A22623" w14:paraId="65EEC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274E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Model Y</w:t>
            </w:r>
          </w:p>
        </w:tc>
        <w:tc>
          <w:tcPr>
            <w:tcW w:w="0" w:type="auto"/>
            <w:vAlign w:val="center"/>
            <w:hideMark/>
          </w:tcPr>
          <w:p w14:paraId="131BCDFB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Tesla</w:t>
            </w:r>
          </w:p>
        </w:tc>
        <w:tc>
          <w:tcPr>
            <w:tcW w:w="0" w:type="auto"/>
            <w:vAlign w:val="center"/>
            <w:hideMark/>
          </w:tcPr>
          <w:p w14:paraId="2CB9C637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BEV</w:t>
            </w:r>
          </w:p>
        </w:tc>
        <w:tc>
          <w:tcPr>
            <w:tcW w:w="0" w:type="auto"/>
            <w:vAlign w:val="center"/>
            <w:hideMark/>
          </w:tcPr>
          <w:p w14:paraId="6DF5F003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28,501</w:t>
            </w:r>
          </w:p>
        </w:tc>
        <w:tc>
          <w:tcPr>
            <w:tcW w:w="0" w:type="auto"/>
            <w:vAlign w:val="center"/>
            <w:hideMark/>
          </w:tcPr>
          <w:p w14:paraId="0F05A099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18.95%</w:t>
            </w:r>
          </w:p>
        </w:tc>
      </w:tr>
      <w:tr w:rsidR="00A22623" w:rsidRPr="00A22623" w14:paraId="682B2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1D92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Model 3</w:t>
            </w:r>
          </w:p>
        </w:tc>
        <w:tc>
          <w:tcPr>
            <w:tcW w:w="0" w:type="auto"/>
            <w:vAlign w:val="center"/>
            <w:hideMark/>
          </w:tcPr>
          <w:p w14:paraId="1B3826A9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Tesla</w:t>
            </w:r>
          </w:p>
        </w:tc>
        <w:tc>
          <w:tcPr>
            <w:tcW w:w="0" w:type="auto"/>
            <w:vAlign w:val="center"/>
            <w:hideMark/>
          </w:tcPr>
          <w:p w14:paraId="542FD2D9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BEV</w:t>
            </w:r>
          </w:p>
        </w:tc>
        <w:tc>
          <w:tcPr>
            <w:tcW w:w="0" w:type="auto"/>
            <w:vAlign w:val="center"/>
            <w:hideMark/>
          </w:tcPr>
          <w:p w14:paraId="49B8A42D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27,708</w:t>
            </w:r>
          </w:p>
        </w:tc>
        <w:tc>
          <w:tcPr>
            <w:tcW w:w="0" w:type="auto"/>
            <w:vAlign w:val="center"/>
            <w:hideMark/>
          </w:tcPr>
          <w:p w14:paraId="4B7F27EA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18.42%</w:t>
            </w:r>
          </w:p>
        </w:tc>
      </w:tr>
      <w:tr w:rsidR="00A22623" w:rsidRPr="00A22623" w14:paraId="5B841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01ACB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Leaf</w:t>
            </w:r>
          </w:p>
        </w:tc>
        <w:tc>
          <w:tcPr>
            <w:tcW w:w="0" w:type="auto"/>
            <w:vAlign w:val="center"/>
            <w:hideMark/>
          </w:tcPr>
          <w:p w14:paraId="19C0BCFC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Nissan</w:t>
            </w:r>
          </w:p>
        </w:tc>
        <w:tc>
          <w:tcPr>
            <w:tcW w:w="0" w:type="auto"/>
            <w:vAlign w:val="center"/>
            <w:hideMark/>
          </w:tcPr>
          <w:p w14:paraId="121EBDDB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BEV</w:t>
            </w:r>
          </w:p>
        </w:tc>
        <w:tc>
          <w:tcPr>
            <w:tcW w:w="0" w:type="auto"/>
            <w:vAlign w:val="center"/>
            <w:hideMark/>
          </w:tcPr>
          <w:p w14:paraId="406637C6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13,187</w:t>
            </w:r>
          </w:p>
        </w:tc>
        <w:tc>
          <w:tcPr>
            <w:tcW w:w="0" w:type="auto"/>
            <w:vAlign w:val="center"/>
            <w:hideMark/>
          </w:tcPr>
          <w:p w14:paraId="2C769021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8.77%</w:t>
            </w:r>
          </w:p>
        </w:tc>
      </w:tr>
      <w:tr w:rsidR="00A22623" w:rsidRPr="00A22623" w14:paraId="1FBF5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E422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Model S</w:t>
            </w:r>
          </w:p>
        </w:tc>
        <w:tc>
          <w:tcPr>
            <w:tcW w:w="0" w:type="auto"/>
            <w:vAlign w:val="center"/>
            <w:hideMark/>
          </w:tcPr>
          <w:p w14:paraId="4B92E104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Tesla</w:t>
            </w:r>
          </w:p>
        </w:tc>
        <w:tc>
          <w:tcPr>
            <w:tcW w:w="0" w:type="auto"/>
            <w:vAlign w:val="center"/>
            <w:hideMark/>
          </w:tcPr>
          <w:p w14:paraId="5CCF293F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BEV</w:t>
            </w:r>
          </w:p>
        </w:tc>
        <w:tc>
          <w:tcPr>
            <w:tcW w:w="0" w:type="auto"/>
            <w:vAlign w:val="center"/>
            <w:hideMark/>
          </w:tcPr>
          <w:p w14:paraId="126E4B14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7,609</w:t>
            </w:r>
          </w:p>
        </w:tc>
        <w:tc>
          <w:tcPr>
            <w:tcW w:w="0" w:type="auto"/>
            <w:vAlign w:val="center"/>
            <w:hideMark/>
          </w:tcPr>
          <w:p w14:paraId="2C42F50A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5.06%</w:t>
            </w:r>
          </w:p>
        </w:tc>
      </w:tr>
      <w:tr w:rsidR="00A22623" w:rsidRPr="00A22623" w14:paraId="57B95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D43F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Bolt EV</w:t>
            </w:r>
          </w:p>
        </w:tc>
        <w:tc>
          <w:tcPr>
            <w:tcW w:w="0" w:type="auto"/>
            <w:vAlign w:val="center"/>
            <w:hideMark/>
          </w:tcPr>
          <w:p w14:paraId="39102D3C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Chevrolet</w:t>
            </w:r>
          </w:p>
        </w:tc>
        <w:tc>
          <w:tcPr>
            <w:tcW w:w="0" w:type="auto"/>
            <w:vAlign w:val="center"/>
            <w:hideMark/>
          </w:tcPr>
          <w:p w14:paraId="3CA4210D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BEV</w:t>
            </w:r>
          </w:p>
        </w:tc>
        <w:tc>
          <w:tcPr>
            <w:tcW w:w="0" w:type="auto"/>
            <w:vAlign w:val="center"/>
            <w:hideMark/>
          </w:tcPr>
          <w:p w14:paraId="7F94C9C8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5,732</w:t>
            </w:r>
          </w:p>
        </w:tc>
        <w:tc>
          <w:tcPr>
            <w:tcW w:w="0" w:type="auto"/>
            <w:vAlign w:val="center"/>
            <w:hideMark/>
          </w:tcPr>
          <w:p w14:paraId="0A0E0A9A" w14:textId="77777777" w:rsidR="00A22623" w:rsidRPr="00A22623" w:rsidRDefault="00A22623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623">
              <w:rPr>
                <w:rFonts w:ascii="Times New Roman" w:hAnsi="Times New Roman" w:cs="Times New Roman"/>
                <w:sz w:val="24"/>
                <w:szCs w:val="24"/>
              </w:rPr>
              <w:t>3.81%</w:t>
            </w:r>
          </w:p>
        </w:tc>
      </w:tr>
      <w:tr w:rsidR="002C1A85" w:rsidRPr="00A22623" w14:paraId="26F4A630" w14:textId="77777777">
        <w:trPr>
          <w:tblCellSpacing w:w="15" w:type="dxa"/>
        </w:trPr>
        <w:tc>
          <w:tcPr>
            <w:tcW w:w="0" w:type="auto"/>
            <w:vAlign w:val="center"/>
          </w:tcPr>
          <w:p w14:paraId="0E83D2E6" w14:textId="77777777" w:rsidR="002C1A85" w:rsidRPr="00A22623" w:rsidRDefault="002C1A85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23E8BCE" w14:textId="77777777" w:rsidR="002C1A85" w:rsidRPr="00A22623" w:rsidRDefault="002C1A85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4865E43" w14:textId="77777777" w:rsidR="002C1A85" w:rsidRPr="00A22623" w:rsidRDefault="002C1A85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1DB1712" w14:textId="77777777" w:rsidR="002C1A85" w:rsidRPr="00A22623" w:rsidRDefault="002C1A85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D10C224" w14:textId="77777777" w:rsidR="002C1A85" w:rsidRPr="00A22623" w:rsidRDefault="002C1A85" w:rsidP="00A226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257BE3" w14:textId="12984161" w:rsidR="00A22623" w:rsidRDefault="00A22623" w:rsidP="002C1A85">
      <w:pPr>
        <w:tabs>
          <w:tab w:val="left" w:pos="129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Insights:</w:t>
      </w:r>
      <w:r w:rsidR="002C1A8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E971D7F" w14:textId="77777777" w:rsidR="002C1A85" w:rsidRPr="00A22623" w:rsidRDefault="002C1A85" w:rsidP="002C1A85">
      <w:pPr>
        <w:tabs>
          <w:tab w:val="left" w:pos="129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20EBD43" w14:textId="77777777" w:rsidR="00A22623" w:rsidRPr="00A22623" w:rsidRDefault="00A22623" w:rsidP="00A2262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Tesla Model Y and Model 3 together represent over 37% of all EVs—clear market dominance.</w:t>
      </w:r>
    </w:p>
    <w:p w14:paraId="2A7F6851" w14:textId="77777777" w:rsidR="00A22623" w:rsidRPr="00A22623" w:rsidRDefault="00A22623" w:rsidP="00A2262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Nissan Leaf stands out as the most popular non-Tesla model.</w:t>
      </w:r>
    </w:p>
    <w:p w14:paraId="74D1AF02" w14:textId="77777777" w:rsidR="00A22623" w:rsidRPr="00A22623" w:rsidRDefault="00A22623" w:rsidP="00A2262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BEVs overwhelmingly dominate model-wise distribution.</w:t>
      </w:r>
    </w:p>
    <w:p w14:paraId="2B33D9C9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pict w14:anchorId="5E442D65">
          <v:rect id="_x0000_i1191" style="width:0;height:1.5pt" o:hralign="center" o:hrstd="t" o:hr="t" fillcolor="#a0a0a0" stroked="f"/>
        </w:pict>
      </w:r>
    </w:p>
    <w:p w14:paraId="7F36C9CF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8. Overall Insights &amp; Conclusion</w:t>
      </w:r>
    </w:p>
    <w:p w14:paraId="73E90993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1. Strong EV Market Growth</w:t>
      </w:r>
    </w:p>
    <w:p w14:paraId="4E214483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Consistent year-over-year growth, especially after 2016.</w:t>
      </w:r>
    </w:p>
    <w:p w14:paraId="6D4E3605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2. Tesla Leads the Industry</w:t>
      </w:r>
    </w:p>
    <w:p w14:paraId="6C7B5540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Tesla holds the highest share in both make and model categories.</w:t>
      </w:r>
    </w:p>
    <w:p w14:paraId="528266C5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3. Consumers Prefer BEVs</w:t>
      </w:r>
    </w:p>
    <w:p w14:paraId="6FAD6A68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BEVs make up over 77% of total EVs, showing strong preference for full electric systems.</w:t>
      </w:r>
    </w:p>
    <w:p w14:paraId="6AD805A0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4. California Is the EV Hub of the U.S.</w:t>
      </w:r>
    </w:p>
    <w:p w14:paraId="7C5CB00D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With 50,000+ EVs, California is the clear leader in EV adoption.</w:t>
      </w:r>
    </w:p>
    <w:p w14:paraId="0ADAD657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t>5. CAFV Data Gaps Exist</w:t>
      </w:r>
    </w:p>
    <w:p w14:paraId="085D8593" w14:textId="77777777" w:rsid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Nearly half of the dataset lacks CAFV information, limiting clean-fuel compliance analysis.</w:t>
      </w:r>
    </w:p>
    <w:p w14:paraId="06DA1433" w14:textId="07E15DD1" w:rsid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</w:p>
    <w:p w14:paraId="03FDFC33" w14:textId="77777777" w:rsidR="002C1A85" w:rsidRDefault="002C1A85" w:rsidP="00A22623">
      <w:pPr>
        <w:rPr>
          <w:rFonts w:ascii="Times New Roman" w:hAnsi="Times New Roman" w:cs="Times New Roman"/>
          <w:sz w:val="24"/>
          <w:szCs w:val="24"/>
        </w:rPr>
      </w:pPr>
    </w:p>
    <w:p w14:paraId="2022EA19" w14:textId="77777777" w:rsidR="002C1A85" w:rsidRDefault="002C1A85" w:rsidP="00A22623">
      <w:pPr>
        <w:rPr>
          <w:rFonts w:ascii="Times New Roman" w:hAnsi="Times New Roman" w:cs="Times New Roman"/>
          <w:sz w:val="24"/>
          <w:szCs w:val="24"/>
        </w:rPr>
      </w:pPr>
    </w:p>
    <w:p w14:paraId="7B5E2AA8" w14:textId="77777777" w:rsidR="002C1A85" w:rsidRPr="00A22623" w:rsidRDefault="002C1A85" w:rsidP="00A22623">
      <w:pPr>
        <w:rPr>
          <w:rFonts w:ascii="Times New Roman" w:hAnsi="Times New Roman" w:cs="Times New Roman"/>
          <w:sz w:val="24"/>
          <w:szCs w:val="24"/>
        </w:rPr>
      </w:pPr>
    </w:p>
    <w:p w14:paraId="77459A0D" w14:textId="77777777" w:rsidR="00A22623" w:rsidRPr="00A22623" w:rsidRDefault="00A22623" w:rsidP="00A22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Final Summary</w:t>
      </w:r>
    </w:p>
    <w:p w14:paraId="4433E766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>This Tableau dashboard clearly illustrates rapid EV growth across the U.S., heavily driven by BEVs and led by Tesla.</w:t>
      </w:r>
      <w:r w:rsidRPr="00A22623">
        <w:rPr>
          <w:rFonts w:ascii="Times New Roman" w:hAnsi="Times New Roman" w:cs="Times New Roman"/>
          <w:sz w:val="24"/>
          <w:szCs w:val="24"/>
        </w:rPr>
        <w:br/>
        <w:t>State-level adoption is highest in California and other urban regions.</w:t>
      </w:r>
      <w:r w:rsidRPr="00A22623">
        <w:rPr>
          <w:rFonts w:ascii="Times New Roman" w:hAnsi="Times New Roman" w:cs="Times New Roman"/>
          <w:sz w:val="24"/>
          <w:szCs w:val="24"/>
        </w:rPr>
        <w:br/>
        <w:t>Although CAFV eligibility data is partially missing, available records show a strong trend toward clean-fuel compliance.</w:t>
      </w:r>
    </w:p>
    <w:p w14:paraId="16410581" w14:textId="77777777" w:rsidR="00A22623" w:rsidRPr="00A22623" w:rsidRDefault="00A22623" w:rsidP="00A22623">
      <w:pPr>
        <w:rPr>
          <w:rFonts w:ascii="Times New Roman" w:hAnsi="Times New Roman" w:cs="Times New Roman"/>
          <w:sz w:val="24"/>
          <w:szCs w:val="24"/>
        </w:rPr>
      </w:pPr>
      <w:r w:rsidRPr="00A22623">
        <w:rPr>
          <w:rFonts w:ascii="Times New Roman" w:hAnsi="Times New Roman" w:cs="Times New Roman"/>
          <w:sz w:val="24"/>
          <w:szCs w:val="24"/>
        </w:rPr>
        <w:t xml:space="preserve">Overall, this Tableau project provides meaningful insights for policymakers, researchers, EV manufacturers, and energy planners, offering a detailed understanding of EV market </w:t>
      </w:r>
      <w:proofErr w:type="spellStart"/>
      <w:r w:rsidRPr="00A2262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22623">
        <w:rPr>
          <w:rFonts w:ascii="Times New Roman" w:hAnsi="Times New Roman" w:cs="Times New Roman"/>
          <w:sz w:val="24"/>
          <w:szCs w:val="24"/>
        </w:rPr>
        <w:t>, model performance, and geographic adoption.</w:t>
      </w:r>
    </w:p>
    <w:p w14:paraId="574EE818" w14:textId="77777777" w:rsidR="00C21CBA" w:rsidRPr="00A22623" w:rsidRDefault="00C21CBA">
      <w:pPr>
        <w:rPr>
          <w:rFonts w:ascii="Times New Roman" w:hAnsi="Times New Roman" w:cs="Times New Roman"/>
          <w:sz w:val="24"/>
          <w:szCs w:val="24"/>
        </w:rPr>
      </w:pPr>
    </w:p>
    <w:sectPr w:rsidR="00C21CBA" w:rsidRPr="00A22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ACA"/>
    <w:multiLevelType w:val="hybridMultilevel"/>
    <w:tmpl w:val="5F4C64F0"/>
    <w:lvl w:ilvl="0" w:tplc="40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1" w15:restartNumberingAfterBreak="0">
    <w:nsid w:val="1C04092B"/>
    <w:multiLevelType w:val="hybridMultilevel"/>
    <w:tmpl w:val="E26AA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1F6B"/>
    <w:multiLevelType w:val="hybridMultilevel"/>
    <w:tmpl w:val="21A292D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F6B0861"/>
    <w:multiLevelType w:val="multilevel"/>
    <w:tmpl w:val="36A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E74C9"/>
    <w:multiLevelType w:val="multilevel"/>
    <w:tmpl w:val="1614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71012"/>
    <w:multiLevelType w:val="hybridMultilevel"/>
    <w:tmpl w:val="67F46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A7259"/>
    <w:multiLevelType w:val="multilevel"/>
    <w:tmpl w:val="3F0C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F6016"/>
    <w:multiLevelType w:val="multilevel"/>
    <w:tmpl w:val="DC80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A2E6F"/>
    <w:multiLevelType w:val="hybridMultilevel"/>
    <w:tmpl w:val="27345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FC6169"/>
    <w:multiLevelType w:val="multilevel"/>
    <w:tmpl w:val="A870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11FD6"/>
    <w:multiLevelType w:val="multilevel"/>
    <w:tmpl w:val="FBEC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519C1"/>
    <w:multiLevelType w:val="multilevel"/>
    <w:tmpl w:val="533E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E628E"/>
    <w:multiLevelType w:val="multilevel"/>
    <w:tmpl w:val="445E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F5B8E"/>
    <w:multiLevelType w:val="multilevel"/>
    <w:tmpl w:val="25C4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43599"/>
    <w:multiLevelType w:val="multilevel"/>
    <w:tmpl w:val="E556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43345"/>
    <w:multiLevelType w:val="multilevel"/>
    <w:tmpl w:val="5B36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488403">
    <w:abstractNumId w:val="10"/>
  </w:num>
  <w:num w:numId="2" w16cid:durableId="706375446">
    <w:abstractNumId w:val="9"/>
  </w:num>
  <w:num w:numId="3" w16cid:durableId="659039230">
    <w:abstractNumId w:val="14"/>
  </w:num>
  <w:num w:numId="4" w16cid:durableId="1487431287">
    <w:abstractNumId w:val="12"/>
  </w:num>
  <w:num w:numId="5" w16cid:durableId="72094276">
    <w:abstractNumId w:val="0"/>
  </w:num>
  <w:num w:numId="6" w16cid:durableId="762802401">
    <w:abstractNumId w:val="8"/>
  </w:num>
  <w:num w:numId="7" w16cid:durableId="519201035">
    <w:abstractNumId w:val="1"/>
  </w:num>
  <w:num w:numId="8" w16cid:durableId="556935321">
    <w:abstractNumId w:val="5"/>
  </w:num>
  <w:num w:numId="9" w16cid:durableId="2085757681">
    <w:abstractNumId w:val="2"/>
  </w:num>
  <w:num w:numId="10" w16cid:durableId="1197699757">
    <w:abstractNumId w:val="11"/>
  </w:num>
  <w:num w:numId="11" w16cid:durableId="790318718">
    <w:abstractNumId w:val="6"/>
  </w:num>
  <w:num w:numId="12" w16cid:durableId="295599656">
    <w:abstractNumId w:val="15"/>
  </w:num>
  <w:num w:numId="13" w16cid:durableId="1912736691">
    <w:abstractNumId w:val="3"/>
  </w:num>
  <w:num w:numId="14" w16cid:durableId="1961378686">
    <w:abstractNumId w:val="13"/>
  </w:num>
  <w:num w:numId="15" w16cid:durableId="2123108678">
    <w:abstractNumId w:val="7"/>
  </w:num>
  <w:num w:numId="16" w16cid:durableId="1183059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7D"/>
    <w:rsid w:val="002C1A85"/>
    <w:rsid w:val="002D0C3B"/>
    <w:rsid w:val="003D107D"/>
    <w:rsid w:val="00A22623"/>
    <w:rsid w:val="00C21CBA"/>
    <w:rsid w:val="00D75CC4"/>
    <w:rsid w:val="00EA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4CF8B"/>
  <w15:chartTrackingRefBased/>
  <w15:docId w15:val="{FA655583-C1A5-49A9-A3D5-B24C94593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Birajdar</dc:creator>
  <cp:keywords/>
  <dc:description/>
  <cp:lastModifiedBy>Satyam Birajdar</cp:lastModifiedBy>
  <cp:revision>2</cp:revision>
  <dcterms:created xsi:type="dcterms:W3CDTF">2025-11-26T09:28:00Z</dcterms:created>
  <dcterms:modified xsi:type="dcterms:W3CDTF">2025-11-26T09:28:00Z</dcterms:modified>
</cp:coreProperties>
</file>