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DEMO DAY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Nombre Equipo: Equipo Genuino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Título Proyecto: Monitoreo de la calidad del aire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Descripción:</w:t>
      </w:r>
    </w:p>
    <w:p w:rsidR="00000000" w:rsidDel="00000000" w:rsidP="00000000" w:rsidRDefault="00000000" w:rsidRPr="00000000" w14:paraId="00000008">
      <w:pPr>
        <w:spacing w:before="200" w:line="288.00000000000006" w:lineRule="auto"/>
        <w:jc w:val="both"/>
        <w:rPr>
          <w:b w:val="1"/>
          <w:sz w:val="20"/>
          <w:szCs w:val="20"/>
        </w:rPr>
      </w:pPr>
      <w:r w:rsidDel="00000000" w:rsidR="00000000" w:rsidRPr="00000000">
        <w:rPr>
          <w:b w:val="1"/>
          <w:sz w:val="20"/>
          <w:szCs w:val="20"/>
          <w:rtl w:val="0"/>
        </w:rPr>
        <w:t xml:space="preserve">El Proyecto AIRE LIMPIO ha fomentado el establecimiento de redes de monitoreo de la calidad del aire en diferentes ciudades del país, agrupadas actualmente en la Red Nacional de Monitoreo de la Calidad del Aire (Red MoniCA Bolivia).</w:t>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De acuerdo a la Norma Boliviana NB 62011:2008, Calidad del aire - Contaminantes criterio exterior - Límites máximos permisibles del Instituto Boliviano de Normalización y Calidad (IBNORCA), se establece los siguientes contaminantes criterio con sus correspondientes definiciones y descripciones:</w:t>
      </w:r>
    </w:p>
    <w:p w:rsidR="00000000" w:rsidDel="00000000" w:rsidP="00000000" w:rsidRDefault="00000000" w:rsidRPr="00000000" w14:paraId="0000000B">
      <w:pPr>
        <w:rPr>
          <w:b w:val="1"/>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Monóxido de carbono (CO)</w:t>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Ozono (O3)</w:t>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Dióxido de nitrógeno (NO2)</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Material particulado con diámetro equivalente menor a 10 micrómetros (PM10)</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Dióxido de azufre (SO2)</w:t>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Plomo (Pb)</w:t>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Partículas totales en suspensión (PTS)</w:t>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El análisis de datos se basa en la información obtenida de los PM10, registro que se encuentra disponible en la página web del Ministerio de Medio Ambiente y Agua:</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http://snia.mmaya.gob.bo/web/modulos/PNGCA/#</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Integrantes: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Rosina García Pilcomayo</w:t>
      </w:r>
    </w:p>
    <w:p w:rsidR="00000000" w:rsidDel="00000000" w:rsidP="00000000" w:rsidRDefault="00000000" w:rsidRPr="00000000" w14:paraId="0000001B">
      <w:pPr>
        <w:rPr>
          <w:b w:val="1"/>
        </w:rPr>
      </w:pPr>
      <w:r w:rsidDel="00000000" w:rsidR="00000000" w:rsidRPr="00000000">
        <w:rPr>
          <w:b w:val="1"/>
          <w:rtl w:val="0"/>
        </w:rPr>
        <w:t xml:space="preserve">John Ariel Paz Laura</w:t>
      </w:r>
    </w:p>
    <w:p w:rsidR="00000000" w:rsidDel="00000000" w:rsidP="00000000" w:rsidRDefault="00000000" w:rsidRPr="00000000" w14:paraId="0000001C">
      <w:pPr>
        <w:rPr/>
      </w:pPr>
      <w:r w:rsidDel="00000000" w:rsidR="00000000" w:rsidRPr="00000000">
        <w:rPr>
          <w:b w:val="1"/>
          <w:rtl w:val="0"/>
        </w:rPr>
        <w:t xml:space="preserve">Jhenny Jimena Callapa Quispe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