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69D20" w14:textId="77777777" w:rsidR="006C1839" w:rsidRPr="006C1839" w:rsidRDefault="006C1839" w:rsidP="006C1839">
      <w:r w:rsidRPr="006C1839">
        <w:t xml:space="preserve">세계화는 여러 나라의 재화, 서비스와 같은 상품시장과 노동, 자본과 같은 생산요소시장이 하나로 통합되는 과정을 뜻한다. 이 통합은 특히 19세기 후반의 1차 세계화와 20세기 후반의 2차 세계화 과정으로 나타났으며, 기술의 발전과 더불어 정치적 변화가 세계화의 주요 원동력이었다. 상품시장 통합은 무역을 통해 국가 간 상품 가격의 격차가 줄어드는 과정이다. 이것은 운송 수단과 생산 기술의 발달과 같은 기술적 요인과 1차 세계화에서 제국주의와 같은 제도적 요인이 맞물려 진행되었다. 또한 이와 더불어 금융 제도 또한 거래 비용의 감소와 같은 역할을 했다. 20세기 무역에선 산업 내 무역의 성장, 글로벌 가치 사슬 단절, </w:t>
      </w:r>
      <w:proofErr w:type="spellStart"/>
      <w:r w:rsidRPr="006C1839">
        <w:t>초무역</w:t>
      </w:r>
      <w:proofErr w:type="spellEnd"/>
      <w:r w:rsidRPr="006C1839">
        <w:t xml:space="preserve"> 경제의 등장, 저임금 제조업 수출국의 대두와 같은 특징이 관찰되었다.</w:t>
      </w:r>
    </w:p>
    <w:p w14:paraId="7EF69AD4" w14:textId="77777777" w:rsidR="006C1839" w:rsidRPr="006C1839" w:rsidRDefault="006C1839" w:rsidP="006C1839">
      <w:r w:rsidRPr="006C1839">
        <w:t xml:space="preserve">생산요소시장 통합은 노동, 자본이 국가 간에 이동하면서 임금과 자본수익률 같은 생산 요소 가격이 수렴하는 것을 의미한다. 20세기 자본 시장의 통합은 직접투자의 비중이 커지며 서비스 FDI와 같이 </w:t>
      </w:r>
      <w:proofErr w:type="spellStart"/>
      <w:r w:rsidRPr="006C1839">
        <w:t>상품뿐만이</w:t>
      </w:r>
      <w:proofErr w:type="spellEnd"/>
      <w:r w:rsidRPr="006C1839">
        <w:t xml:space="preserve"> 아닌 서비스도 투자의 대상이 되었고, 이를 통해 각국의 자본 시장이 밀접하게 연결되어 정보의 비대칭, 계약의 부재, 거시경제적 위험이 줄어드는 결과를 보였다. 노동 시장의 통합은 이민을 통해 실현되었고, 이민을 통하지 않고서도 기술의 진보나 생산의 특화를 통해 요소가격 균등화가 이루어졌다. 단, 20세기에 들어서는 이민이 실질임금과 소득분배에서 갖는 의미가 줄어들었다.</w:t>
      </w:r>
    </w:p>
    <w:p w14:paraId="559EBEC9" w14:textId="77777777" w:rsidR="006C1839" w:rsidRPr="006C1839" w:rsidRDefault="006C1839" w:rsidP="006C1839">
      <w:r w:rsidRPr="006C1839">
        <w:t xml:space="preserve">그러나 세계화가 가지는 상품가격 하락과 요소가격 수렴의 이면엔 다음과 같은 부작용 또한 존재한다. 세계화는 국가 간, 그리고 국가 내에서 경제적 불평등을 </w:t>
      </w:r>
      <w:proofErr w:type="spellStart"/>
      <w:r w:rsidRPr="006C1839">
        <w:t>심화시킨다</w:t>
      </w:r>
      <w:proofErr w:type="spellEnd"/>
      <w:r w:rsidRPr="006C1839">
        <w:t xml:space="preserve">. 세계화로 인해 요소 가격이 </w:t>
      </w:r>
      <w:proofErr w:type="spellStart"/>
      <w:r w:rsidRPr="006C1839">
        <w:t>균등화되면</w:t>
      </w:r>
      <w:proofErr w:type="spellEnd"/>
      <w:r w:rsidRPr="006C1839">
        <w:t xml:space="preserve"> 어떤 국가의 임금은 상승하고 다른 국가에서는 하락하면서 자본을 가진 이익 국가 또는 계층은 이득을 보지만 그렇지 못한 국가나 계층은 어려움을 겪는다. 자본시장 통합으로 인한 불확실성 증가는 금융 위기의 빈도와 강도, 전염성에 있어서 악화를 초래한다. 특히 단기 자본의 이동은 IMF 등 국제기구의 요구 조건과 결합된다면 금융 후진국과 같은 소규모 경제에서 심각한 영향을 미칠 수 있으며 이것을 통해 반세계화 및 세계화의 후퇴가 이루어질 수 있다. 경제적 지역주의 또한 무역 창출, 국제적 협의의 간편화와 같은 장점을 가지지만 저개발국을 배제할 경우 나타나는 저개발국의 발전 저해, 무역 전환으로 인한 경제 효율 달성의 저해, 강대국과 약소국 간 착취의 가능성과 같은 단점이 존재한다.</w:t>
      </w:r>
    </w:p>
    <w:p w14:paraId="460A03F4" w14:textId="066FBCBC" w:rsidR="006C1839" w:rsidRDefault="006C1839" w:rsidP="006C1839">
      <w:r w:rsidRPr="006C1839">
        <w:t>위와 같은 세계화의 부작용을 관리하기 위해 체제의 규칙을 정하는 거버넌스가 세계화에 있어 중요한 과제다. 이 과정에서 수반될 협상에서는 선진국 간의 협력과 미국의 리더십이 필요하다. 한편, 세계화의 전망에는 다음과 같은 요소들을 고려해 볼 수 있다. 먼저 기술의 발달로 인해 노동의 가치가 저하되고 있으며 이는 20세기 생산요소시장 통합의 특징인 실질임금 감소와 소득분배에서 갖는 노동의 비율 감소라는 요인들이 더욱 심화될 것으로 생각된다.</w:t>
      </w:r>
    </w:p>
    <w:p w14:paraId="07A82602" w14:textId="77777777" w:rsidR="006C1839" w:rsidRDefault="006C1839">
      <w:pPr>
        <w:widowControl/>
        <w:wordWrap/>
        <w:autoSpaceDE/>
        <w:autoSpaceDN/>
      </w:pPr>
      <w:r>
        <w:br w:type="page"/>
      </w:r>
    </w:p>
    <w:p w14:paraId="49464575" w14:textId="20C61D60" w:rsidR="006C1839" w:rsidRPr="006C1839" w:rsidRDefault="006C1839" w:rsidP="006C1839">
      <w:pPr>
        <w:widowControl/>
        <w:wordWrap/>
        <w:autoSpaceDE/>
        <w:autoSpaceDN/>
      </w:pPr>
      <w:r>
        <w:rPr>
          <w:rFonts w:hint="eastAsia"/>
        </w:rPr>
        <w:lastRenderedPageBreak/>
        <w:t>자</w:t>
      </w:r>
      <w:r w:rsidRPr="006C1839">
        <w:t xml:space="preserve">본주의 황금기는 2차 세계대전 후 1970년대 초반까지 약 30년간 지속된 경제 번영과 사회 안정의 시기입니다. 미국을 비롯한 선진국들은 급격한 성장, 낮은 실업, 안정적 물가, 소득 불평등 완화를 경험했습니다. 미국은 무기대여 협약, </w:t>
      </w:r>
      <w:proofErr w:type="spellStart"/>
      <w:r w:rsidRPr="006C1839">
        <w:t>브레튼우즈</w:t>
      </w:r>
      <w:proofErr w:type="spellEnd"/>
      <w:r w:rsidRPr="006C1839">
        <w:t xml:space="preserve"> 체제, GATT 체제, 마셜 플랜 등을 통해 전후 경제 질서를 주도했습니다. 이 황금기의 원동력은 무엇일까요?</w:t>
      </w:r>
    </w:p>
    <w:p w14:paraId="27E37E95" w14:textId="77777777" w:rsidR="006C1839" w:rsidRPr="006C1839" w:rsidRDefault="006C1839" w:rsidP="006C1839">
      <w:pPr>
        <w:widowControl/>
        <w:wordWrap/>
        <w:autoSpaceDE/>
        <w:autoSpaceDN/>
      </w:pPr>
      <w:r w:rsidRPr="006C1839">
        <w:rPr>
          <w:b/>
          <w:bCs/>
        </w:rPr>
        <w:t>첫째, 전통적 해석은 노동 공급 증가와 자본 투자 확대를 핵심으로 봅니다.</w:t>
      </w:r>
      <w:r w:rsidRPr="006C1839">
        <w:t xml:space="preserve"> 인구 증가, 여성 노동 참여 확대, 산업 구조 변화, 이민 유입으로 노동 공급이 </w:t>
      </w:r>
      <w:proofErr w:type="spellStart"/>
      <w:r w:rsidRPr="006C1839">
        <w:t>풍부해졌고</w:t>
      </w:r>
      <w:proofErr w:type="spellEnd"/>
      <w:r w:rsidRPr="006C1839">
        <w:t>, 이는 이윤율 증가와 투자 확대로 이어져 기술 발전과 생산성 향상을 낳았습니다. 특히 기술 집약적 자본재 투자가 경제 성장을 가속화했고, 수출 주도 성장, 미국 경제 호황, 유럽 교역 확대, 한국전쟁 특수 등도 성장에 기여했습니다.</w:t>
      </w:r>
    </w:p>
    <w:p w14:paraId="5D7BF53E" w14:textId="77777777" w:rsidR="006C1839" w:rsidRPr="006C1839" w:rsidRDefault="006C1839" w:rsidP="006C1839">
      <w:pPr>
        <w:widowControl/>
        <w:wordWrap/>
        <w:autoSpaceDE/>
        <w:autoSpaceDN/>
      </w:pPr>
      <w:r w:rsidRPr="006C1839">
        <w:rPr>
          <w:b/>
          <w:bCs/>
        </w:rPr>
        <w:t>둘째, 장기 파동 가설은 황금기를 기술 혁신 사이클의 상승 국면으로 봅니다.</w:t>
      </w:r>
      <w:r w:rsidRPr="006C1839">
        <w:t xml:space="preserve"> </w:t>
      </w:r>
      <w:proofErr w:type="spellStart"/>
      <w:r w:rsidRPr="006C1839">
        <w:t>브로델과</w:t>
      </w:r>
      <w:proofErr w:type="spellEnd"/>
      <w:r w:rsidRPr="006C1839">
        <w:t xml:space="preserve"> </w:t>
      </w:r>
      <w:proofErr w:type="spellStart"/>
      <w:r w:rsidRPr="006C1839">
        <w:t>페레즈는</w:t>
      </w:r>
      <w:proofErr w:type="spellEnd"/>
      <w:r w:rsidRPr="006C1839">
        <w:t xml:space="preserve"> 주기적 기술 혁신이 폭발적 성장을 이끈다고 주장하며, </w:t>
      </w:r>
      <w:proofErr w:type="spellStart"/>
      <w:r w:rsidRPr="006C1839">
        <w:t>페레즈는</w:t>
      </w:r>
      <w:proofErr w:type="spellEnd"/>
      <w:r w:rsidRPr="006C1839">
        <w:t xml:space="preserve"> 특히 5가지 기술 혁명이 이 시기 성장을 견인했다고 봅니다. 마르크스주의자들은 자본 이윤율 상승과 산출자본비율 개선을 황금기의 원인으로 보며, 고비용 생산 퇴출과 노동생산성 향상이 이를 뒷받침한다고 설명합니다.</w:t>
      </w:r>
    </w:p>
    <w:p w14:paraId="777C2090" w14:textId="77777777" w:rsidR="006C1839" w:rsidRPr="006C1839" w:rsidRDefault="006C1839" w:rsidP="006C1839">
      <w:pPr>
        <w:widowControl/>
        <w:wordWrap/>
        <w:autoSpaceDE/>
        <w:autoSpaceDN/>
      </w:pPr>
      <w:r w:rsidRPr="006C1839">
        <w:rPr>
          <w:b/>
          <w:bCs/>
        </w:rPr>
        <w:t>셋째, 따라잡기와 수렴 가설은 유럽과 일본이 미국의 생산성을 따라잡은 것에 주목합니다.</w:t>
      </w:r>
      <w:r w:rsidRPr="006C1839">
        <w:t xml:space="preserve"> 성장 회계 분석에 따르면, 이들의 성장은 총요소생산성(TFP) 향상에 기인합니다. </w:t>
      </w:r>
      <w:proofErr w:type="spellStart"/>
      <w:r w:rsidRPr="006C1839">
        <w:t>아브라모비츠는</w:t>
      </w:r>
      <w:proofErr w:type="spellEnd"/>
      <w:r w:rsidRPr="006C1839">
        <w:t xml:space="preserve"> 인적 자본, 대량 생산, 정치 안정, 협력적 노사 관계 등 사회적 성장 능력이 이를 가능케 했다고 봅니다.</w:t>
      </w:r>
    </w:p>
    <w:p w14:paraId="6FFA3ABB" w14:textId="77777777" w:rsidR="006C1839" w:rsidRPr="006C1839" w:rsidRDefault="006C1839" w:rsidP="006C1839">
      <w:pPr>
        <w:widowControl/>
        <w:wordWrap/>
        <w:autoSpaceDE/>
        <w:autoSpaceDN/>
      </w:pPr>
      <w:r w:rsidRPr="006C1839">
        <w:rPr>
          <w:b/>
          <w:bCs/>
        </w:rPr>
        <w:t xml:space="preserve">넷째, </w:t>
      </w:r>
      <w:proofErr w:type="spellStart"/>
      <w:r w:rsidRPr="006C1839">
        <w:rPr>
          <w:b/>
          <w:bCs/>
        </w:rPr>
        <w:t>아이켄그린의</w:t>
      </w:r>
      <w:proofErr w:type="spellEnd"/>
      <w:r w:rsidRPr="006C1839">
        <w:rPr>
          <w:b/>
          <w:bCs/>
        </w:rPr>
        <w:t xml:space="preserve"> 협조 균형 가설은 노사 협력이 황금기를 이끌었다고 봅니다.</w:t>
      </w:r>
      <w:r w:rsidRPr="006C1839">
        <w:t xml:space="preserve"> 임금 인상 자제와 적극적 투자가 고성장을 이끌었고, 노사 협의체와 장기 계약이 이를 뒷받침했습니다.</w:t>
      </w:r>
    </w:p>
    <w:p w14:paraId="6DAC130A" w14:textId="77777777" w:rsidR="006C1839" w:rsidRPr="006C1839" w:rsidRDefault="006C1839" w:rsidP="006C1839">
      <w:pPr>
        <w:widowControl/>
        <w:wordWrap/>
        <w:autoSpaceDE/>
        <w:autoSpaceDN/>
      </w:pPr>
      <w:r w:rsidRPr="006C1839">
        <w:rPr>
          <w:b/>
          <w:bCs/>
        </w:rPr>
        <w:t>기타 이론으로, 신성장 이론</w:t>
      </w:r>
      <w:r w:rsidRPr="006C1839">
        <w:t xml:space="preserve">은 인적 자본, 지식, 제도의 역할을 강조하지만 측정에 한계가 있습니다. </w:t>
      </w:r>
      <w:proofErr w:type="spellStart"/>
      <w:r w:rsidRPr="006C1839">
        <w:rPr>
          <w:b/>
          <w:bCs/>
        </w:rPr>
        <w:t>고든의</w:t>
      </w:r>
      <w:proofErr w:type="spellEnd"/>
      <w:r w:rsidRPr="006C1839">
        <w:rPr>
          <w:b/>
          <w:bCs/>
        </w:rPr>
        <w:t xml:space="preserve"> 'One Big Wave' 가설</w:t>
      </w:r>
      <w:r w:rsidRPr="006C1839">
        <w:t>은 황금기를 전기, 내연기관, 석유화학, 정보통신 등 주요 발명군에 의한 기술 진보의 정점으로 봅니다.</w:t>
      </w:r>
    </w:p>
    <w:p w14:paraId="7D635141" w14:textId="77777777" w:rsidR="006C1839" w:rsidRPr="006C1839" w:rsidRDefault="006C1839" w:rsidP="006C1839">
      <w:pPr>
        <w:widowControl/>
        <w:wordWrap/>
        <w:autoSpaceDE/>
        <w:autoSpaceDN/>
      </w:pPr>
      <w:r w:rsidRPr="006C1839">
        <w:t>결론적으로, 황금기는 노동 공급, 자본 투자, 기술 혁신, 따라잡기, 노사 협력 등 다양한 요인이 복합적으로 작용한 결과입니다.</w:t>
      </w:r>
    </w:p>
    <w:p w14:paraId="4F973508" w14:textId="77777777" w:rsidR="00AB73BC" w:rsidRDefault="00AB73BC">
      <w:pPr>
        <w:widowControl/>
        <w:wordWrap/>
        <w:autoSpaceDE/>
        <w:autoSpaceDN/>
      </w:pPr>
      <w:r>
        <w:br w:type="page"/>
      </w:r>
    </w:p>
    <w:p w14:paraId="4A32DD2A" w14:textId="77777777" w:rsidR="00AB73BC" w:rsidRPr="00AB73BC" w:rsidRDefault="00AB73BC" w:rsidP="00AB73BC">
      <w:r w:rsidRPr="00AB73BC">
        <w:lastRenderedPageBreak/>
        <w:t xml:space="preserve">1944년 출범한 </w:t>
      </w:r>
      <w:proofErr w:type="spellStart"/>
      <w:r w:rsidRPr="00AB73BC">
        <w:t>브레튼우즈</w:t>
      </w:r>
      <w:proofErr w:type="spellEnd"/>
      <w:r w:rsidRPr="00AB73BC">
        <w:t xml:space="preserve"> 체제는 조정가능한 고정환율제를 기반으로 전후 금융 질서를 이끌었다. 미국 달러를 기축통화로, 타국 통화는 달러에 고정하는 방식이었다. 그러나 기축 통화국의 경상수지 적자가 지속되면 달러 가치가 하락하고, 반대로 적자가 줄면 국제 유동성이 부족해지는 </w:t>
      </w:r>
      <w:proofErr w:type="spellStart"/>
      <w:r w:rsidRPr="00AB73BC">
        <w:rPr>
          <w:b/>
          <w:bCs/>
        </w:rPr>
        <w:t>트리핀</w:t>
      </w:r>
      <w:proofErr w:type="spellEnd"/>
      <w:r w:rsidRPr="00AB73BC">
        <w:rPr>
          <w:b/>
          <w:bCs/>
        </w:rPr>
        <w:t xml:space="preserve"> 딜레마</w:t>
      </w:r>
      <w:r w:rsidRPr="00AB73BC">
        <w:t>에 직면했다. 베트남 전쟁, 유럽과 일본의 성장, 금 가격 상승 압력이 겹치며 1971년 닉슨 쇼크로 체제는 붕괴했다.</w:t>
      </w:r>
    </w:p>
    <w:p w14:paraId="1C5B7525" w14:textId="79839440" w:rsidR="00AB73BC" w:rsidRPr="00AB73BC" w:rsidRDefault="00AB73BC" w:rsidP="00AB73BC">
      <w:r w:rsidRPr="00AB73BC">
        <w:t xml:space="preserve">이후 변동환율제 기반의 </w:t>
      </w:r>
      <w:proofErr w:type="spellStart"/>
      <w:r w:rsidRPr="00AB73BC">
        <w:rPr>
          <w:b/>
          <w:bCs/>
        </w:rPr>
        <w:t>신브레튼우즈</w:t>
      </w:r>
      <w:proofErr w:type="spellEnd"/>
      <w:r w:rsidRPr="00AB73BC">
        <w:rPr>
          <w:b/>
          <w:bCs/>
        </w:rPr>
        <w:t xml:space="preserve"> 체제</w:t>
      </w:r>
      <w:r w:rsidRPr="00AB73BC">
        <w:t xml:space="preserve">가 등장했다. 이는 학계에서 비유적으로 쓰이는 용어다. 미국이 기축통화국으로서 국제준비금을 공급하고, 신흥국은 자국 통화를 달러에 연동시키는 구조다. 미국은 경상수지 적자를 지속하고, 신흥국은 흑자를 유지하는 </w:t>
      </w:r>
      <w:r w:rsidRPr="00AB73BC">
        <w:rPr>
          <w:b/>
          <w:bCs/>
        </w:rPr>
        <w:t>글로벌 불균형</w:t>
      </w:r>
      <w:r w:rsidRPr="00AB73BC">
        <w:t xml:space="preserve">이 특징이다. 1990년대 이후 </w:t>
      </w:r>
      <w:proofErr w:type="spellStart"/>
      <w:r w:rsidRPr="00AB73BC">
        <w:rPr>
          <w:b/>
          <w:bCs/>
        </w:rPr>
        <w:t>차이메리카</w:t>
      </w:r>
      <w:proofErr w:type="spellEnd"/>
      <w:r w:rsidRPr="00AB73BC">
        <w:rPr>
          <w:b/>
          <w:bCs/>
        </w:rPr>
        <w:t>(</w:t>
      </w:r>
      <w:proofErr w:type="spellStart"/>
      <w:r w:rsidRPr="00AB73BC">
        <w:rPr>
          <w:b/>
          <w:bCs/>
        </w:rPr>
        <w:t>Chimerica</w:t>
      </w:r>
      <w:proofErr w:type="spellEnd"/>
      <w:r w:rsidRPr="00AB73BC">
        <w:rPr>
          <w:b/>
          <w:bCs/>
        </w:rPr>
        <w:t>)</w:t>
      </w:r>
      <w:r w:rsidRPr="00AB73BC">
        <w:t xml:space="preserve">라 불리는 미-중 간 상호의존성이 이를 </w:t>
      </w:r>
      <w:proofErr w:type="spellStart"/>
      <w:r w:rsidRPr="00AB73BC">
        <w:t>심화시켰으나</w:t>
      </w:r>
      <w:proofErr w:type="spellEnd"/>
      <w:r w:rsidRPr="00AB73BC">
        <w:t>, 자산 거품, 금융위기 위험 등 부작용도 컸다.</w:t>
      </w:r>
    </w:p>
    <w:p w14:paraId="7BA9BA98" w14:textId="77777777" w:rsidR="00AB73BC" w:rsidRPr="00AB73BC" w:rsidRDefault="00AB73BC" w:rsidP="00AB73BC">
      <w:r w:rsidRPr="00AB73BC">
        <w:t xml:space="preserve">무역 질서에서는 1995년 GATT를 대체하여 </w:t>
      </w:r>
      <w:r w:rsidRPr="00AB73BC">
        <w:rPr>
          <w:b/>
          <w:bCs/>
        </w:rPr>
        <w:t>WTO</w:t>
      </w:r>
      <w:r w:rsidRPr="00AB73BC">
        <w:t xml:space="preserve">가 출범했다. WTO는 </w:t>
      </w:r>
      <w:r w:rsidRPr="00AB73BC">
        <w:rPr>
          <w:b/>
          <w:bCs/>
        </w:rPr>
        <w:t>깊은 통합</w:t>
      </w:r>
      <w:r w:rsidRPr="00AB73BC">
        <w:t>과 세계화를 지향하며, 각국에 국내 정책 조정을 요구했다. 농업, 서비스 등도 협상 대상이 되었고, 분쟁 해결 절차도 강화되었다.</w:t>
      </w:r>
    </w:p>
    <w:p w14:paraId="3968553A" w14:textId="77777777" w:rsidR="00AB73BC" w:rsidRPr="00AB73BC" w:rsidRDefault="00AB73BC" w:rsidP="00AB73BC">
      <w:r w:rsidRPr="00AB73BC">
        <w:t xml:space="preserve">이는 두 체제의 목표가 </w:t>
      </w:r>
      <w:r w:rsidRPr="00AB73BC">
        <w:rPr>
          <w:b/>
          <w:bCs/>
        </w:rPr>
        <w:t>얕은 통합</w:t>
      </w:r>
      <w:r w:rsidRPr="00AB73BC">
        <w:t xml:space="preserve">에서 </w:t>
      </w:r>
      <w:r w:rsidRPr="00AB73BC">
        <w:rPr>
          <w:b/>
          <w:bCs/>
        </w:rPr>
        <w:t>깊은 통합</w:t>
      </w:r>
      <w:r w:rsidRPr="00AB73BC">
        <w:t xml:space="preserve">으로 바뀐 데 기인한다. </w:t>
      </w:r>
      <w:proofErr w:type="spellStart"/>
      <w:r w:rsidRPr="00AB73BC">
        <w:t>브레튼우즈</w:t>
      </w:r>
      <w:proofErr w:type="spellEnd"/>
      <w:r w:rsidRPr="00AB73BC">
        <w:t xml:space="preserve"> 체제는 무역을 확장하면서도, 각국이 산업을 발전시키고 완전 고용을 추구할 여지를 보장했다. GATT는 자국 경제를 우선시하는 제한적 다자주의를 표방했다. 반면, WTO 체제는 세계화를 최우선 가치로 삼았다.</w:t>
      </w:r>
    </w:p>
    <w:p w14:paraId="729A5D38" w14:textId="77777777" w:rsidR="00AB73BC" w:rsidRPr="00AB73BC" w:rsidRDefault="00AB73BC" w:rsidP="00AB73BC">
      <w:r w:rsidRPr="00AB73BC">
        <w:t xml:space="preserve">그러나 </w:t>
      </w:r>
      <w:proofErr w:type="spellStart"/>
      <w:r w:rsidRPr="00AB73BC">
        <w:t>신브레튼우즈</w:t>
      </w:r>
      <w:proofErr w:type="spellEnd"/>
      <w:r w:rsidRPr="00AB73BC">
        <w:t xml:space="preserve"> 체제는 지속 가능성에 대한 의문이 제기된다. 미-중 무역 갈등 등으로 </w:t>
      </w:r>
      <w:r w:rsidRPr="00AB73BC">
        <w:rPr>
          <w:b/>
          <w:bCs/>
        </w:rPr>
        <w:t>글로벌 불균형은 불안정</w:t>
      </w:r>
      <w:r w:rsidRPr="00AB73BC">
        <w:t xml:space="preserve">해지고 있다. 보호무역주의 대두, 다자주의 약화 등 </w:t>
      </w:r>
      <w:r w:rsidRPr="00AB73BC">
        <w:rPr>
          <w:b/>
          <w:bCs/>
        </w:rPr>
        <w:t>WTO 체제에 대한 반발</w:t>
      </w:r>
      <w:r w:rsidRPr="00AB73BC">
        <w:t xml:space="preserve">도 거세다. 개발도상국에 불리한 규정, 다자간 협상의 어려움(예: 도하 개발 </w:t>
      </w:r>
      <w:proofErr w:type="spellStart"/>
      <w:r w:rsidRPr="00AB73BC">
        <w:t>아젠다</w:t>
      </w:r>
      <w:proofErr w:type="spellEnd"/>
      <w:r w:rsidRPr="00AB73BC">
        <w:t>(DDA) 협상 실패) 등은 WTO의 한계를 보여준다.</w:t>
      </w:r>
    </w:p>
    <w:p w14:paraId="26F734AB" w14:textId="77777777" w:rsidR="00AB73BC" w:rsidRPr="00AB73BC" w:rsidRDefault="00AB73BC" w:rsidP="00AB73BC">
      <w:r w:rsidRPr="00AB73BC">
        <w:t xml:space="preserve">결론적으로, 향후 국제 경제 질서는 </w:t>
      </w:r>
      <w:r w:rsidRPr="00AB73BC">
        <w:rPr>
          <w:b/>
          <w:bCs/>
        </w:rPr>
        <w:t>새로운 방향으로 나아갈 가능성</w:t>
      </w:r>
      <w:r w:rsidRPr="00AB73BC">
        <w:t xml:space="preserve">이 크다. </w:t>
      </w:r>
      <w:proofErr w:type="spellStart"/>
      <w:r w:rsidRPr="00AB73BC">
        <w:t>신브레튼우즈</w:t>
      </w:r>
      <w:proofErr w:type="spellEnd"/>
      <w:r w:rsidRPr="00AB73BC">
        <w:t xml:space="preserve"> 체제의 지속가능성에 대한 회의론이 커지는 가운데, 새로운 국제 경제 질서 형성을 위한 논의가 필요하다.</w:t>
      </w:r>
    </w:p>
    <w:p w14:paraId="104E3BF1" w14:textId="2FA96DF9" w:rsidR="001D0CFB" w:rsidRDefault="001D0CFB">
      <w:pPr>
        <w:widowControl/>
        <w:wordWrap/>
        <w:autoSpaceDE/>
        <w:autoSpaceDN/>
      </w:pPr>
      <w:r>
        <w:br w:type="page"/>
      </w:r>
    </w:p>
    <w:p w14:paraId="37E75072" w14:textId="77777777" w:rsidR="001D0CFB" w:rsidRPr="001D0CFB" w:rsidRDefault="001D0CFB" w:rsidP="001D0CFB">
      <w:r w:rsidRPr="001D0CFB">
        <w:rPr>
          <w:b/>
          <w:bCs/>
        </w:rPr>
        <w:lastRenderedPageBreak/>
        <w:t>2차 세계대전 이후 세계 질서: 무역과 금융의 변화</w:t>
      </w:r>
    </w:p>
    <w:p w14:paraId="40060446" w14:textId="77777777" w:rsidR="001D0CFB" w:rsidRPr="001D0CFB" w:rsidRDefault="001D0CFB" w:rsidP="001D0CFB">
      <w:r w:rsidRPr="001D0CFB">
        <w:t xml:space="preserve">2차 세계대전 후, 미국 주도의 새로운 국제 질서가 형성되었다. 전쟁으로 피폐해진 경제를 회복하기 위해, 미국 주도로 케인즈와 화이트 등이 참여한 </w:t>
      </w:r>
      <w:proofErr w:type="spellStart"/>
      <w:r w:rsidRPr="001D0CFB">
        <w:t>브레튼우즈</w:t>
      </w:r>
      <w:proofErr w:type="spellEnd"/>
      <w:r w:rsidRPr="001D0CFB">
        <w:t xml:space="preserve"> 회의에서 </w:t>
      </w:r>
      <w:proofErr w:type="spellStart"/>
      <w:r w:rsidRPr="001D0CFB">
        <w:rPr>
          <w:b/>
          <w:bCs/>
        </w:rPr>
        <w:t>브레튼우즈</w:t>
      </w:r>
      <w:proofErr w:type="spellEnd"/>
      <w:r w:rsidRPr="001D0CFB">
        <w:rPr>
          <w:b/>
          <w:bCs/>
        </w:rPr>
        <w:t xml:space="preserve"> 체제</w:t>
      </w:r>
      <w:r w:rsidRPr="001D0CFB">
        <w:t>가 탄생했다. 이는 고정환율제와 제한적 자유무역을 특징으로, 각국은 자본 통제, 재정 및 산업 정책 등 다양한 수단을 활용해 국내 경제 안정과 완전 고용을 우선시했다. 대외 경제 정책은 보조 수단으로 활용되었다.</w:t>
      </w:r>
    </w:p>
    <w:p w14:paraId="41DEC99F" w14:textId="77777777" w:rsidR="001D0CFB" w:rsidRPr="001D0CFB" w:rsidRDefault="001D0CFB" w:rsidP="001D0CFB">
      <w:proofErr w:type="spellStart"/>
      <w:r w:rsidRPr="001D0CFB">
        <w:t>브레튼우즈</w:t>
      </w:r>
      <w:proofErr w:type="spellEnd"/>
      <w:r w:rsidRPr="001D0CFB">
        <w:t xml:space="preserve"> 체제에서 미국 달러만 금 태환이 가능했고, 타 통화는 달러에 고정되었다. 달러는 </w:t>
      </w:r>
      <w:r w:rsidRPr="001D0CFB">
        <w:rPr>
          <w:b/>
          <w:bCs/>
        </w:rPr>
        <w:t>기축통화</w:t>
      </w:r>
      <w:r w:rsidRPr="001D0CFB">
        <w:t xml:space="preserve">였으나, 미국의 경상수지 적자가 지속되면 달러 가치가 하락하고, 반대로 적자가 줄면 국제 유동성이 부족해지는 </w:t>
      </w:r>
      <w:proofErr w:type="spellStart"/>
      <w:r w:rsidRPr="001D0CFB">
        <w:rPr>
          <w:b/>
          <w:bCs/>
        </w:rPr>
        <w:t>트리핀</w:t>
      </w:r>
      <w:proofErr w:type="spellEnd"/>
      <w:r w:rsidRPr="001D0CFB">
        <w:rPr>
          <w:b/>
          <w:bCs/>
        </w:rPr>
        <w:t xml:space="preserve"> 딜레마</w:t>
      </w:r>
      <w:r w:rsidRPr="001D0CFB">
        <w:t>에 직면했다.</w:t>
      </w:r>
    </w:p>
    <w:p w14:paraId="1AE9AA96" w14:textId="77777777" w:rsidR="001D0CFB" w:rsidRPr="001D0CFB" w:rsidRDefault="001D0CFB" w:rsidP="001D0CFB">
      <w:r w:rsidRPr="001D0CFB">
        <w:t xml:space="preserve">무역 질서에서는 1947년 **GATT(관세 및 무역에 관한 일반 협정)**가 발효되어 약 47년간 다자간 무역을 지배했다. GATT는 </w:t>
      </w:r>
      <w:r w:rsidRPr="001D0CFB">
        <w:rPr>
          <w:b/>
          <w:bCs/>
        </w:rPr>
        <w:t>무차별 원칙</w:t>
      </w:r>
      <w:r w:rsidRPr="001D0CFB">
        <w:t xml:space="preserve">에 기반하여 무역 장벽 완화를 목표로 했으나, 개발도상국의 유치산업 보호를 위한 예외를 인정했다. 또한, </w:t>
      </w:r>
      <w:r w:rsidRPr="001D0CFB">
        <w:rPr>
          <w:b/>
          <w:bCs/>
        </w:rPr>
        <w:t>만장일치 제도</w:t>
      </w:r>
      <w:r w:rsidRPr="001D0CFB">
        <w:t xml:space="preserve">로 인해 분쟁 해결의 집행력이 낮았다. 결론적으로, GATT는 국내 경제를 우선시하고 무역 자유화는 점진적으로 추진하는 </w:t>
      </w:r>
      <w:r w:rsidRPr="001D0CFB">
        <w:rPr>
          <w:b/>
          <w:bCs/>
        </w:rPr>
        <w:t>제한적 자유무역주의</w:t>
      </w:r>
      <w:r w:rsidRPr="001D0CFB">
        <w:t>를 표방했다.</w:t>
      </w:r>
    </w:p>
    <w:p w14:paraId="1141FD75" w14:textId="77777777" w:rsidR="001D0CFB" w:rsidRPr="001D0CFB" w:rsidRDefault="001D0CFB" w:rsidP="001D0CFB">
      <w:r w:rsidRPr="001D0CFB">
        <w:t>이 시기, **</w:t>
      </w:r>
      <w:r w:rsidRPr="001D0CFB">
        <w:rPr>
          <w:b/>
          <w:bCs/>
        </w:rPr>
        <w:t>IMF(국제통화기금</w:t>
      </w:r>
      <w:r w:rsidRPr="001D0CFB">
        <w:t xml:space="preserve">)**와 </w:t>
      </w:r>
      <w:r w:rsidRPr="001D0CFB">
        <w:rPr>
          <w:b/>
          <w:bCs/>
        </w:rPr>
        <w:t>WB(세계은행)</w:t>
      </w:r>
      <w:r w:rsidRPr="001D0CFB">
        <w:t xml:space="preserve"> 등 다자주의 기반 국제기구가 설립되었다. IMF는 국제 수지 불균형 해소, WB는 개발도상국 경제 개발을 지원했다.</w:t>
      </w:r>
    </w:p>
    <w:p w14:paraId="2BA5377D" w14:textId="77777777" w:rsidR="001D0CFB" w:rsidRPr="001D0CFB" w:rsidRDefault="001D0CFB" w:rsidP="001D0CFB">
      <w:proofErr w:type="spellStart"/>
      <w:r w:rsidRPr="001D0CFB">
        <w:t>브레튼우즈</w:t>
      </w:r>
      <w:proofErr w:type="spellEnd"/>
      <w:r w:rsidRPr="001D0CFB">
        <w:t xml:space="preserve"> 체제와 GATT는 각국이 </w:t>
      </w:r>
      <w:r w:rsidRPr="001D0CFB">
        <w:rPr>
          <w:b/>
          <w:bCs/>
        </w:rPr>
        <w:t>혼합 경제</w:t>
      </w:r>
      <w:r w:rsidRPr="001D0CFB">
        <w:t xml:space="preserve"> 모델을 추구할 수 있는 환경을 제공했다. 독일의 </w:t>
      </w:r>
      <w:r w:rsidRPr="001D0CFB">
        <w:rPr>
          <w:b/>
          <w:bCs/>
        </w:rPr>
        <w:t>사회적 시장경제</w:t>
      </w:r>
      <w:r w:rsidRPr="001D0CFB">
        <w:t xml:space="preserve">, 북유럽의 </w:t>
      </w:r>
      <w:r w:rsidRPr="001D0CFB">
        <w:rPr>
          <w:b/>
          <w:bCs/>
        </w:rPr>
        <w:t>복지국가</w:t>
      </w:r>
      <w:r w:rsidRPr="001D0CFB">
        <w:t xml:space="preserve">, 프랑스의 </w:t>
      </w:r>
      <w:r w:rsidRPr="001D0CFB">
        <w:rPr>
          <w:b/>
          <w:bCs/>
        </w:rPr>
        <w:t>규제 시스템</w:t>
      </w:r>
      <w:r w:rsidRPr="001D0CFB">
        <w:t xml:space="preserve">, 일본의 </w:t>
      </w:r>
      <w:r w:rsidRPr="001D0CFB">
        <w:rPr>
          <w:b/>
          <w:bCs/>
        </w:rPr>
        <w:t>수출 중심 경제</w:t>
      </w:r>
      <w:r w:rsidRPr="001D0CFB">
        <w:t xml:space="preserve"> 등 다양한 자본주의 모델이 등장했다. 각국은 </w:t>
      </w:r>
      <w:proofErr w:type="spellStart"/>
      <w:r w:rsidRPr="001D0CFB">
        <w:t>케인스적</w:t>
      </w:r>
      <w:proofErr w:type="spellEnd"/>
      <w:r w:rsidRPr="001D0CFB">
        <w:t xml:space="preserve"> 수요관리 정책을 통해 완전 고용을 추구했다.</w:t>
      </w:r>
    </w:p>
    <w:p w14:paraId="7C4E82E9" w14:textId="77777777" w:rsidR="001D0CFB" w:rsidRPr="001D0CFB" w:rsidRDefault="001D0CFB" w:rsidP="001D0CFB">
      <w:r w:rsidRPr="001D0CFB">
        <w:t xml:space="preserve">이 시기는 </w:t>
      </w:r>
      <w:r w:rsidRPr="001D0CFB">
        <w:rPr>
          <w:b/>
          <w:bCs/>
        </w:rPr>
        <w:t>전후 자본주의의 황금기</w:t>
      </w:r>
      <w:r w:rsidRPr="001D0CFB">
        <w:t>로 불린다. 높은 경제 성장, 낮은 실업, 소득 격차 완화를 보였다. 포드주의로 대표되는 대량 생산 체제가 확립되었고, 고도 자본 축적이 경제 성장에 기여했다.</w:t>
      </w:r>
    </w:p>
    <w:p w14:paraId="6B010FF1" w14:textId="77777777" w:rsidR="001D0CFB" w:rsidRPr="001D0CFB" w:rsidRDefault="001D0CFB" w:rsidP="001D0CFB">
      <w:r w:rsidRPr="001D0CFB">
        <w:t xml:space="preserve">그러나 </w:t>
      </w:r>
      <w:proofErr w:type="spellStart"/>
      <w:r w:rsidRPr="001D0CFB">
        <w:t>브레튼우즈</w:t>
      </w:r>
      <w:proofErr w:type="spellEnd"/>
      <w:r w:rsidRPr="001D0CFB">
        <w:t xml:space="preserve"> 체제는 미국의 경상수지 적자 심화, 베트남 전쟁, 유럽과 일본의 경제 성장 등의 요인으로 1971년 </w:t>
      </w:r>
      <w:r w:rsidRPr="001D0CFB">
        <w:rPr>
          <w:b/>
          <w:bCs/>
        </w:rPr>
        <w:t>닉슨 쇼크</w:t>
      </w:r>
      <w:r w:rsidRPr="001D0CFB">
        <w:t>로 붕괴되었다. 이후 세계는 변동환율제와 신자유주의적 무역 질서로 이행하게 된다.</w:t>
      </w:r>
    </w:p>
    <w:p w14:paraId="11ECA88D" w14:textId="77777777" w:rsidR="003A60DB" w:rsidRPr="001D0CFB" w:rsidRDefault="003A60DB" w:rsidP="00870A6A"/>
    <w:sectPr w:rsidR="003A60DB" w:rsidRPr="001D0C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0171E"/>
    <w:multiLevelType w:val="multilevel"/>
    <w:tmpl w:val="353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B5E0A"/>
    <w:multiLevelType w:val="multilevel"/>
    <w:tmpl w:val="CDA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B4C6A"/>
    <w:multiLevelType w:val="multilevel"/>
    <w:tmpl w:val="9D5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867480">
    <w:abstractNumId w:val="2"/>
  </w:num>
  <w:num w:numId="2" w16cid:durableId="209341905">
    <w:abstractNumId w:val="1"/>
  </w:num>
  <w:num w:numId="3" w16cid:durableId="210275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3A"/>
    <w:rsid w:val="00017D33"/>
    <w:rsid w:val="00023EA9"/>
    <w:rsid w:val="001428A3"/>
    <w:rsid w:val="001D0CFB"/>
    <w:rsid w:val="00227DAA"/>
    <w:rsid w:val="002576E5"/>
    <w:rsid w:val="0026076A"/>
    <w:rsid w:val="002D773A"/>
    <w:rsid w:val="002E235E"/>
    <w:rsid w:val="00367129"/>
    <w:rsid w:val="003A60DB"/>
    <w:rsid w:val="00480D84"/>
    <w:rsid w:val="00483A5A"/>
    <w:rsid w:val="004F5944"/>
    <w:rsid w:val="005D37A0"/>
    <w:rsid w:val="005E005D"/>
    <w:rsid w:val="005E7D9D"/>
    <w:rsid w:val="00614228"/>
    <w:rsid w:val="006176BE"/>
    <w:rsid w:val="006C0738"/>
    <w:rsid w:val="006C1839"/>
    <w:rsid w:val="0070564B"/>
    <w:rsid w:val="00791FE2"/>
    <w:rsid w:val="007B5905"/>
    <w:rsid w:val="00870A6A"/>
    <w:rsid w:val="00A53D55"/>
    <w:rsid w:val="00A85B70"/>
    <w:rsid w:val="00AB5D4D"/>
    <w:rsid w:val="00AB73BC"/>
    <w:rsid w:val="00AE5CD3"/>
    <w:rsid w:val="00AF43DB"/>
    <w:rsid w:val="00CB499B"/>
    <w:rsid w:val="00E23D0C"/>
    <w:rsid w:val="00FE7E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CD39"/>
  <w15:chartTrackingRefBased/>
  <w15:docId w15:val="{6BC27895-BBCC-4A0C-9B6F-8EFF26C9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D77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D77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D77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D77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D77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D77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D77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D77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D77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D77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D77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D77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D77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D77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D77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D77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D77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D77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D77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D77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D77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D77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D773A"/>
    <w:pPr>
      <w:spacing w:before="160"/>
      <w:jc w:val="center"/>
    </w:pPr>
    <w:rPr>
      <w:i/>
      <w:iCs/>
      <w:color w:val="404040" w:themeColor="text1" w:themeTint="BF"/>
    </w:rPr>
  </w:style>
  <w:style w:type="character" w:customStyle="1" w:styleId="Char1">
    <w:name w:val="인용 Char"/>
    <w:basedOn w:val="a0"/>
    <w:link w:val="a5"/>
    <w:uiPriority w:val="29"/>
    <w:rsid w:val="002D773A"/>
    <w:rPr>
      <w:i/>
      <w:iCs/>
      <w:color w:val="404040" w:themeColor="text1" w:themeTint="BF"/>
    </w:rPr>
  </w:style>
  <w:style w:type="paragraph" w:styleId="a6">
    <w:name w:val="List Paragraph"/>
    <w:basedOn w:val="a"/>
    <w:uiPriority w:val="34"/>
    <w:qFormat/>
    <w:rsid w:val="002D773A"/>
    <w:pPr>
      <w:ind w:left="720"/>
      <w:contextualSpacing/>
    </w:pPr>
  </w:style>
  <w:style w:type="character" w:styleId="a7">
    <w:name w:val="Intense Emphasis"/>
    <w:basedOn w:val="a0"/>
    <w:uiPriority w:val="21"/>
    <w:qFormat/>
    <w:rsid w:val="002D773A"/>
    <w:rPr>
      <w:i/>
      <w:iCs/>
      <w:color w:val="0F4761" w:themeColor="accent1" w:themeShade="BF"/>
    </w:rPr>
  </w:style>
  <w:style w:type="paragraph" w:styleId="a8">
    <w:name w:val="Intense Quote"/>
    <w:basedOn w:val="a"/>
    <w:next w:val="a"/>
    <w:link w:val="Char2"/>
    <w:uiPriority w:val="30"/>
    <w:qFormat/>
    <w:rsid w:val="002D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D773A"/>
    <w:rPr>
      <w:i/>
      <w:iCs/>
      <w:color w:val="0F4761" w:themeColor="accent1" w:themeShade="BF"/>
    </w:rPr>
  </w:style>
  <w:style w:type="character" w:styleId="a9">
    <w:name w:val="Intense Reference"/>
    <w:basedOn w:val="a0"/>
    <w:uiPriority w:val="32"/>
    <w:qFormat/>
    <w:rsid w:val="002D7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911247">
      <w:bodyDiv w:val="1"/>
      <w:marLeft w:val="0"/>
      <w:marRight w:val="0"/>
      <w:marTop w:val="0"/>
      <w:marBottom w:val="0"/>
      <w:divBdr>
        <w:top w:val="none" w:sz="0" w:space="0" w:color="auto"/>
        <w:left w:val="none" w:sz="0" w:space="0" w:color="auto"/>
        <w:bottom w:val="none" w:sz="0" w:space="0" w:color="auto"/>
        <w:right w:val="none" w:sz="0" w:space="0" w:color="auto"/>
      </w:divBdr>
    </w:div>
    <w:div w:id="214591125">
      <w:bodyDiv w:val="1"/>
      <w:marLeft w:val="0"/>
      <w:marRight w:val="0"/>
      <w:marTop w:val="0"/>
      <w:marBottom w:val="0"/>
      <w:divBdr>
        <w:top w:val="none" w:sz="0" w:space="0" w:color="auto"/>
        <w:left w:val="none" w:sz="0" w:space="0" w:color="auto"/>
        <w:bottom w:val="none" w:sz="0" w:space="0" w:color="auto"/>
        <w:right w:val="none" w:sz="0" w:space="0" w:color="auto"/>
      </w:divBdr>
    </w:div>
    <w:div w:id="251015771">
      <w:bodyDiv w:val="1"/>
      <w:marLeft w:val="0"/>
      <w:marRight w:val="0"/>
      <w:marTop w:val="0"/>
      <w:marBottom w:val="0"/>
      <w:divBdr>
        <w:top w:val="none" w:sz="0" w:space="0" w:color="auto"/>
        <w:left w:val="none" w:sz="0" w:space="0" w:color="auto"/>
        <w:bottom w:val="none" w:sz="0" w:space="0" w:color="auto"/>
        <w:right w:val="none" w:sz="0" w:space="0" w:color="auto"/>
      </w:divBdr>
    </w:div>
    <w:div w:id="379090535">
      <w:bodyDiv w:val="1"/>
      <w:marLeft w:val="0"/>
      <w:marRight w:val="0"/>
      <w:marTop w:val="0"/>
      <w:marBottom w:val="0"/>
      <w:divBdr>
        <w:top w:val="none" w:sz="0" w:space="0" w:color="auto"/>
        <w:left w:val="none" w:sz="0" w:space="0" w:color="auto"/>
        <w:bottom w:val="none" w:sz="0" w:space="0" w:color="auto"/>
        <w:right w:val="none" w:sz="0" w:space="0" w:color="auto"/>
      </w:divBdr>
    </w:div>
    <w:div w:id="540290098">
      <w:bodyDiv w:val="1"/>
      <w:marLeft w:val="0"/>
      <w:marRight w:val="0"/>
      <w:marTop w:val="0"/>
      <w:marBottom w:val="0"/>
      <w:divBdr>
        <w:top w:val="none" w:sz="0" w:space="0" w:color="auto"/>
        <w:left w:val="none" w:sz="0" w:space="0" w:color="auto"/>
        <w:bottom w:val="none" w:sz="0" w:space="0" w:color="auto"/>
        <w:right w:val="none" w:sz="0" w:space="0" w:color="auto"/>
      </w:divBdr>
    </w:div>
    <w:div w:id="549197131">
      <w:bodyDiv w:val="1"/>
      <w:marLeft w:val="0"/>
      <w:marRight w:val="0"/>
      <w:marTop w:val="0"/>
      <w:marBottom w:val="0"/>
      <w:divBdr>
        <w:top w:val="none" w:sz="0" w:space="0" w:color="auto"/>
        <w:left w:val="none" w:sz="0" w:space="0" w:color="auto"/>
        <w:bottom w:val="none" w:sz="0" w:space="0" w:color="auto"/>
        <w:right w:val="none" w:sz="0" w:space="0" w:color="auto"/>
      </w:divBdr>
    </w:div>
    <w:div w:id="737483671">
      <w:bodyDiv w:val="1"/>
      <w:marLeft w:val="0"/>
      <w:marRight w:val="0"/>
      <w:marTop w:val="0"/>
      <w:marBottom w:val="0"/>
      <w:divBdr>
        <w:top w:val="none" w:sz="0" w:space="0" w:color="auto"/>
        <w:left w:val="none" w:sz="0" w:space="0" w:color="auto"/>
        <w:bottom w:val="none" w:sz="0" w:space="0" w:color="auto"/>
        <w:right w:val="none" w:sz="0" w:space="0" w:color="auto"/>
      </w:divBdr>
      <w:divsChild>
        <w:div w:id="69082515">
          <w:marLeft w:val="0"/>
          <w:marRight w:val="0"/>
          <w:marTop w:val="0"/>
          <w:marBottom w:val="0"/>
          <w:divBdr>
            <w:top w:val="none" w:sz="0" w:space="0" w:color="auto"/>
            <w:left w:val="none" w:sz="0" w:space="0" w:color="auto"/>
            <w:bottom w:val="none" w:sz="0" w:space="0" w:color="auto"/>
            <w:right w:val="none" w:sz="0" w:space="0" w:color="auto"/>
          </w:divBdr>
          <w:divsChild>
            <w:div w:id="1562591804">
              <w:marLeft w:val="0"/>
              <w:marRight w:val="0"/>
              <w:marTop w:val="0"/>
              <w:marBottom w:val="0"/>
              <w:divBdr>
                <w:top w:val="none" w:sz="0" w:space="0" w:color="auto"/>
                <w:left w:val="none" w:sz="0" w:space="0" w:color="auto"/>
                <w:bottom w:val="none" w:sz="0" w:space="0" w:color="auto"/>
                <w:right w:val="none" w:sz="0" w:space="0" w:color="auto"/>
              </w:divBdr>
              <w:divsChild>
                <w:div w:id="698356953">
                  <w:marLeft w:val="0"/>
                  <w:marRight w:val="0"/>
                  <w:marTop w:val="0"/>
                  <w:marBottom w:val="0"/>
                  <w:divBdr>
                    <w:top w:val="none" w:sz="0" w:space="0" w:color="auto"/>
                    <w:left w:val="none" w:sz="0" w:space="0" w:color="auto"/>
                    <w:bottom w:val="none" w:sz="0" w:space="0" w:color="auto"/>
                    <w:right w:val="none" w:sz="0" w:space="0" w:color="auto"/>
                  </w:divBdr>
                  <w:divsChild>
                    <w:div w:id="4112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10771">
      <w:bodyDiv w:val="1"/>
      <w:marLeft w:val="0"/>
      <w:marRight w:val="0"/>
      <w:marTop w:val="0"/>
      <w:marBottom w:val="0"/>
      <w:divBdr>
        <w:top w:val="none" w:sz="0" w:space="0" w:color="auto"/>
        <w:left w:val="none" w:sz="0" w:space="0" w:color="auto"/>
        <w:bottom w:val="none" w:sz="0" w:space="0" w:color="auto"/>
        <w:right w:val="none" w:sz="0" w:space="0" w:color="auto"/>
      </w:divBdr>
    </w:div>
    <w:div w:id="931546963">
      <w:bodyDiv w:val="1"/>
      <w:marLeft w:val="0"/>
      <w:marRight w:val="0"/>
      <w:marTop w:val="0"/>
      <w:marBottom w:val="0"/>
      <w:divBdr>
        <w:top w:val="none" w:sz="0" w:space="0" w:color="auto"/>
        <w:left w:val="none" w:sz="0" w:space="0" w:color="auto"/>
        <w:bottom w:val="none" w:sz="0" w:space="0" w:color="auto"/>
        <w:right w:val="none" w:sz="0" w:space="0" w:color="auto"/>
      </w:divBdr>
    </w:div>
    <w:div w:id="1030423582">
      <w:bodyDiv w:val="1"/>
      <w:marLeft w:val="0"/>
      <w:marRight w:val="0"/>
      <w:marTop w:val="0"/>
      <w:marBottom w:val="0"/>
      <w:divBdr>
        <w:top w:val="none" w:sz="0" w:space="0" w:color="auto"/>
        <w:left w:val="none" w:sz="0" w:space="0" w:color="auto"/>
        <w:bottom w:val="none" w:sz="0" w:space="0" w:color="auto"/>
        <w:right w:val="none" w:sz="0" w:space="0" w:color="auto"/>
      </w:divBdr>
    </w:div>
    <w:div w:id="1032731642">
      <w:bodyDiv w:val="1"/>
      <w:marLeft w:val="0"/>
      <w:marRight w:val="0"/>
      <w:marTop w:val="0"/>
      <w:marBottom w:val="0"/>
      <w:divBdr>
        <w:top w:val="none" w:sz="0" w:space="0" w:color="auto"/>
        <w:left w:val="none" w:sz="0" w:space="0" w:color="auto"/>
        <w:bottom w:val="none" w:sz="0" w:space="0" w:color="auto"/>
        <w:right w:val="none" w:sz="0" w:space="0" w:color="auto"/>
      </w:divBdr>
    </w:div>
    <w:div w:id="1044063734">
      <w:bodyDiv w:val="1"/>
      <w:marLeft w:val="0"/>
      <w:marRight w:val="0"/>
      <w:marTop w:val="0"/>
      <w:marBottom w:val="0"/>
      <w:divBdr>
        <w:top w:val="none" w:sz="0" w:space="0" w:color="auto"/>
        <w:left w:val="none" w:sz="0" w:space="0" w:color="auto"/>
        <w:bottom w:val="none" w:sz="0" w:space="0" w:color="auto"/>
        <w:right w:val="none" w:sz="0" w:space="0" w:color="auto"/>
      </w:divBdr>
    </w:div>
    <w:div w:id="1071542350">
      <w:bodyDiv w:val="1"/>
      <w:marLeft w:val="0"/>
      <w:marRight w:val="0"/>
      <w:marTop w:val="0"/>
      <w:marBottom w:val="0"/>
      <w:divBdr>
        <w:top w:val="none" w:sz="0" w:space="0" w:color="auto"/>
        <w:left w:val="none" w:sz="0" w:space="0" w:color="auto"/>
        <w:bottom w:val="none" w:sz="0" w:space="0" w:color="auto"/>
        <w:right w:val="none" w:sz="0" w:space="0" w:color="auto"/>
      </w:divBdr>
    </w:div>
    <w:div w:id="1279332738">
      <w:bodyDiv w:val="1"/>
      <w:marLeft w:val="0"/>
      <w:marRight w:val="0"/>
      <w:marTop w:val="0"/>
      <w:marBottom w:val="0"/>
      <w:divBdr>
        <w:top w:val="none" w:sz="0" w:space="0" w:color="auto"/>
        <w:left w:val="none" w:sz="0" w:space="0" w:color="auto"/>
        <w:bottom w:val="none" w:sz="0" w:space="0" w:color="auto"/>
        <w:right w:val="none" w:sz="0" w:space="0" w:color="auto"/>
      </w:divBdr>
    </w:div>
    <w:div w:id="1362626369">
      <w:bodyDiv w:val="1"/>
      <w:marLeft w:val="0"/>
      <w:marRight w:val="0"/>
      <w:marTop w:val="0"/>
      <w:marBottom w:val="0"/>
      <w:divBdr>
        <w:top w:val="none" w:sz="0" w:space="0" w:color="auto"/>
        <w:left w:val="none" w:sz="0" w:space="0" w:color="auto"/>
        <w:bottom w:val="none" w:sz="0" w:space="0" w:color="auto"/>
        <w:right w:val="none" w:sz="0" w:space="0" w:color="auto"/>
      </w:divBdr>
    </w:div>
    <w:div w:id="1524973271">
      <w:bodyDiv w:val="1"/>
      <w:marLeft w:val="0"/>
      <w:marRight w:val="0"/>
      <w:marTop w:val="0"/>
      <w:marBottom w:val="0"/>
      <w:divBdr>
        <w:top w:val="none" w:sz="0" w:space="0" w:color="auto"/>
        <w:left w:val="none" w:sz="0" w:space="0" w:color="auto"/>
        <w:bottom w:val="none" w:sz="0" w:space="0" w:color="auto"/>
        <w:right w:val="none" w:sz="0" w:space="0" w:color="auto"/>
      </w:divBdr>
    </w:div>
    <w:div w:id="1526093213">
      <w:bodyDiv w:val="1"/>
      <w:marLeft w:val="0"/>
      <w:marRight w:val="0"/>
      <w:marTop w:val="0"/>
      <w:marBottom w:val="0"/>
      <w:divBdr>
        <w:top w:val="none" w:sz="0" w:space="0" w:color="auto"/>
        <w:left w:val="none" w:sz="0" w:space="0" w:color="auto"/>
        <w:bottom w:val="none" w:sz="0" w:space="0" w:color="auto"/>
        <w:right w:val="none" w:sz="0" w:space="0" w:color="auto"/>
      </w:divBdr>
    </w:div>
    <w:div w:id="1564826236">
      <w:bodyDiv w:val="1"/>
      <w:marLeft w:val="0"/>
      <w:marRight w:val="0"/>
      <w:marTop w:val="0"/>
      <w:marBottom w:val="0"/>
      <w:divBdr>
        <w:top w:val="none" w:sz="0" w:space="0" w:color="auto"/>
        <w:left w:val="none" w:sz="0" w:space="0" w:color="auto"/>
        <w:bottom w:val="none" w:sz="0" w:space="0" w:color="auto"/>
        <w:right w:val="none" w:sz="0" w:space="0" w:color="auto"/>
      </w:divBdr>
    </w:div>
    <w:div w:id="1680960954">
      <w:bodyDiv w:val="1"/>
      <w:marLeft w:val="0"/>
      <w:marRight w:val="0"/>
      <w:marTop w:val="0"/>
      <w:marBottom w:val="0"/>
      <w:divBdr>
        <w:top w:val="none" w:sz="0" w:space="0" w:color="auto"/>
        <w:left w:val="none" w:sz="0" w:space="0" w:color="auto"/>
        <w:bottom w:val="none" w:sz="0" w:space="0" w:color="auto"/>
        <w:right w:val="none" w:sz="0" w:space="0" w:color="auto"/>
      </w:divBdr>
    </w:div>
    <w:div w:id="1740663994">
      <w:bodyDiv w:val="1"/>
      <w:marLeft w:val="0"/>
      <w:marRight w:val="0"/>
      <w:marTop w:val="0"/>
      <w:marBottom w:val="0"/>
      <w:divBdr>
        <w:top w:val="none" w:sz="0" w:space="0" w:color="auto"/>
        <w:left w:val="none" w:sz="0" w:space="0" w:color="auto"/>
        <w:bottom w:val="none" w:sz="0" w:space="0" w:color="auto"/>
        <w:right w:val="none" w:sz="0" w:space="0" w:color="auto"/>
      </w:divBdr>
    </w:div>
    <w:div w:id="1854032330">
      <w:bodyDiv w:val="1"/>
      <w:marLeft w:val="0"/>
      <w:marRight w:val="0"/>
      <w:marTop w:val="0"/>
      <w:marBottom w:val="0"/>
      <w:divBdr>
        <w:top w:val="none" w:sz="0" w:space="0" w:color="auto"/>
        <w:left w:val="none" w:sz="0" w:space="0" w:color="auto"/>
        <w:bottom w:val="none" w:sz="0" w:space="0" w:color="auto"/>
        <w:right w:val="none" w:sz="0" w:space="0" w:color="auto"/>
      </w:divBdr>
      <w:divsChild>
        <w:div w:id="1289238378">
          <w:marLeft w:val="0"/>
          <w:marRight w:val="0"/>
          <w:marTop w:val="0"/>
          <w:marBottom w:val="0"/>
          <w:divBdr>
            <w:top w:val="none" w:sz="0" w:space="0" w:color="auto"/>
            <w:left w:val="none" w:sz="0" w:space="0" w:color="auto"/>
            <w:bottom w:val="none" w:sz="0" w:space="0" w:color="auto"/>
            <w:right w:val="none" w:sz="0" w:space="0" w:color="auto"/>
          </w:divBdr>
          <w:divsChild>
            <w:div w:id="1086800255">
              <w:marLeft w:val="0"/>
              <w:marRight w:val="0"/>
              <w:marTop w:val="0"/>
              <w:marBottom w:val="0"/>
              <w:divBdr>
                <w:top w:val="none" w:sz="0" w:space="0" w:color="auto"/>
                <w:left w:val="none" w:sz="0" w:space="0" w:color="auto"/>
                <w:bottom w:val="none" w:sz="0" w:space="0" w:color="auto"/>
                <w:right w:val="none" w:sz="0" w:space="0" w:color="auto"/>
              </w:divBdr>
              <w:divsChild>
                <w:div w:id="496919330">
                  <w:marLeft w:val="0"/>
                  <w:marRight w:val="0"/>
                  <w:marTop w:val="0"/>
                  <w:marBottom w:val="0"/>
                  <w:divBdr>
                    <w:top w:val="none" w:sz="0" w:space="0" w:color="auto"/>
                    <w:left w:val="none" w:sz="0" w:space="0" w:color="auto"/>
                    <w:bottom w:val="none" w:sz="0" w:space="0" w:color="auto"/>
                    <w:right w:val="none" w:sz="0" w:space="0" w:color="auto"/>
                  </w:divBdr>
                  <w:divsChild>
                    <w:div w:id="13357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4239</TotalTime>
  <Pages>1</Pages>
  <Words>700</Words>
  <Characters>3991</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노동주</dc:creator>
  <cp:keywords/>
  <dc:description/>
  <cp:lastModifiedBy>노동주</cp:lastModifiedBy>
  <cp:revision>17</cp:revision>
  <dcterms:created xsi:type="dcterms:W3CDTF">2024-11-08T02:09:00Z</dcterms:created>
  <dcterms:modified xsi:type="dcterms:W3CDTF">2024-12-13T07:06:00Z</dcterms:modified>
</cp:coreProperties>
</file>