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studies have examined how phylogeny may shape food webs</w:t>
      </w:r>
      <w:r>
        <w:t xml:space="preserve"> </w:t>
      </w:r>
      <w:r>
        <w:t xml:space="preserve">(</w:t>
      </w:r>
      <w:r>
        <w:rPr>
          <w:b/>
        </w:rPr>
        <w:t xml:space="preserve">???</w:t>
      </w:r>
      <w:r>
        <w:t xml:space="preserve">; Rezende et al. 2009)</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w:t>
      </w:r>
      <w:r>
        <w:t xml:space="preserve"> </w:t>
      </w:r>
      <w:r>
        <w:t xml:space="preserve">(</w:t>
      </w:r>
      <w:r>
        <w:rPr>
          <w:b/>
        </w:rPr>
        <w:t xml:space="preserve">???</w:t>
      </w:r>
      <w:r>
        <w:t xml:space="preserve">)</w:t>
      </w:r>
      <w:r>
        <w:t xml:space="preserve">. Predators have been shown to have large top-down effects on ecosystem functions in bromelaids, including nitrogen uptake by the plant</w:t>
      </w:r>
      <w:r>
        <w:t xml:space="preserve"> </w:t>
      </w:r>
      <w:r>
        <w:t xml:space="preserve">(Ngai and Srivastava 2006)</w:t>
      </w:r>
      <w:r>
        <w:t xml:space="preserve">, detrital decomposition []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 distance measured as</w:t>
      </w:r>
      <w:r>
        <w:t xml:space="preserve"> </w:t>
      </w:r>
      <w:r>
        <w:rPr>
          <w:b/>
        </w:rPr>
        <w:t xml:space="preserve">euclidian</w:t>
      </w:r>
      <w:r>
        <w:t xml:space="preserve">)</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W. E. Snyder. 2008. Niche partitioning increases resource exploitation by diverse communities. Science (New York, N.Y.) 321:1488–90.</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79885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785a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1ade603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