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600200" cy="840105"/>
            <wp:docPr id="1" name="Picture 1"/>
            <wp:cNvGraphicFramePr>
              <a:graphicFrameLocks noChangeAspect="1"/>
            </wp:cNvGraphicFramePr>
            <a:graphic>
              <a:graphicData uri="http://schemas.openxmlformats.org/drawingml/2006/picture">
                <pic:pic>
                  <pic:nvPicPr>
                    <pic:cNvPr id="0" name="aetos-digilog.jpg"/>
                    <pic:cNvPicPr/>
                  </pic:nvPicPr>
                  <pic:blipFill>
                    <a:blip r:embed="rId11"/>
                    <a:stretch>
                      <a:fillRect/>
                    </a:stretch>
                  </pic:blipFill>
                  <pic:spPr>
                    <a:xfrm>
                      <a:off x="0" y="0"/>
                      <a:ext cx="1600200" cy="840105"/>
                    </a:xfrm>
                    <a:prstGeom prst="rect"/>
                  </pic:spPr>
                </pic:pic>
              </a:graphicData>
            </a:graphic>
          </wp:inline>
        </w:drawing>
      </w:r>
    </w:p>
    <w:p>
      <w:r>
        <w:br/>
      </w:r>
    </w:p>
    <w:p>
      <w:pPr>
        <w:pStyle w:val="Sectionlabel"/>
        <w:spacing w:before="1400"/>
      </w:pPr>
      <w:r>
        <w:t>AI ENGINEER ASSESSMENT</w:t>
      </w:r>
    </w:p>
    <w:p>
      <w:pPr>
        <w:pStyle w:val="Title"/>
      </w:pPr>
      <w:r>
        <w:t>AI-Native Inventory</w:t>
        <w:br/>
        <w:t>Decision Platform</w:t>
      </w:r>
    </w:p>
    <w:p>
      <w:pPr>
        <w:pStyle w:val="Lead"/>
        <w:spacing w:after="700"/>
      </w:pPr>
      <w:r>
        <w:t>A practical architecture for AI-assisted ERP/WMS onboarding and explainable stockout decisions.</w:t>
      </w:r>
    </w:p>
    <w:tbl>
      <w:tblPr>
        <w:tblW w:type="auto" w:w="0"/>
        <w:jc w:val="left"/>
        <w:tblLayout w:type="fixed"/>
        <w:tblLook w:firstColumn="1" w:firstRow="1" w:lastColumn="0" w:lastRow="0" w:noHBand="0" w:noVBand="1" w:val="04A0"/>
      </w:tblPr>
      <w:tblGrid>
        <w:gridCol w:w="5083"/>
        <w:gridCol w:w="5083"/>
      </w:tblGrid>
      <w:tr>
        <w:tc>
          <w:tcPr>
            <w:tcW w:type="dxa" w:w="5083"/>
            <w:shd w:fill="123D2A"/>
            <w:tcMar>
              <w:top w:w="110" w:type="dxa"/>
              <w:start w:w="120" w:type="dxa"/>
              <w:bottom w:w="110" w:type="dxa"/>
              <w:end w:w="120" w:type="dxa"/>
            </w:tcMar>
            <w:vAlign w:val="center"/>
          </w:tcPr>
          <w:p>
            <w:r/>
            <w:r>
              <w:rPr>
                <w:rFonts w:ascii="Aptos" w:hAnsi="Aptos"/>
                <w:b/>
                <w:color w:val="FFFFFF"/>
                <w:sz w:val="22"/>
              </w:rPr>
              <w:t>Prepared by</w:t>
              <w:br/>
              <w:t>Satvik Pandey</w:t>
            </w:r>
          </w:p>
        </w:tc>
        <w:tc>
          <w:tcPr>
            <w:tcW w:type="dxa" w:w="5083"/>
            <w:shd w:fill="F3F7F4"/>
            <w:tcMar>
              <w:top w:w="110" w:type="dxa"/>
              <w:start w:w="120" w:type="dxa"/>
              <w:bottom w:w="110" w:type="dxa"/>
              <w:end w:w="120" w:type="dxa"/>
            </w:tcMar>
            <w:vAlign w:val="center"/>
          </w:tcPr>
          <w:p>
            <w:r/>
            <w:r>
              <w:rPr>
                <w:rFonts w:ascii="Aptos" w:hAnsi="Aptos"/>
                <w:b/>
                <w:color w:val="123D2A"/>
                <w:sz w:val="22"/>
              </w:rPr>
              <w:t>Prepared for</w:t>
              <w:br/>
              <w:t>Aetos Digilog</w:t>
            </w:r>
          </w:p>
        </w:tc>
      </w:tr>
    </w:tbl>
    <w:p>
      <w:r>
        <w:br/>
      </w:r>
    </w:p>
    <w:p>
      <w:pPr>
        <w:pStyle w:val="Sectionlabel"/>
      </w:pPr>
      <w:r>
        <w:t>SUBMISSION LINKS</w:t>
      </w:r>
    </w:p>
    <w:p>
      <w:hyperlink r:id="rId12">
        <w:r>
          <w:rPr>
            <w:color w:val="1C5940"/>
            <w:u w:val="single"/>
          </w:rPr>
          <w:t>Live prototype</w:t>
        </w:r>
      </w:hyperlink>
      <w:r>
        <w:rPr>
          <w:color w:val="66736C"/>
        </w:rPr>
        <w:t xml:space="preserve">   ·   </w:t>
      </w:r>
      <w:hyperlink r:id="rId13">
        <w:r>
          <w:rPr>
            <w:color w:val="1C5940"/>
            <w:u w:val="single"/>
          </w:rPr>
          <w:t>GitHub repository</w:t>
        </w:r>
      </w:hyperlink>
    </w:p>
    <w:p>
      <w:pPr>
        <w:pStyle w:val="BodyText"/>
      </w:pPr>
      <w:r>
        <w:t>Version 1.0  ·  September 2026</w:t>
      </w:r>
    </w:p>
    <w:p>
      <w:r>
        <w:br w:type="page"/>
      </w:r>
    </w:p>
    <w:p>
      <w:pPr>
        <w:pStyle w:val="Sectionlabel"/>
      </w:pPr>
      <w:r>
        <w:t>01 / EXECUTIVE SUMMARY</w:t>
      </w:r>
    </w:p>
    <w:p>
      <w:pPr>
        <w:pStyle w:val="Heading1"/>
      </w:pPr>
      <w:r>
        <w:t>A decision platform, not an autonomous black box</w:t>
      </w:r>
    </w:p>
    <w:p>
      <w:pPr>
        <w:pStyle w:val="Lead"/>
      </w:pPr>
      <w:r>
        <w:t>The proposed platform reduces integration effort while preserving the controls required for operational inventory decisions.</w:t>
      </w:r>
    </w:p>
    <w:p>
      <w:r>
        <w:t>The design uses AI where ambiguity and explanation matter, and deterministic services where correctness and repeatability matter. During onboarding, AI proposes mappings from customer-specific ERP/WMS structures into a versioned canonical model. The suggestions include evidence, confidence, transformations and validations; a customer data owner remains accountable for approval. At runtime, an agent converts natural-language questions into governed tool calls, while inventory services—not the language model—calculate forecasts, stockout dates, safety stock and replenishment quantities.</w:t>
      </w:r>
    </w:p>
    <w:tbl>
      <w:tblPr>
        <w:tblW w:type="auto" w:w="0"/>
        <w:jc w:val="center"/>
        <w:tblLook w:firstColumn="1" w:firstRow="1" w:lastColumn="0" w:lastRow="0" w:noHBand="0" w:noVBand="1" w:val="04A0"/>
      </w:tblPr>
      <w:tblGrid>
        <w:gridCol w:w="10166"/>
      </w:tblGrid>
      <w:tr>
        <w:tc>
          <w:tcPr>
            <w:tcW w:type="dxa" w:w="10166"/>
            <w:shd w:fill="F3F7F4"/>
            <w:tcMar>
              <w:top w:w="160" w:type="dxa"/>
              <w:start w:w="180" w:type="dxa"/>
              <w:bottom w:w="160" w:type="dxa"/>
              <w:end w:w="180" w:type="dxa"/>
            </w:tcMar>
          </w:tcPr>
          <w:p>
            <w:pPr>
              <w:spacing w:after="80"/>
            </w:pPr>
            <w:r>
              <w:rPr>
                <w:b/>
                <w:color w:val="123D2A"/>
                <w:sz w:val="20"/>
              </w:rPr>
              <w:t>Core design position</w:t>
            </w:r>
          </w:p>
          <w:p>
            <w:pPr>
              <w:pStyle w:val="BodyText"/>
              <w:spacing w:after="0"/>
            </w:pPr>
            <w:r>
              <w:t>AI proposes, prioritizes and explains. Deterministic business services validate, calculate and execute. Every answer carries its assumptions, source freshness and lineage.</w:t>
            </w:r>
          </w:p>
        </w:tc>
      </w:tr>
    </w:tbl>
    <w:p>
      <w:pPr>
        <w:pStyle w:val="Heading2"/>
      </w:pPr>
      <w:r>
        <w:t>Scope and assumptions</w:t>
      </w:r>
    </w:p>
    <w:p>
      <w:pPr>
        <w:pStyle w:val="ListBullet"/>
      </w:pPr>
      <w:r>
        <w:t>Inventory decisions are calculated at SKU-location-day grain. A SKU can be healthy globally and unavailable at one location.</w:t>
      </w:r>
    </w:p>
    <w:p>
      <w:pPr>
        <w:pStyle w:val="ListBullet"/>
      </w:pPr>
      <w:r>
        <w:t>WMS is authoritative for physical stock, reservations and inventory condition; ERP is authoritative for product, order and inter-location flow context. Ownership is explicit per canonical field.</w:t>
      </w:r>
    </w:p>
    <w:p>
      <w:pPr>
        <w:pStyle w:val="ListBullet"/>
      </w:pPr>
      <w:r>
        <w:t>Only confirmed and usable receipts enter the base projection. Planned or low-confidence receipts are shown as scenarios, not silently counted.</w:t>
      </w:r>
    </w:p>
    <w:p>
      <w:pPr>
        <w:pStyle w:val="ListBullet"/>
      </w:pPr>
      <w:r>
        <w:t>If location is omitted, the system evaluates all active locations the user is authorized to view and states that assumption in the answer.</w:t>
      </w:r>
    </w:p>
    <w:p>
      <w:pPr>
        <w:pStyle w:val="ListBullet"/>
      </w:pPr>
      <w:r>
        <w:t>The public prototype uses representative data and a point forecast. The production design supports probabilistic forecasts and customer-specific calendars and policies.</w:t>
      </w:r>
    </w:p>
    <w:p>
      <w:pPr>
        <w:pStyle w:val="Heading2"/>
      </w:pPr>
      <w:r>
        <w:t>Document guide</w:t>
      </w:r>
    </w:p>
    <w:tbl>
      <w:tblPr>
        <w:tblW w:type="auto" w:w="0"/>
        <w:jc w:val="center"/>
        <w:tblLook w:firstColumn="1" w:firstRow="1" w:lastColumn="0" w:lastRow="0" w:noHBand="0" w:noVBand="1" w:val="04A0"/>
      </w:tblPr>
      <w:tblGrid>
        <w:gridCol w:w="3389"/>
        <w:gridCol w:w="3389"/>
        <w:gridCol w:w="3389"/>
      </w:tblGrid>
      <w:tr>
        <w:tc>
          <w:tcPr>
            <w:tcW w:type="dxa" w:w="3389"/>
            <w:vAlign w:val="center"/>
            <w:tcMar>
              <w:top w:w="110" w:type="dxa"/>
              <w:start w:w="120" w:type="dxa"/>
              <w:bottom w:w="110" w:type="dxa"/>
              <w:end w:w="120" w:type="dxa"/>
            </w:tcMar>
            <w:shd w:fill="123D2A"/>
          </w:tcPr>
          <w:p>
            <w:r/>
            <w:r>
              <w:rPr>
                <w:rFonts w:ascii="Aptos" w:hAnsi="Aptos"/>
                <w:b/>
                <w:color w:val="FFFFFF"/>
                <w:sz w:val="16"/>
              </w:rPr>
              <w:t>Section</w:t>
            </w:r>
          </w:p>
        </w:tc>
        <w:tc>
          <w:tcPr>
            <w:tcW w:type="dxa" w:w="3389"/>
            <w:vAlign w:val="center"/>
            <w:tcMar>
              <w:top w:w="110" w:type="dxa"/>
              <w:start w:w="120" w:type="dxa"/>
              <w:bottom w:w="110" w:type="dxa"/>
              <w:end w:w="120" w:type="dxa"/>
            </w:tcMar>
            <w:shd w:fill="123D2A"/>
          </w:tcPr>
          <w:p>
            <w:r/>
            <w:r>
              <w:rPr>
                <w:rFonts w:ascii="Aptos" w:hAnsi="Aptos"/>
                <w:b/>
                <w:color w:val="FFFFFF"/>
                <w:sz w:val="16"/>
              </w:rPr>
              <w:t>Question answered</w:t>
            </w:r>
          </w:p>
        </w:tc>
        <w:tc>
          <w:tcPr>
            <w:tcW w:type="dxa" w:w="3389"/>
            <w:vAlign w:val="center"/>
            <w:tcMar>
              <w:top w:w="110" w:type="dxa"/>
              <w:start w:w="120" w:type="dxa"/>
              <w:bottom w:w="110" w:type="dxa"/>
              <w:end w:w="120" w:type="dxa"/>
            </w:tcMar>
            <w:shd w:fill="123D2A"/>
          </w:tcPr>
          <w:p>
            <w:r/>
            <w:r>
              <w:rPr>
                <w:rFonts w:ascii="Aptos" w:hAnsi="Aptos"/>
                <w:b/>
                <w:color w:val="FFFFFF"/>
                <w:sz w:val="16"/>
              </w:rPr>
              <w:t>Primary outcome</w:t>
            </w:r>
          </w:p>
        </w:tc>
      </w:tr>
      <w:tr>
        <w:tc>
          <w:tcPr>
            <w:tcW w:type="dxa" w:w="3389"/>
            <w:vAlign w:val="center"/>
            <w:tcMar>
              <w:top w:w="110" w:type="dxa"/>
              <w:start w:w="120" w:type="dxa"/>
              <w:bottom w:w="110" w:type="dxa"/>
              <w:end w:w="120" w:type="dxa"/>
            </w:tcMar>
          </w:tcPr>
          <w:p>
            <w:r/>
            <w:r>
              <w:rPr>
                <w:rFonts w:ascii="Aptos" w:hAnsi="Aptos"/>
                <w:b w:val="0"/>
                <w:color w:val="15251D"/>
                <w:sz w:val="17"/>
              </w:rPr>
              <w:t>02–04</w:t>
            </w:r>
          </w:p>
        </w:tc>
        <w:tc>
          <w:tcPr>
            <w:tcW w:type="dxa" w:w="3389"/>
            <w:vAlign w:val="center"/>
            <w:tcMar>
              <w:top w:w="110" w:type="dxa"/>
              <w:start w:w="120" w:type="dxa"/>
              <w:bottom w:w="110" w:type="dxa"/>
              <w:end w:w="120" w:type="dxa"/>
            </w:tcMar>
          </w:tcPr>
          <w:p>
            <w:r/>
            <w:r>
              <w:rPr>
                <w:rFonts w:ascii="Aptos" w:hAnsi="Aptos"/>
                <w:b w:val="0"/>
                <w:color w:val="15251D"/>
                <w:sz w:val="17"/>
              </w:rPr>
              <w:t>How can AI reduce onboarding time?</w:t>
            </w:r>
          </w:p>
        </w:tc>
        <w:tc>
          <w:tcPr>
            <w:tcW w:type="dxa" w:w="3389"/>
            <w:vAlign w:val="center"/>
            <w:tcMar>
              <w:top w:w="110" w:type="dxa"/>
              <w:start w:w="120" w:type="dxa"/>
              <w:bottom w:w="110" w:type="dxa"/>
              <w:end w:w="120" w:type="dxa"/>
            </w:tcMar>
          </w:tcPr>
          <w:p>
            <w:r/>
            <w:r>
              <w:rPr>
                <w:rFonts w:ascii="Aptos" w:hAnsi="Aptos"/>
                <w:b w:val="0"/>
                <w:color w:val="15251D"/>
                <w:sz w:val="17"/>
              </w:rPr>
              <w:t>Governed mapping and validation workflow</w:t>
            </w:r>
          </w:p>
        </w:tc>
      </w:tr>
      <w:tr>
        <w:tc>
          <w:tcPr>
            <w:tcW w:type="dxa" w:w="3389"/>
            <w:vAlign w:val="center"/>
            <w:tcMar>
              <w:top w:w="110" w:type="dxa"/>
              <w:start w:w="120" w:type="dxa"/>
              <w:bottom w:w="110" w:type="dxa"/>
              <w:end w:w="120" w:type="dxa"/>
            </w:tcMar>
          </w:tcPr>
          <w:p>
            <w:r/>
            <w:r>
              <w:rPr>
                <w:rFonts w:ascii="Aptos" w:hAnsi="Aptos"/>
                <w:b w:val="0"/>
                <w:color w:val="15251D"/>
                <w:sz w:val="17"/>
              </w:rPr>
              <w:t>05–06</w:t>
            </w:r>
          </w:p>
        </w:tc>
        <w:tc>
          <w:tcPr>
            <w:tcW w:type="dxa" w:w="3389"/>
            <w:vAlign w:val="center"/>
            <w:tcMar>
              <w:top w:w="110" w:type="dxa"/>
              <w:start w:w="120" w:type="dxa"/>
              <w:bottom w:w="110" w:type="dxa"/>
              <w:end w:w="120" w:type="dxa"/>
            </w:tcMar>
          </w:tcPr>
          <w:p>
            <w:r/>
            <w:r>
              <w:rPr>
                <w:rFonts w:ascii="Aptos" w:hAnsi="Aptos"/>
                <w:b w:val="0"/>
                <w:color w:val="15251D"/>
                <w:sz w:val="17"/>
              </w:rPr>
              <w:t>What happens for a 14-day stockout question?</w:t>
            </w:r>
          </w:p>
        </w:tc>
        <w:tc>
          <w:tcPr>
            <w:tcW w:type="dxa" w:w="3389"/>
            <w:vAlign w:val="center"/>
            <w:tcMar>
              <w:top w:w="110" w:type="dxa"/>
              <w:start w:w="120" w:type="dxa"/>
              <w:bottom w:w="110" w:type="dxa"/>
              <w:end w:w="120" w:type="dxa"/>
            </w:tcMar>
          </w:tcPr>
          <w:p>
            <w:r/>
            <w:r>
              <w:rPr>
                <w:rFonts w:ascii="Aptos" w:hAnsi="Aptos"/>
                <w:b w:val="0"/>
                <w:color w:val="15251D"/>
                <w:sz w:val="17"/>
              </w:rPr>
              <w:t>Deterministic calculation with grounded explanation</w:t>
            </w:r>
          </w:p>
        </w:tc>
      </w:tr>
      <w:tr>
        <w:tc>
          <w:tcPr>
            <w:tcW w:type="dxa" w:w="3389"/>
            <w:vAlign w:val="center"/>
            <w:tcMar>
              <w:top w:w="110" w:type="dxa"/>
              <w:start w:w="120" w:type="dxa"/>
              <w:bottom w:w="110" w:type="dxa"/>
              <w:end w:w="120" w:type="dxa"/>
            </w:tcMar>
          </w:tcPr>
          <w:p>
            <w:r/>
            <w:r>
              <w:rPr>
                <w:rFonts w:ascii="Aptos" w:hAnsi="Aptos"/>
                <w:b w:val="0"/>
                <w:color w:val="15251D"/>
                <w:sz w:val="17"/>
              </w:rPr>
              <w:t>07</w:t>
            </w:r>
          </w:p>
        </w:tc>
        <w:tc>
          <w:tcPr>
            <w:tcW w:type="dxa" w:w="3389"/>
            <w:vAlign w:val="center"/>
            <w:tcMar>
              <w:top w:w="110" w:type="dxa"/>
              <w:start w:w="120" w:type="dxa"/>
              <w:bottom w:w="110" w:type="dxa"/>
              <w:end w:w="120" w:type="dxa"/>
            </w:tcMar>
          </w:tcPr>
          <w:p>
            <w:r/>
            <w:r>
              <w:rPr>
                <w:rFonts w:ascii="Aptos" w:hAnsi="Aptos"/>
                <w:b w:val="0"/>
                <w:color w:val="15251D"/>
                <w:sz w:val="17"/>
              </w:rPr>
              <w:t>How would this be operated and demonstrated?</w:t>
            </w:r>
          </w:p>
        </w:tc>
        <w:tc>
          <w:tcPr>
            <w:tcW w:type="dxa" w:w="3389"/>
            <w:vAlign w:val="center"/>
            <w:tcMar>
              <w:top w:w="110" w:type="dxa"/>
              <w:start w:w="120" w:type="dxa"/>
              <w:bottom w:w="110" w:type="dxa"/>
              <w:end w:w="120" w:type="dxa"/>
            </w:tcMar>
          </w:tcPr>
          <w:p>
            <w:r/>
            <w:r>
              <w:rPr>
                <w:rFonts w:ascii="Aptos" w:hAnsi="Aptos"/>
                <w:b w:val="0"/>
                <w:color w:val="15251D"/>
                <w:sz w:val="17"/>
              </w:rPr>
              <w:t>Controls, prototype and production evolution</w:t>
            </w:r>
          </w:p>
        </w:tc>
      </w:tr>
    </w:tbl>
    <w:p>
      <w:r>
        <w:br w:type="page"/>
      </w:r>
    </w:p>
    <w:p>
      <w:pPr>
        <w:pStyle w:val="Sectionlabel"/>
      </w:pPr>
      <w:r>
        <w:t>02 / ARCHITECTURE</w:t>
      </w:r>
    </w:p>
    <w:p>
      <w:pPr>
        <w:pStyle w:val="Heading1"/>
      </w:pPr>
      <w:r>
        <w:t>The platform separates data, decisions and language</w:t>
      </w:r>
    </w:p>
    <w:p>
      <w:pPr>
        <w:pStyle w:val="Lead"/>
      </w:pPr>
      <w:r>
        <w:t>This separation makes the system easier to test, audit and evolve across customers with different ERP/WMS products.</w:t>
      </w:r>
    </w:p>
    <w:p>
      <w:pPr>
        <w:spacing w:after="120"/>
        <w:jc w:val="center"/>
      </w:pPr>
      <w:r>
        <w:drawing>
          <wp:inline xmlns:a="http://schemas.openxmlformats.org/drawingml/2006/main" xmlns:pic="http://schemas.openxmlformats.org/drawingml/2006/picture">
            <wp:extent cx="6400800" cy="38404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0800" cy="3840480"/>
                    </a:xfrm>
                    <a:prstGeom prst="rect"/>
                  </pic:spPr>
                </pic:pic>
              </a:graphicData>
            </a:graphic>
          </wp:inline>
        </w:drawing>
      </w:r>
    </w:p>
    <w:p>
      <w:pPr>
        <w:pStyle w:val="BodyText"/>
        <w:jc w:val="center"/>
      </w:pPr>
      <w:r>
        <w:t>Figure 1. Reference architecture aligned to the six layers in the brief.</w:t>
      </w:r>
    </w:p>
    <w:p>
      <w:pPr>
        <w:pStyle w:val="Heading2"/>
      </w:pPr>
      <w:r>
        <w:t>Pragmatic implementation choices</w:t>
      </w:r>
    </w:p>
    <w:p>
      <w:pPr>
        <w:pStyle w:val="ListBullet"/>
      </w:pPr>
      <w:r>
        <w:t>The operational graph is a logical model first. It may be backed by relational tables and relationship views initially; a graph database is justified only when traversal patterns and scale demand it.</w:t>
      </w:r>
    </w:p>
    <w:p>
      <w:pPr>
        <w:pStyle w:val="ListBullet"/>
      </w:pPr>
      <w:r>
        <w:t>Core nodes include Product, Location, Supplier, InventoryPosition, SupplyOrder, Transfer, Shipment, Forecast and Policy. Typed relationships capture where a product is stocked, how it flows, what supplies it and which policy governs it.</w:t>
      </w:r>
    </w:p>
    <w:p>
      <w:pPr>
        <w:pStyle w:val="ListBullet"/>
      </w:pPr>
      <w:r>
        <w:t>Canonical events and entities are versioned contracts. Raw payloads remain immutable so any transformation can be reproduced.</w:t>
      </w:r>
    </w:p>
    <w:p>
      <w:pPr>
        <w:pStyle w:val="ListBullet"/>
      </w:pPr>
      <w:r>
        <w:t>Forecasting, stock projection and replenishment are independently testable services exposed through a typed tool catalog.</w:t>
      </w:r>
    </w:p>
    <w:p>
      <w:pPr>
        <w:pStyle w:val="ListBullet"/>
      </w:pPr>
      <w:r>
        <w:t>The agent has read-only decision tools by default. Mutating actions such as creating a purchase order require explicit policy and human approval.</w:t>
      </w:r>
    </w:p>
    <w:p>
      <w:r>
        <w:br w:type="page"/>
      </w:r>
    </w:p>
    <w:p>
      <w:pPr>
        <w:pStyle w:val="Sectionlabel"/>
      </w:pPr>
      <w:r>
        <w:t>03 / QUESTION 1</w:t>
      </w:r>
    </w:p>
    <w:p>
      <w:pPr>
        <w:pStyle w:val="Heading1"/>
      </w:pPr>
      <w:r>
        <w:t>How AI accelerates ERP/WMS onboarding</w:t>
      </w:r>
    </w:p>
    <w:p>
      <w:pPr>
        <w:pStyle w:val="Lead"/>
      </w:pPr>
      <w:r>
        <w:t>Onboarding is treated as an evidence-driven compiler pipeline—not a one-time prompt that generates opaque integration code.</w:t>
      </w:r>
    </w:p>
    <w:p>
      <w:pPr>
        <w:jc w:val="center"/>
      </w:pPr>
      <w:r>
        <w:drawing>
          <wp:inline xmlns:a="http://schemas.openxmlformats.org/drawingml/2006/main" xmlns:pic="http://schemas.openxmlformats.org/drawingml/2006/picture">
            <wp:extent cx="6400800" cy="3235960"/>
            <wp:docPr id="3" name="Picture 3"/>
            <wp:cNvGraphicFramePr>
              <a:graphicFrameLocks noChangeAspect="1"/>
            </wp:cNvGraphicFramePr>
            <a:graphic>
              <a:graphicData uri="http://schemas.openxmlformats.org/drawingml/2006/picture">
                <pic:pic>
                  <pic:nvPicPr>
                    <pic:cNvPr id="0" name="onboarding-workflow.png"/>
                    <pic:cNvPicPr/>
                  </pic:nvPicPr>
                  <pic:blipFill>
                    <a:blip r:embed="rId15"/>
                    <a:stretch>
                      <a:fillRect/>
                    </a:stretch>
                  </pic:blipFill>
                  <pic:spPr>
                    <a:xfrm>
                      <a:off x="0" y="0"/>
                      <a:ext cx="6400800" cy="3235960"/>
                    </a:xfrm>
                    <a:prstGeom prst="rect"/>
                  </pic:spPr>
                </pic:pic>
              </a:graphicData>
            </a:graphic>
          </wp:inline>
        </w:drawing>
      </w:r>
    </w:p>
    <w:p>
      <w:pPr>
        <w:pStyle w:val="BodyText"/>
        <w:jc w:val="center"/>
      </w:pPr>
      <w:r>
        <w:t>Figure 2. Proposed mapping lifecycle with explicit confidence routing.</w:t>
      </w:r>
    </w:p>
    <w:tbl>
      <w:tblPr>
        <w:tblW w:type="auto" w:w="0"/>
        <w:jc w:val="center"/>
        <w:tblLayout w:type="fixed"/>
        <w:tblLook w:firstColumn="1" w:firstRow="1" w:lastColumn="0" w:lastRow="0" w:noHBand="0" w:noVBand="1" w:val="04A0"/>
      </w:tblPr>
      <w:tblGrid>
        <w:gridCol w:w="605"/>
        <w:gridCol w:w="9432"/>
      </w:tblGrid>
      <w:tr>
        <w:tc>
          <w:tcPr>
            <w:tcW w:type="dxa" w:w="605"/>
            <w:vAlign w:val="center"/>
            <w:tcMar>
              <w:top w:w="110" w:type="dxa"/>
              <w:start w:w="120" w:type="dxa"/>
              <w:bottom w:w="110" w:type="dxa"/>
              <w:end w:w="120" w:type="dxa"/>
            </w:tcMar>
          </w:tcPr>
          <w:p>
            <w:r/>
            <w:r>
              <w:rPr>
                <w:rFonts w:ascii="Aptos" w:hAnsi="Aptos"/>
                <w:b/>
                <w:color w:val="EF772F"/>
                <w:sz w:val="20"/>
              </w:rPr>
              <w:t>01</w:t>
            </w:r>
          </w:p>
        </w:tc>
        <w:tc>
          <w:tcPr>
            <w:tcW w:type="dxa" w:w="9432"/>
            <w:tcMar>
              <w:top w:w="80" w:type="dxa"/>
              <w:start w:w="80" w:type="dxa"/>
              <w:bottom w:w="100" w:type="dxa"/>
              <w:end w:w="80" w:type="dxa"/>
            </w:tcMar>
          </w:tcPr>
          <w:p>
            <w:pPr>
              <w:spacing w:after="40"/>
            </w:pPr>
            <w:r/>
            <w:r>
              <w:rPr>
                <w:b/>
                <w:color w:val="15251D"/>
                <w:sz w:val="19"/>
              </w:rPr>
              <w:t>Discover source contracts</w:t>
            </w:r>
          </w:p>
          <w:p>
            <w:pPr>
              <w:pStyle w:val="BodyText"/>
            </w:pPr>
            <w:r>
              <w:t>Read OpenAPI documents, JSON Schema, database metadata and representative payloads. Capture endpoints, objects, pagination, rate limits and update semantics without assuming field names are reliable.</w:t>
            </w:r>
          </w:p>
        </w:tc>
      </w:tr>
      <w:tr>
        <w:tc>
          <w:tcPr>
            <w:tcW w:type="dxa" w:w="605"/>
            <w:vAlign w:val="center"/>
            <w:tcMar>
              <w:top w:w="110" w:type="dxa"/>
              <w:start w:w="120" w:type="dxa"/>
              <w:bottom w:w="110" w:type="dxa"/>
              <w:end w:w="120" w:type="dxa"/>
            </w:tcMar>
          </w:tcPr>
          <w:p>
            <w:r/>
            <w:r>
              <w:rPr>
                <w:rFonts w:ascii="Aptos" w:hAnsi="Aptos"/>
                <w:b/>
                <w:color w:val="EF772F"/>
                <w:sz w:val="20"/>
              </w:rPr>
              <w:t>02</w:t>
            </w:r>
          </w:p>
        </w:tc>
        <w:tc>
          <w:tcPr>
            <w:tcW w:type="dxa" w:w="9432"/>
            <w:tcMar>
              <w:top w:w="80" w:type="dxa"/>
              <w:start w:w="80" w:type="dxa"/>
              <w:bottom w:w="100" w:type="dxa"/>
              <w:end w:w="80" w:type="dxa"/>
            </w:tcMar>
          </w:tcPr>
          <w:p>
            <w:pPr>
              <w:spacing w:after="40"/>
            </w:pPr>
            <w:r/>
            <w:r>
              <w:rPr>
                <w:b/>
                <w:color w:val="15251D"/>
                <w:sz w:val="19"/>
              </w:rPr>
              <w:t>Profile structure and values</w:t>
            </w:r>
          </w:p>
          <w:p>
            <w:pPr>
              <w:pStyle w:val="BodyText"/>
            </w:pPr>
            <w:r>
              <w:t>Measure types, null rates, uniqueness, ranges, timestamp formats, units and identifier patterns. Infer primary/foreign-key candidates and compare values across ERP and WMS.</w:t>
            </w:r>
          </w:p>
        </w:tc>
      </w:tr>
      <w:tr>
        <w:tc>
          <w:tcPr>
            <w:tcW w:type="dxa" w:w="605"/>
            <w:vAlign w:val="center"/>
            <w:tcMar>
              <w:top w:w="110" w:type="dxa"/>
              <w:start w:w="120" w:type="dxa"/>
              <w:bottom w:w="110" w:type="dxa"/>
              <w:end w:w="120" w:type="dxa"/>
            </w:tcMar>
          </w:tcPr>
          <w:p>
            <w:r/>
            <w:r>
              <w:rPr>
                <w:rFonts w:ascii="Aptos" w:hAnsi="Aptos"/>
                <w:b/>
                <w:color w:val="EF772F"/>
                <w:sz w:val="20"/>
              </w:rPr>
              <w:t>03</w:t>
            </w:r>
          </w:p>
        </w:tc>
        <w:tc>
          <w:tcPr>
            <w:tcW w:type="dxa" w:w="9432"/>
            <w:tcMar>
              <w:top w:w="80" w:type="dxa"/>
              <w:start w:w="80" w:type="dxa"/>
              <w:bottom w:w="100" w:type="dxa"/>
              <w:end w:w="80" w:type="dxa"/>
            </w:tcMar>
          </w:tcPr>
          <w:p>
            <w:pPr>
              <w:spacing w:after="40"/>
            </w:pPr>
            <w:r/>
            <w:r>
              <w:rPr>
                <w:b/>
                <w:color w:val="15251D"/>
                <w:sz w:val="19"/>
              </w:rPr>
              <w:t>Retrieve canonical candidates</w:t>
            </w:r>
          </w:p>
          <w:p>
            <w:pPr>
              <w:pStyle w:val="BodyText"/>
            </w:pPr>
            <w:r>
              <w:t>Use the canonical dictionary, customer terminology and previously approved mappings to retrieve a small set of plausible target fields.</w:t>
            </w:r>
          </w:p>
        </w:tc>
      </w:tr>
      <w:tr>
        <w:tc>
          <w:tcPr>
            <w:tcW w:type="dxa" w:w="605"/>
            <w:vAlign w:val="center"/>
            <w:tcMar>
              <w:top w:w="110" w:type="dxa"/>
              <w:start w:w="120" w:type="dxa"/>
              <w:bottom w:w="110" w:type="dxa"/>
              <w:end w:w="120" w:type="dxa"/>
            </w:tcMar>
          </w:tcPr>
          <w:p>
            <w:r/>
            <w:r>
              <w:rPr>
                <w:rFonts w:ascii="Aptos" w:hAnsi="Aptos"/>
                <w:b/>
                <w:color w:val="EF772F"/>
                <w:sz w:val="20"/>
              </w:rPr>
              <w:t>04</w:t>
            </w:r>
          </w:p>
        </w:tc>
        <w:tc>
          <w:tcPr>
            <w:tcW w:type="dxa" w:w="9432"/>
            <w:tcMar>
              <w:top w:w="80" w:type="dxa"/>
              <w:start w:w="80" w:type="dxa"/>
              <w:bottom w:w="100" w:type="dxa"/>
              <w:end w:w="80" w:type="dxa"/>
            </w:tcMar>
          </w:tcPr>
          <w:p>
            <w:pPr>
              <w:spacing w:after="40"/>
            </w:pPr>
            <w:r/>
            <w:r>
              <w:rPr>
                <w:b/>
                <w:color w:val="15251D"/>
                <w:sz w:val="19"/>
              </w:rPr>
              <w:t>Reason over ambiguous matches</w:t>
            </w:r>
          </w:p>
          <w:p>
            <w:pPr>
              <w:pStyle w:val="BodyText"/>
            </w:pPr>
            <w:r>
              <w:t>A constrained LLM compares field meaning, sample evidence, neighboring fields and cross-system relationships. It returns structured candidates—not prose-only guesses.</w:t>
            </w:r>
          </w:p>
        </w:tc>
      </w:tr>
      <w:tr>
        <w:tc>
          <w:tcPr>
            <w:tcW w:type="dxa" w:w="605"/>
            <w:vAlign w:val="center"/>
            <w:tcMar>
              <w:top w:w="110" w:type="dxa"/>
              <w:start w:w="120" w:type="dxa"/>
              <w:bottom w:w="110" w:type="dxa"/>
              <w:end w:w="120" w:type="dxa"/>
            </w:tcMar>
          </w:tcPr>
          <w:p>
            <w:r/>
            <w:r>
              <w:rPr>
                <w:rFonts w:ascii="Aptos" w:hAnsi="Aptos"/>
                <w:b/>
                <w:color w:val="EF772F"/>
                <w:sz w:val="20"/>
              </w:rPr>
              <w:t>05</w:t>
            </w:r>
          </w:p>
        </w:tc>
        <w:tc>
          <w:tcPr>
            <w:tcW w:type="dxa" w:w="9432"/>
            <w:tcMar>
              <w:top w:w="80" w:type="dxa"/>
              <w:start w:w="80" w:type="dxa"/>
              <w:bottom w:w="100" w:type="dxa"/>
              <w:end w:w="80" w:type="dxa"/>
            </w:tcMar>
          </w:tcPr>
          <w:p>
            <w:pPr>
              <w:spacing w:after="40"/>
            </w:pPr>
            <w:r/>
            <w:r>
              <w:rPr>
                <w:b/>
                <w:color w:val="15251D"/>
                <w:sz w:val="19"/>
              </w:rPr>
              <w:t>Generate an executable specification</w:t>
            </w:r>
          </w:p>
          <w:p>
            <w:pPr>
              <w:pStyle w:val="BodyText"/>
            </w:pPr>
            <w:r>
              <w:t>Produce a declarative mapping DSL containing source path, target path, transform chain, validations, confidence, evidence and ownership metadata.</w:t>
            </w:r>
          </w:p>
        </w:tc>
      </w:tr>
      <w:tr>
        <w:tc>
          <w:tcPr>
            <w:tcW w:type="dxa" w:w="605"/>
            <w:vAlign w:val="center"/>
            <w:tcMar>
              <w:top w:w="110" w:type="dxa"/>
              <w:start w:w="120" w:type="dxa"/>
              <w:bottom w:w="110" w:type="dxa"/>
              <w:end w:w="120" w:type="dxa"/>
            </w:tcMar>
          </w:tcPr>
          <w:p>
            <w:r/>
            <w:r>
              <w:rPr>
                <w:rFonts w:ascii="Aptos" w:hAnsi="Aptos"/>
                <w:b/>
                <w:color w:val="EF772F"/>
                <w:sz w:val="20"/>
              </w:rPr>
              <w:t>06</w:t>
            </w:r>
          </w:p>
        </w:tc>
        <w:tc>
          <w:tcPr>
            <w:tcW w:type="dxa" w:w="9432"/>
            <w:tcMar>
              <w:top w:w="80" w:type="dxa"/>
              <w:start w:w="80" w:type="dxa"/>
              <w:bottom w:w="100" w:type="dxa"/>
              <w:end w:w="80" w:type="dxa"/>
            </w:tcMar>
          </w:tcPr>
          <w:p>
            <w:pPr>
              <w:spacing w:after="40"/>
            </w:pPr>
            <w:r/>
            <w:r>
              <w:rPr>
                <w:b/>
                <w:color w:val="15251D"/>
                <w:sz w:val="19"/>
              </w:rPr>
              <w:t>Review, dry-run and activate</w:t>
            </w:r>
          </w:p>
          <w:p>
            <w:pPr>
              <w:pStyle w:val="BodyText"/>
            </w:pPr>
            <w:r>
              <w:t>A data owner resolves ambiguity, then the platform tests representative payloads, reports rejected rows and reconciles totals before versioned activation.</w:t>
            </w:r>
          </w:p>
        </w:tc>
      </w:tr>
    </w:tbl>
    <w:p>
      <w:r>
        <w:br w:type="page"/>
      </w:r>
    </w:p>
    <w:p>
      <w:pPr>
        <w:pStyle w:val="Sectionlabel"/>
      </w:pPr>
      <w:r>
        <w:t>04 / ONBOARDING DETAIL</w:t>
      </w:r>
    </w:p>
    <w:p>
      <w:pPr>
        <w:pStyle w:val="Heading1"/>
      </w:pPr>
      <w:r>
        <w:t>From a suggestion to a trusted data contract</w:t>
      </w:r>
    </w:p>
    <w:p>
      <w:pPr>
        <w:pStyle w:val="Heading2"/>
      </w:pPr>
      <w:r>
        <w:t>Illustrative mapping output</w:t>
      </w:r>
    </w:p>
    <w:tbl>
      <w:tblPr>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110" w:type="dxa"/>
              <w:start w:w="120" w:type="dxa"/>
              <w:bottom w:w="110" w:type="dxa"/>
              <w:end w:w="120" w:type="dxa"/>
            </w:tcMar>
            <w:shd w:fill="123D2A"/>
          </w:tcPr>
          <w:p>
            <w:r/>
            <w:r>
              <w:rPr>
                <w:rFonts w:ascii="Aptos" w:hAnsi="Aptos"/>
                <w:b/>
                <w:color w:val="FFFFFF"/>
                <w:sz w:val="15"/>
              </w:rPr>
              <w:t>Source</w:t>
            </w:r>
          </w:p>
        </w:tc>
        <w:tc>
          <w:tcPr>
            <w:tcW w:type="dxa" w:w="2033"/>
            <w:vAlign w:val="center"/>
            <w:tcMar>
              <w:top w:w="110" w:type="dxa"/>
              <w:start w:w="120" w:type="dxa"/>
              <w:bottom w:w="110" w:type="dxa"/>
              <w:end w:w="120" w:type="dxa"/>
            </w:tcMar>
            <w:shd w:fill="123D2A"/>
          </w:tcPr>
          <w:p>
            <w:r/>
            <w:r>
              <w:rPr>
                <w:rFonts w:ascii="Aptos" w:hAnsi="Aptos"/>
                <w:b/>
                <w:color w:val="FFFFFF"/>
                <w:sz w:val="15"/>
              </w:rPr>
              <w:t>Canonical target</w:t>
            </w:r>
          </w:p>
        </w:tc>
        <w:tc>
          <w:tcPr>
            <w:tcW w:type="dxa" w:w="2033"/>
            <w:vAlign w:val="center"/>
            <w:tcMar>
              <w:top w:w="110" w:type="dxa"/>
              <w:start w:w="120" w:type="dxa"/>
              <w:bottom w:w="110" w:type="dxa"/>
              <w:end w:w="120" w:type="dxa"/>
            </w:tcMar>
            <w:shd w:fill="123D2A"/>
          </w:tcPr>
          <w:p>
            <w:r/>
            <w:r>
              <w:rPr>
                <w:rFonts w:ascii="Aptos" w:hAnsi="Aptos"/>
                <w:b/>
                <w:color w:val="FFFFFF"/>
                <w:sz w:val="15"/>
              </w:rPr>
              <w:t>Transform</w:t>
            </w:r>
          </w:p>
        </w:tc>
        <w:tc>
          <w:tcPr>
            <w:tcW w:type="dxa" w:w="2033"/>
            <w:vAlign w:val="center"/>
            <w:tcMar>
              <w:top w:w="110" w:type="dxa"/>
              <w:start w:w="120" w:type="dxa"/>
              <w:bottom w:w="110" w:type="dxa"/>
              <w:end w:w="120" w:type="dxa"/>
            </w:tcMar>
            <w:shd w:fill="123D2A"/>
          </w:tcPr>
          <w:p>
            <w:r/>
            <w:r>
              <w:rPr>
                <w:rFonts w:ascii="Aptos" w:hAnsi="Aptos"/>
                <w:b/>
                <w:color w:val="FFFFFF"/>
                <w:sz w:val="15"/>
              </w:rPr>
              <w:t>Validation</w:t>
            </w:r>
          </w:p>
        </w:tc>
        <w:tc>
          <w:tcPr>
            <w:tcW w:type="dxa" w:w="2033"/>
            <w:vAlign w:val="center"/>
            <w:tcMar>
              <w:top w:w="110" w:type="dxa"/>
              <w:start w:w="120" w:type="dxa"/>
              <w:bottom w:w="110" w:type="dxa"/>
              <w:end w:w="120" w:type="dxa"/>
            </w:tcMar>
            <w:shd w:fill="123D2A"/>
          </w:tcPr>
          <w:p>
            <w:r/>
            <w:r>
              <w:rPr>
                <w:rFonts w:ascii="Aptos" w:hAnsi="Aptos"/>
                <w:b/>
                <w:color w:val="FFFFFF"/>
                <w:sz w:val="15"/>
              </w:rPr>
              <w:t>Confidence</w:t>
            </w:r>
          </w:p>
        </w:tc>
      </w:tr>
      <w:tr>
        <w:tc>
          <w:tcPr>
            <w:tcW w:type="dxa" w:w="2033"/>
            <w:vAlign w:val="center"/>
            <w:tcMar>
              <w:top w:w="110" w:type="dxa"/>
              <w:start w:w="120" w:type="dxa"/>
              <w:bottom w:w="110" w:type="dxa"/>
              <w:end w:w="120" w:type="dxa"/>
            </w:tcMar>
          </w:tcPr>
          <w:p>
            <w:r/>
            <w:r>
              <w:rPr>
                <w:rFonts w:ascii="Aptos" w:hAnsi="Aptos"/>
                <w:b w:val="0"/>
                <w:color w:val="15251D"/>
                <w:sz w:val="15"/>
              </w:rPr>
              <w:t>ERP.item_code</w:t>
            </w:r>
          </w:p>
        </w:tc>
        <w:tc>
          <w:tcPr>
            <w:tcW w:type="dxa" w:w="2033"/>
            <w:vAlign w:val="center"/>
            <w:tcMar>
              <w:top w:w="110" w:type="dxa"/>
              <w:start w:w="120" w:type="dxa"/>
              <w:bottom w:w="110" w:type="dxa"/>
              <w:end w:w="120" w:type="dxa"/>
            </w:tcMar>
          </w:tcPr>
          <w:p>
            <w:r/>
            <w:r>
              <w:rPr>
                <w:rFonts w:ascii="Aptos" w:hAnsi="Aptos"/>
                <w:b w:val="0"/>
                <w:color w:val="15251D"/>
                <w:sz w:val="15"/>
              </w:rPr>
              <w:t>Product.productId</w:t>
            </w:r>
          </w:p>
        </w:tc>
        <w:tc>
          <w:tcPr>
            <w:tcW w:type="dxa" w:w="2033"/>
            <w:vAlign w:val="center"/>
            <w:tcMar>
              <w:top w:w="110" w:type="dxa"/>
              <w:start w:w="120" w:type="dxa"/>
              <w:bottom w:w="110" w:type="dxa"/>
              <w:end w:w="120" w:type="dxa"/>
            </w:tcMar>
          </w:tcPr>
          <w:p>
            <w:r/>
            <w:r>
              <w:rPr>
                <w:rFonts w:ascii="Aptos" w:hAnsi="Aptos"/>
                <w:b w:val="0"/>
                <w:color w:val="15251D"/>
                <w:sz w:val="15"/>
              </w:rPr>
              <w:t>trim; uppercase</w:t>
            </w:r>
          </w:p>
        </w:tc>
        <w:tc>
          <w:tcPr>
            <w:tcW w:type="dxa" w:w="2033"/>
            <w:vAlign w:val="center"/>
            <w:tcMar>
              <w:top w:w="110" w:type="dxa"/>
              <w:start w:w="120" w:type="dxa"/>
              <w:bottom w:w="110" w:type="dxa"/>
              <w:end w:w="120" w:type="dxa"/>
            </w:tcMar>
          </w:tcPr>
          <w:p>
            <w:r/>
            <w:r>
              <w:rPr>
                <w:rFonts w:ascii="Aptos" w:hAnsi="Aptos"/>
                <w:b w:val="0"/>
                <w:color w:val="15251D"/>
                <w:sz w:val="15"/>
              </w:rPr>
              <w:t>required; unique per tenant</w:t>
            </w:r>
          </w:p>
        </w:tc>
        <w:tc>
          <w:tcPr>
            <w:tcW w:type="dxa" w:w="2033"/>
            <w:vAlign w:val="center"/>
            <w:tcMar>
              <w:top w:w="110" w:type="dxa"/>
              <w:start w:w="120" w:type="dxa"/>
              <w:bottom w:w="110" w:type="dxa"/>
              <w:end w:w="120" w:type="dxa"/>
            </w:tcMar>
          </w:tcPr>
          <w:p>
            <w:r/>
            <w:r>
              <w:rPr>
                <w:rFonts w:ascii="Aptos" w:hAnsi="Aptos"/>
                <w:b w:val="0"/>
                <w:color w:val="15251D"/>
                <w:sz w:val="15"/>
              </w:rPr>
              <w:t>0.98</w:t>
            </w:r>
          </w:p>
        </w:tc>
      </w:tr>
      <w:tr>
        <w:tc>
          <w:tcPr>
            <w:tcW w:type="dxa" w:w="2033"/>
            <w:vAlign w:val="center"/>
            <w:tcMar>
              <w:top w:w="110" w:type="dxa"/>
              <w:start w:w="120" w:type="dxa"/>
              <w:bottom w:w="110" w:type="dxa"/>
              <w:end w:w="120" w:type="dxa"/>
            </w:tcMar>
          </w:tcPr>
          <w:p>
            <w:r/>
            <w:r>
              <w:rPr>
                <w:rFonts w:ascii="Aptos" w:hAnsi="Aptos"/>
                <w:b w:val="0"/>
                <w:color w:val="15251D"/>
                <w:sz w:val="15"/>
              </w:rPr>
              <w:t>ERP.site_code</w:t>
            </w:r>
          </w:p>
        </w:tc>
        <w:tc>
          <w:tcPr>
            <w:tcW w:type="dxa" w:w="2033"/>
            <w:vAlign w:val="center"/>
            <w:tcMar>
              <w:top w:w="110" w:type="dxa"/>
              <w:start w:w="120" w:type="dxa"/>
              <w:bottom w:w="110" w:type="dxa"/>
              <w:end w:w="120" w:type="dxa"/>
            </w:tcMar>
          </w:tcPr>
          <w:p>
            <w:r/>
            <w:r>
              <w:rPr>
                <w:rFonts w:ascii="Aptos" w:hAnsi="Aptos"/>
                <w:b w:val="0"/>
                <w:color w:val="15251D"/>
                <w:sz w:val="15"/>
              </w:rPr>
              <w:t>Location.locationId</w:t>
            </w:r>
          </w:p>
        </w:tc>
        <w:tc>
          <w:tcPr>
            <w:tcW w:type="dxa" w:w="2033"/>
            <w:vAlign w:val="center"/>
            <w:tcMar>
              <w:top w:w="110" w:type="dxa"/>
              <w:start w:w="120" w:type="dxa"/>
              <w:bottom w:w="110" w:type="dxa"/>
              <w:end w:w="120" w:type="dxa"/>
            </w:tcMar>
          </w:tcPr>
          <w:p>
            <w:r/>
            <w:r>
              <w:rPr>
                <w:rFonts w:ascii="Aptos" w:hAnsi="Aptos"/>
                <w:b w:val="0"/>
                <w:color w:val="15251D"/>
                <w:sz w:val="15"/>
              </w:rPr>
              <w:t>reference lookup</w:t>
            </w:r>
          </w:p>
        </w:tc>
        <w:tc>
          <w:tcPr>
            <w:tcW w:type="dxa" w:w="2033"/>
            <w:vAlign w:val="center"/>
            <w:tcMar>
              <w:top w:w="110" w:type="dxa"/>
              <w:start w:w="120" w:type="dxa"/>
              <w:bottom w:w="110" w:type="dxa"/>
              <w:end w:w="120" w:type="dxa"/>
            </w:tcMar>
          </w:tcPr>
          <w:p>
            <w:r/>
            <w:r>
              <w:rPr>
                <w:rFonts w:ascii="Aptos" w:hAnsi="Aptos"/>
                <w:b w:val="0"/>
                <w:color w:val="15251D"/>
                <w:sz w:val="15"/>
              </w:rPr>
              <w:t>must resolve to active location</w:t>
            </w:r>
          </w:p>
        </w:tc>
        <w:tc>
          <w:tcPr>
            <w:tcW w:type="dxa" w:w="2033"/>
            <w:vAlign w:val="center"/>
            <w:tcMar>
              <w:top w:w="110" w:type="dxa"/>
              <w:start w:w="120" w:type="dxa"/>
              <w:bottom w:w="110" w:type="dxa"/>
              <w:end w:w="120" w:type="dxa"/>
            </w:tcMar>
          </w:tcPr>
          <w:p>
            <w:r/>
            <w:r>
              <w:rPr>
                <w:rFonts w:ascii="Aptos" w:hAnsi="Aptos"/>
                <w:b w:val="0"/>
                <w:color w:val="15251D"/>
                <w:sz w:val="15"/>
              </w:rPr>
              <w:t>0.94</w:t>
            </w:r>
          </w:p>
        </w:tc>
      </w:tr>
      <w:tr>
        <w:tc>
          <w:tcPr>
            <w:tcW w:type="dxa" w:w="2033"/>
            <w:vAlign w:val="center"/>
            <w:tcMar>
              <w:top w:w="110" w:type="dxa"/>
              <w:start w:w="120" w:type="dxa"/>
              <w:bottom w:w="110" w:type="dxa"/>
              <w:end w:w="120" w:type="dxa"/>
            </w:tcMar>
          </w:tcPr>
          <w:p>
            <w:r/>
            <w:r>
              <w:rPr>
                <w:rFonts w:ascii="Aptos" w:hAnsi="Aptos"/>
                <w:b w:val="0"/>
                <w:color w:val="15251D"/>
                <w:sz w:val="15"/>
              </w:rPr>
              <w:t>ERP.expected_delivery</w:t>
            </w:r>
          </w:p>
        </w:tc>
        <w:tc>
          <w:tcPr>
            <w:tcW w:type="dxa" w:w="2033"/>
            <w:vAlign w:val="center"/>
            <w:tcMar>
              <w:top w:w="110" w:type="dxa"/>
              <w:start w:w="120" w:type="dxa"/>
              <w:bottom w:w="110" w:type="dxa"/>
              <w:end w:w="120" w:type="dxa"/>
            </w:tcMar>
          </w:tcPr>
          <w:p>
            <w:r/>
            <w:r>
              <w:rPr>
                <w:rFonts w:ascii="Aptos" w:hAnsi="Aptos"/>
                <w:b w:val="0"/>
                <w:color w:val="15251D"/>
                <w:sz w:val="15"/>
              </w:rPr>
              <w:t>SupplyOrder.expectedAt</w:t>
            </w:r>
          </w:p>
        </w:tc>
        <w:tc>
          <w:tcPr>
            <w:tcW w:type="dxa" w:w="2033"/>
            <w:vAlign w:val="center"/>
            <w:tcMar>
              <w:top w:w="110" w:type="dxa"/>
              <w:start w:w="120" w:type="dxa"/>
              <w:bottom w:w="110" w:type="dxa"/>
              <w:end w:w="120" w:type="dxa"/>
            </w:tcMar>
          </w:tcPr>
          <w:p>
            <w:r/>
            <w:r>
              <w:rPr>
                <w:rFonts w:ascii="Aptos" w:hAnsi="Aptos"/>
                <w:b w:val="0"/>
                <w:color w:val="15251D"/>
                <w:sz w:val="15"/>
              </w:rPr>
              <w:t>parse ISO date; UTC</w:t>
            </w:r>
          </w:p>
        </w:tc>
        <w:tc>
          <w:tcPr>
            <w:tcW w:type="dxa" w:w="2033"/>
            <w:vAlign w:val="center"/>
            <w:tcMar>
              <w:top w:w="110" w:type="dxa"/>
              <w:start w:w="120" w:type="dxa"/>
              <w:bottom w:w="110" w:type="dxa"/>
              <w:end w:w="120" w:type="dxa"/>
            </w:tcMar>
          </w:tcPr>
          <w:p>
            <w:r/>
            <w:r>
              <w:rPr>
                <w:rFonts w:ascii="Aptos" w:hAnsi="Aptos"/>
                <w:b w:val="0"/>
                <w:color w:val="15251D"/>
                <w:sz w:val="15"/>
              </w:rPr>
              <w:t>not before order date</w:t>
            </w:r>
          </w:p>
        </w:tc>
        <w:tc>
          <w:tcPr>
            <w:tcW w:type="dxa" w:w="2033"/>
            <w:vAlign w:val="center"/>
            <w:tcMar>
              <w:top w:w="110" w:type="dxa"/>
              <w:start w:w="120" w:type="dxa"/>
              <w:bottom w:w="110" w:type="dxa"/>
              <w:end w:w="120" w:type="dxa"/>
            </w:tcMar>
          </w:tcPr>
          <w:p>
            <w:r/>
            <w:r>
              <w:rPr>
                <w:rFonts w:ascii="Aptos" w:hAnsi="Aptos"/>
                <w:b w:val="0"/>
                <w:color w:val="15251D"/>
                <w:sz w:val="15"/>
              </w:rPr>
              <w:t>0.89</w:t>
            </w:r>
          </w:p>
        </w:tc>
      </w:tr>
      <w:tr>
        <w:tc>
          <w:tcPr>
            <w:tcW w:type="dxa" w:w="2033"/>
            <w:vAlign w:val="center"/>
            <w:tcMar>
              <w:top w:w="110" w:type="dxa"/>
              <w:start w:w="120" w:type="dxa"/>
              <w:bottom w:w="110" w:type="dxa"/>
              <w:end w:w="120" w:type="dxa"/>
            </w:tcMar>
          </w:tcPr>
          <w:p>
            <w:r/>
            <w:r>
              <w:rPr>
                <w:rFonts w:ascii="Aptos" w:hAnsi="Aptos"/>
                <w:b w:val="0"/>
                <w:color w:val="15251D"/>
                <w:sz w:val="15"/>
              </w:rPr>
              <w:t>WMS.available_qty</w:t>
            </w:r>
          </w:p>
        </w:tc>
        <w:tc>
          <w:tcPr>
            <w:tcW w:type="dxa" w:w="2033"/>
            <w:vAlign w:val="center"/>
            <w:tcMar>
              <w:top w:w="110" w:type="dxa"/>
              <w:start w:w="120" w:type="dxa"/>
              <w:bottom w:w="110" w:type="dxa"/>
              <w:end w:w="120" w:type="dxa"/>
            </w:tcMar>
          </w:tcPr>
          <w:p>
            <w:r/>
            <w:r>
              <w:rPr>
                <w:rFonts w:ascii="Aptos" w:hAnsi="Aptos"/>
                <w:b w:val="0"/>
                <w:color w:val="15251D"/>
                <w:sz w:val="15"/>
              </w:rPr>
              <w:t>Inventory.availableQty</w:t>
            </w:r>
          </w:p>
        </w:tc>
        <w:tc>
          <w:tcPr>
            <w:tcW w:type="dxa" w:w="2033"/>
            <w:vAlign w:val="center"/>
            <w:tcMar>
              <w:top w:w="110" w:type="dxa"/>
              <w:start w:w="120" w:type="dxa"/>
              <w:bottom w:w="110" w:type="dxa"/>
              <w:end w:w="120" w:type="dxa"/>
            </w:tcMar>
          </w:tcPr>
          <w:p>
            <w:r/>
            <w:r>
              <w:rPr>
                <w:rFonts w:ascii="Aptos" w:hAnsi="Aptos"/>
                <w:b w:val="0"/>
                <w:color w:val="15251D"/>
                <w:sz w:val="15"/>
              </w:rPr>
              <w:t>decimal; base UOM</w:t>
            </w:r>
          </w:p>
        </w:tc>
        <w:tc>
          <w:tcPr>
            <w:tcW w:type="dxa" w:w="2033"/>
            <w:vAlign w:val="center"/>
            <w:tcMar>
              <w:top w:w="110" w:type="dxa"/>
              <w:start w:w="120" w:type="dxa"/>
              <w:bottom w:w="110" w:type="dxa"/>
              <w:end w:w="120" w:type="dxa"/>
            </w:tcMar>
          </w:tcPr>
          <w:p>
            <w:r/>
            <w:r>
              <w:rPr>
                <w:rFonts w:ascii="Aptos" w:hAnsi="Aptos"/>
                <w:b w:val="0"/>
                <w:color w:val="15251D"/>
                <w:sz w:val="15"/>
              </w:rPr>
              <w:t>≥ 0; reconcile with total</w:t>
            </w:r>
          </w:p>
        </w:tc>
        <w:tc>
          <w:tcPr>
            <w:tcW w:type="dxa" w:w="2033"/>
            <w:vAlign w:val="center"/>
            <w:tcMar>
              <w:top w:w="110" w:type="dxa"/>
              <w:start w:w="120" w:type="dxa"/>
              <w:bottom w:w="110" w:type="dxa"/>
              <w:end w:w="120" w:type="dxa"/>
            </w:tcMar>
          </w:tcPr>
          <w:p>
            <w:r/>
            <w:r>
              <w:rPr>
                <w:rFonts w:ascii="Aptos" w:hAnsi="Aptos"/>
                <w:b w:val="0"/>
                <w:color w:val="15251D"/>
                <w:sz w:val="15"/>
              </w:rPr>
              <w:t>0.97</w:t>
            </w:r>
          </w:p>
        </w:tc>
      </w:tr>
      <w:tr>
        <w:tc>
          <w:tcPr>
            <w:tcW w:type="dxa" w:w="2033"/>
            <w:vAlign w:val="center"/>
            <w:tcMar>
              <w:top w:w="110" w:type="dxa"/>
              <w:start w:w="120" w:type="dxa"/>
              <w:bottom w:w="110" w:type="dxa"/>
              <w:end w:w="120" w:type="dxa"/>
            </w:tcMar>
          </w:tcPr>
          <w:p>
            <w:r/>
            <w:r>
              <w:rPr>
                <w:rFonts w:ascii="Aptos" w:hAnsi="Aptos"/>
                <w:b w:val="0"/>
                <w:color w:val="15251D"/>
                <w:sz w:val="15"/>
              </w:rPr>
              <w:t>WMS.last_updated</w:t>
            </w:r>
          </w:p>
        </w:tc>
        <w:tc>
          <w:tcPr>
            <w:tcW w:type="dxa" w:w="2033"/>
            <w:vAlign w:val="center"/>
            <w:tcMar>
              <w:top w:w="110" w:type="dxa"/>
              <w:start w:w="120" w:type="dxa"/>
              <w:bottom w:w="110" w:type="dxa"/>
              <w:end w:w="120" w:type="dxa"/>
            </w:tcMar>
          </w:tcPr>
          <w:p>
            <w:r/>
            <w:r>
              <w:rPr>
                <w:rFonts w:ascii="Aptos" w:hAnsi="Aptos"/>
                <w:b w:val="0"/>
                <w:color w:val="15251D"/>
                <w:sz w:val="15"/>
              </w:rPr>
              <w:t>Inventory.observedAt</w:t>
            </w:r>
          </w:p>
        </w:tc>
        <w:tc>
          <w:tcPr>
            <w:tcW w:type="dxa" w:w="2033"/>
            <w:vAlign w:val="center"/>
            <w:tcMar>
              <w:top w:w="110" w:type="dxa"/>
              <w:start w:w="120" w:type="dxa"/>
              <w:bottom w:w="110" w:type="dxa"/>
              <w:end w:w="120" w:type="dxa"/>
            </w:tcMar>
          </w:tcPr>
          <w:p>
            <w:r/>
            <w:r>
              <w:rPr>
                <w:rFonts w:ascii="Aptos" w:hAnsi="Aptos"/>
                <w:b w:val="0"/>
                <w:color w:val="15251D"/>
                <w:sz w:val="15"/>
              </w:rPr>
              <w:t>timestamp; UTC</w:t>
            </w:r>
          </w:p>
        </w:tc>
        <w:tc>
          <w:tcPr>
            <w:tcW w:type="dxa" w:w="2033"/>
            <w:vAlign w:val="center"/>
            <w:tcMar>
              <w:top w:w="110" w:type="dxa"/>
              <w:start w:w="120" w:type="dxa"/>
              <w:bottom w:w="110" w:type="dxa"/>
              <w:end w:w="120" w:type="dxa"/>
            </w:tcMar>
          </w:tcPr>
          <w:p>
            <w:r/>
            <w:r>
              <w:rPr>
                <w:rFonts w:ascii="Aptos" w:hAnsi="Aptos"/>
                <w:b w:val="0"/>
                <w:color w:val="15251D"/>
                <w:sz w:val="15"/>
              </w:rPr>
              <w:t>within freshness SLA</w:t>
            </w:r>
          </w:p>
        </w:tc>
        <w:tc>
          <w:tcPr>
            <w:tcW w:type="dxa" w:w="2033"/>
            <w:vAlign w:val="center"/>
            <w:tcMar>
              <w:top w:w="110" w:type="dxa"/>
              <w:start w:w="120" w:type="dxa"/>
              <w:bottom w:w="110" w:type="dxa"/>
              <w:end w:w="120" w:type="dxa"/>
            </w:tcMar>
          </w:tcPr>
          <w:p>
            <w:r/>
            <w:r>
              <w:rPr>
                <w:rFonts w:ascii="Aptos" w:hAnsi="Aptos"/>
                <w:b w:val="0"/>
                <w:color w:val="15251D"/>
                <w:sz w:val="15"/>
              </w:rPr>
              <w:t>0.96</w:t>
            </w:r>
          </w:p>
        </w:tc>
      </w:tr>
    </w:tbl>
    <w:p>
      <w:r>
        <w:t>Confidence combines semantic similarity, type compatibility, value patterns, relationship context, canonical definitions and cross-source agreement. The weights are calibrated on approved mappings; thresholds route work but do not replace ownership.</w:t>
      </w:r>
    </w:p>
    <w:p>
      <w:pPr>
        <w:pStyle w:val="Heading2"/>
      </w:pPr>
      <w:r>
        <w:t>Generated rules</w:t>
      </w:r>
    </w:p>
    <w:tbl>
      <w:tblPr>
        <w:tblW w:type="auto" w:w="0"/>
        <w:jc w:val="center"/>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F3F7F4"/>
          </w:tcPr>
          <w:p>
            <w:r/>
            <w:r>
              <w:rPr>
                <w:rFonts w:ascii="Aptos" w:hAnsi="Aptos"/>
                <w:b/>
                <w:color w:val="123D2A"/>
                <w:sz w:val="17"/>
              </w:rPr>
              <w:t>Structural</w:t>
            </w:r>
          </w:p>
        </w:tc>
        <w:tc>
          <w:tcPr>
            <w:tcW w:type="dxa" w:w="5083"/>
            <w:vAlign w:val="center"/>
            <w:tcMar>
              <w:top w:w="110" w:type="dxa"/>
              <w:start w:w="120" w:type="dxa"/>
              <w:bottom w:w="110" w:type="dxa"/>
              <w:end w:w="120" w:type="dxa"/>
            </w:tcMar>
            <w:shd w:fill="F3F7F4"/>
          </w:tcPr>
          <w:p>
            <w:r/>
            <w:r>
              <w:rPr>
                <w:rFonts w:ascii="Aptos" w:hAnsi="Aptos"/>
                <w:b w:val="0"/>
                <w:color w:val="15251D"/>
                <w:sz w:val="17"/>
              </w:rPr>
              <w:t>Required fields, types, formats, allowed values, array cardinality and schema evolution compatibility.</w:t>
            </w:r>
          </w:p>
        </w:tc>
      </w:tr>
      <w:tr>
        <w:tc>
          <w:tcPr>
            <w:tcW w:type="dxa" w:w="5083"/>
            <w:vAlign w:val="center"/>
            <w:tcMar>
              <w:top w:w="110" w:type="dxa"/>
              <w:start w:w="120" w:type="dxa"/>
              <w:bottom w:w="110" w:type="dxa"/>
              <w:end w:w="120" w:type="dxa"/>
            </w:tcMar>
          </w:tcPr>
          <w:p>
            <w:r/>
            <w:r>
              <w:rPr>
                <w:rFonts w:ascii="Aptos" w:hAnsi="Aptos"/>
                <w:b/>
                <w:color w:val="123D2A"/>
                <w:sz w:val="17"/>
              </w:rPr>
              <w:t>Referential</w:t>
            </w:r>
          </w:p>
        </w:tc>
        <w:tc>
          <w:tcPr>
            <w:tcW w:type="dxa" w:w="5083"/>
            <w:vAlign w:val="center"/>
            <w:tcMar>
              <w:top w:w="110" w:type="dxa"/>
              <w:start w:w="120" w:type="dxa"/>
              <w:bottom w:w="110" w:type="dxa"/>
              <w:end w:w="120" w:type="dxa"/>
            </w:tcMar>
          </w:tcPr>
          <w:p>
            <w:r/>
            <w:r>
              <w:rPr>
                <w:rFonts w:ascii="Aptos" w:hAnsi="Aptos"/>
                <w:b w:val="0"/>
                <w:color w:val="15251D"/>
                <w:sz w:val="17"/>
              </w:rPr>
              <w:t>Every inventory record resolves to a known Product and Location; supplier and order references are valid.</w:t>
            </w:r>
          </w:p>
        </w:tc>
      </w:tr>
      <w:tr>
        <w:tc>
          <w:tcPr>
            <w:tcW w:type="dxa" w:w="5083"/>
            <w:vAlign w:val="center"/>
            <w:tcMar>
              <w:top w:w="110" w:type="dxa"/>
              <w:start w:w="120" w:type="dxa"/>
              <w:bottom w:w="110" w:type="dxa"/>
              <w:end w:w="120" w:type="dxa"/>
            </w:tcMar>
            <w:shd w:fill="F3F7F4"/>
          </w:tcPr>
          <w:p>
            <w:r/>
            <w:r>
              <w:rPr>
                <w:rFonts w:ascii="Aptos" w:hAnsi="Aptos"/>
                <w:b/>
                <w:color w:val="123D2A"/>
                <w:sz w:val="17"/>
              </w:rPr>
              <w:t>Business</w:t>
            </w:r>
          </w:p>
        </w:tc>
        <w:tc>
          <w:tcPr>
            <w:tcW w:type="dxa" w:w="5083"/>
            <w:vAlign w:val="center"/>
            <w:tcMar>
              <w:top w:w="110" w:type="dxa"/>
              <w:start w:w="120" w:type="dxa"/>
              <w:bottom w:w="110" w:type="dxa"/>
              <w:end w:w="120" w:type="dxa"/>
            </w:tcMar>
            <w:shd w:fill="F3F7F4"/>
          </w:tcPr>
          <w:p>
            <w:r/>
            <w:r>
              <w:rPr>
                <w:rFonts w:ascii="Aptos" w:hAnsi="Aptos"/>
                <w:b w:val="0"/>
                <w:color w:val="15251D"/>
                <w:sz w:val="17"/>
              </w:rPr>
              <w:t>Quantities are non-negative, dates are feasible, units are convertible and order status supports the claimed receipt.</w:t>
            </w:r>
          </w:p>
        </w:tc>
      </w:tr>
      <w:tr>
        <w:tc>
          <w:tcPr>
            <w:tcW w:type="dxa" w:w="5083"/>
            <w:vAlign w:val="center"/>
            <w:tcMar>
              <w:top w:w="110" w:type="dxa"/>
              <w:start w:w="120" w:type="dxa"/>
              <w:bottom w:w="110" w:type="dxa"/>
              <w:end w:w="120" w:type="dxa"/>
            </w:tcMar>
          </w:tcPr>
          <w:p>
            <w:r/>
            <w:r>
              <w:rPr>
                <w:rFonts w:ascii="Aptos" w:hAnsi="Aptos"/>
                <w:b/>
                <w:color w:val="123D2A"/>
                <w:sz w:val="17"/>
              </w:rPr>
              <w:t>Reconciliation</w:t>
            </w:r>
          </w:p>
        </w:tc>
        <w:tc>
          <w:tcPr>
            <w:tcW w:type="dxa" w:w="5083"/>
            <w:vAlign w:val="center"/>
            <w:tcMar>
              <w:top w:w="110" w:type="dxa"/>
              <w:start w:w="120" w:type="dxa"/>
              <w:bottom w:w="110" w:type="dxa"/>
              <w:end w:w="120" w:type="dxa"/>
            </w:tcMar>
          </w:tcPr>
          <w:p>
            <w:r/>
            <w:r>
              <w:rPr>
                <w:rFonts w:ascii="Aptos" w:hAnsi="Aptos"/>
                <w:b w:val="0"/>
                <w:color w:val="15251D"/>
                <w:sz w:val="17"/>
              </w:rPr>
              <w:t>Source counts, inventory totals and order quantities reconcile within an agreed tolerance.</w:t>
            </w:r>
          </w:p>
        </w:tc>
      </w:tr>
      <w:tr>
        <w:tc>
          <w:tcPr>
            <w:tcW w:type="dxa" w:w="5083"/>
            <w:vAlign w:val="center"/>
            <w:tcMar>
              <w:top w:w="110" w:type="dxa"/>
              <w:start w:w="120" w:type="dxa"/>
              <w:bottom w:w="110" w:type="dxa"/>
              <w:end w:w="120" w:type="dxa"/>
            </w:tcMar>
            <w:shd w:fill="F3F7F4"/>
          </w:tcPr>
          <w:p>
            <w:r/>
            <w:r>
              <w:rPr>
                <w:rFonts w:ascii="Aptos" w:hAnsi="Aptos"/>
                <w:b/>
                <w:color w:val="123D2A"/>
                <w:sz w:val="17"/>
              </w:rPr>
              <w:t>Operational</w:t>
            </w:r>
          </w:p>
        </w:tc>
        <w:tc>
          <w:tcPr>
            <w:tcW w:type="dxa" w:w="5083"/>
            <w:vAlign w:val="center"/>
            <w:tcMar>
              <w:top w:w="110" w:type="dxa"/>
              <w:start w:w="120" w:type="dxa"/>
              <w:bottom w:w="110" w:type="dxa"/>
              <w:end w:w="120" w:type="dxa"/>
            </w:tcMar>
            <w:shd w:fill="F3F7F4"/>
          </w:tcPr>
          <w:p>
            <w:r/>
            <w:r>
              <w:rPr>
                <w:rFonts w:ascii="Aptos" w:hAnsi="Aptos"/>
                <w:b w:val="0"/>
                <w:color w:val="15251D"/>
                <w:sz w:val="17"/>
              </w:rPr>
              <w:t>Freshness, volume, null-rate and mapping-distribution drift stay within customer-specific SLAs.</w:t>
            </w:r>
          </w:p>
        </w:tc>
      </w:tr>
    </w:tbl>
    <w:p>
      <w:pPr>
        <w:pStyle w:val="Heading2"/>
      </w:pPr>
      <w:r>
        <w:t>Guardrails that make the AI safe to use</w:t>
      </w:r>
    </w:p>
    <w:p>
      <w:pPr>
        <w:pStyle w:val="ListBullet"/>
      </w:pPr>
      <w:r>
        <w:t>Schema and payload text is treated as untrusted data. Prompt injection inside descriptions cannot grant tools or change policy.</w:t>
      </w:r>
    </w:p>
    <w:p>
      <w:pPr>
        <w:pStyle w:val="ListBullet"/>
      </w:pPr>
      <w:r>
        <w:t>The model emits JSON conforming to a strict schema and an allowlisted transformation DSL; arbitrary generated code is never executed.</w:t>
      </w:r>
    </w:p>
    <w:p>
      <w:pPr>
        <w:pStyle w:val="ListBullet"/>
      </w:pPr>
      <w:r>
        <w:t>Sensitive sample values are minimized or masked, encrypted in transit/at rest, tenant-scoped and excluded from model training by policy.</w:t>
      </w:r>
    </w:p>
    <w:p>
      <w:pPr>
        <w:pStyle w:val="ListBullet"/>
      </w:pPr>
      <w:r>
        <w:t>Every approved contract records model/rule version, reviewer, source evidence, dry-run metrics and rollback target.</w:t>
      </w:r>
    </w:p>
    <w:p>
      <w:pPr>
        <w:pStyle w:val="ListBullet"/>
      </w:pPr>
      <w:r>
        <w:t>Low-confidence fields remain unresolved. The system asks for more samples or a customer decision instead of fabricating certainty.</w:t>
      </w:r>
    </w:p>
    <w:p>
      <w:r>
        <w:br w:type="page"/>
      </w:r>
    </w:p>
    <w:p>
      <w:pPr>
        <w:pStyle w:val="Sectionlabel"/>
      </w:pPr>
      <w:r>
        <w:t>05 / QUESTION 2</w:t>
      </w:r>
    </w:p>
    <w:p>
      <w:pPr>
        <w:pStyle w:val="Heading1"/>
      </w:pPr>
      <w:r>
        <w:t>The path from natural language to a stockout answer</w:t>
      </w:r>
    </w:p>
    <w:p>
      <w:pPr>
        <w:pStyle w:val="Lead"/>
      </w:pPr>
      <w:r>
        <w:t>The agent orchestrates a controlled plan. It never invents inventory facts or performs the stock calculation in free-form text.</w:t>
      </w:r>
    </w:p>
    <w:p>
      <w:pPr>
        <w:jc w:val="center"/>
      </w:pPr>
      <w:r>
        <w:drawing>
          <wp:inline xmlns:a="http://schemas.openxmlformats.org/drawingml/2006/main" xmlns:pic="http://schemas.openxmlformats.org/drawingml/2006/picture">
            <wp:extent cx="6400800" cy="3733800"/>
            <wp:docPr id="4" name="Picture 4"/>
            <wp:cNvGraphicFramePr>
              <a:graphicFrameLocks noChangeAspect="1"/>
            </wp:cNvGraphicFramePr>
            <a:graphic>
              <a:graphicData uri="http://schemas.openxmlformats.org/drawingml/2006/picture">
                <pic:pic>
                  <pic:nvPicPr>
                    <pic:cNvPr id="0" name="stockout-sequence.png"/>
                    <pic:cNvPicPr/>
                  </pic:nvPicPr>
                  <pic:blipFill>
                    <a:blip r:embed="rId16"/>
                    <a:stretch>
                      <a:fillRect/>
                    </a:stretch>
                  </pic:blipFill>
                  <pic:spPr>
                    <a:xfrm>
                      <a:off x="0" y="0"/>
                      <a:ext cx="6400800" cy="3733800"/>
                    </a:xfrm>
                    <a:prstGeom prst="rect"/>
                  </pic:spPr>
                </pic:pic>
              </a:graphicData>
            </a:graphic>
          </wp:inline>
        </w:drawing>
      </w:r>
    </w:p>
    <w:p>
      <w:pPr>
        <w:pStyle w:val="BodyText"/>
        <w:jc w:val="center"/>
      </w:pPr>
      <w:r>
        <w:t>Figure 3. Runtime sequence for the question in the assignment.</w:t>
      </w:r>
    </w:p>
    <w:p>
      <w:pPr>
        <w:pStyle w:val="Heading2"/>
      </w:pPr>
      <w:r>
        <w:t>Structured intent produced by the agent</w:t>
      </w:r>
    </w:p>
    <w:tbl>
      <w:tblPr>
        <w:tblW w:type="auto" w:w="0"/>
        <w:tblLook w:firstColumn="1" w:firstRow="1" w:lastColumn="0" w:lastRow="0" w:noHBand="0" w:noVBand="1" w:val="04A0"/>
      </w:tblPr>
      <w:tblGrid>
        <w:gridCol w:w="10166"/>
      </w:tblGrid>
      <w:tr>
        <w:tc>
          <w:tcPr>
            <w:tcW w:type="dxa" w:w="10166"/>
            <w:shd w:fill="14261D"/>
            <w:tcMar>
              <w:top w:w="140" w:type="dxa"/>
              <w:start w:w="170" w:type="dxa"/>
              <w:bottom w:w="140" w:type="dxa"/>
              <w:end w:w="170" w:type="dxa"/>
            </w:tcMar>
          </w:tcPr>
          <w:p>
            <w:r>
              <w:rPr>
                <w:rFonts w:ascii="Consolas" w:hAnsi="Consolas"/>
                <w:color w:val="DCE9E1"/>
                <w:sz w:val="17"/>
              </w:rPr>
              <w:t>{</w:t>
              <w:br/>
              <w:t xml:space="preserve">  "intent": "stockout_risk",</w:t>
              <w:br/>
              <w:t xml:space="preserve">  "horizon_days": 14,</w:t>
              <w:br/>
              <w:t xml:space="preserve">  "grain": "sku_location_day",</w:t>
              <w:br/>
              <w:t xml:space="preserve">  "locations": "authorized_active_locations",</w:t>
              <w:br/>
              <w:t xml:space="preserve">  "receipt_policy": "confirmed_only",</w:t>
              <w:br/>
              <w:t xml:space="preserve">  "forecast_scenario": "base"</w:t>
              <w:br/>
              <w:t>}</w:t>
            </w:r>
          </w:p>
        </w:tc>
      </w:tr>
    </w:tbl>
    <w:p>
      <w:r>
        <w:t>If conversation context does not identify a location, the agent uses all authorized active locations and states that assumption. If the user asks for certainty that the data cannot support, the response expresses risk and confidence rather than presenting a probabilistic forecast as fact.</w:t>
      </w:r>
    </w:p>
    <w:p>
      <w:r>
        <w:br w:type="page"/>
      </w:r>
    </w:p>
    <w:p>
      <w:pPr>
        <w:pStyle w:val="Sectionlabel"/>
      </w:pPr>
      <w:r>
        <w:t>06 / DECISION LOGIC</w:t>
      </w:r>
    </w:p>
    <w:p>
      <w:pPr>
        <w:pStyle w:val="Heading1"/>
      </w:pPr>
      <w:r>
        <w:t>Deterministic projection, evidence-backed explanation</w:t>
      </w:r>
    </w:p>
    <w:p>
      <w:pPr>
        <w:pStyle w:val="Heading2"/>
      </w:pPr>
      <w:r>
        <w:t>Data assembled for each SKU-location</w:t>
      </w:r>
    </w:p>
    <w:p>
      <w:pPr>
        <w:pStyle w:val="ListBullet"/>
      </w:pPr>
      <w:r>
        <w:t>Usable on-hand inventory, quarantine/damaged stock, reservations, allocations and backorders from WMS.</w:t>
      </w:r>
    </w:p>
    <w:p>
      <w:pPr>
        <w:pStyle w:val="ListBullet"/>
      </w:pPr>
      <w:r>
        <w:t>Confirmed purchase/production orders, transfers, expected receipt dates, cancellation status and quantities from ERP/WMS.</w:t>
      </w:r>
    </w:p>
    <w:p>
      <w:pPr>
        <w:pStyle w:val="ListBullet"/>
      </w:pPr>
      <w:r>
        <w:t>Daily demand forecast and uncertainty bands, recent sales signals, events and product lifecycle state from intelligence services.</w:t>
      </w:r>
    </w:p>
    <w:p>
      <w:pPr>
        <w:pStyle w:val="ListBullet"/>
      </w:pPr>
      <w:r>
        <w:t>Lead-time distribution, working calendars, MOQ/order multiples, service-level target and customer inventory policy.</w:t>
      </w:r>
    </w:p>
    <w:tbl>
      <w:tblPr>
        <w:tblW w:type="auto" w:w="0"/>
        <w:jc w:val="center"/>
        <w:tblLook w:firstColumn="1" w:firstRow="1" w:lastColumn="0" w:lastRow="0" w:noHBand="0" w:noVBand="1" w:val="04A0"/>
      </w:tblPr>
      <w:tblGrid>
        <w:gridCol w:w="10166"/>
      </w:tblGrid>
      <w:tr>
        <w:tc>
          <w:tcPr>
            <w:tcW w:type="dxa" w:w="10166"/>
            <w:shd w:fill="EDF4F6"/>
            <w:tcMar>
              <w:top w:w="160" w:type="dxa"/>
              <w:start w:w="180" w:type="dxa"/>
              <w:bottom w:w="160" w:type="dxa"/>
              <w:end w:w="180" w:type="dxa"/>
            </w:tcMar>
          </w:tcPr>
          <w:p>
            <w:pPr>
              <w:spacing w:after="80"/>
            </w:pPr>
            <w:r>
              <w:rPr>
                <w:b/>
                <w:color w:val="123D2A"/>
                <w:sz w:val="20"/>
              </w:rPr>
              <w:t>Daily projection</w:t>
            </w:r>
          </w:p>
          <w:p>
            <w:pPr>
              <w:pStyle w:val="BodyText"/>
              <w:spacing w:after="0"/>
            </w:pPr>
            <w:r>
              <w:t>NetAvailable₀ = usable on-hand − reservations − blocked inventory</w:t>
              <w:br/>
              <w:t>ProjectedNet₍d₎ = NetAvailable₀ + confirmed receipts through day d − forecast demand through day d − confirmed outbound transfers</w:t>
              <w:br/>
              <w:t>StockoutDay = first day d ≤ 14 where ProjectedNet₍d₎ ≤ 0</w:t>
            </w:r>
          </w:p>
        </w:tc>
      </w:tr>
    </w:tbl>
    <w:p>
      <w:r>
        <w:t>A base answer uses the approved point forecast. For production planning, the service also evaluates forecast scenarios or quantiles and returns probability of stockout. Falling below safety stock is reported as ‘at risk’; reaching zero is reported as a projected stockout. This avoids conflating policy buffer consumption with physical unavailability.</w:t>
      </w:r>
    </w:p>
    <w:p>
      <w:pPr>
        <w:pStyle w:val="Heading2"/>
      </w:pPr>
      <w:r>
        <w:t>Response contract</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tcMar>
              <w:top w:w="110" w:type="dxa"/>
              <w:start w:w="120" w:type="dxa"/>
              <w:bottom w:w="110" w:type="dxa"/>
              <w:end w:w="120" w:type="dxa"/>
            </w:tcMar>
            <w:shd w:fill="123D2A"/>
          </w:tcPr>
          <w:p>
            <w:r/>
            <w:r>
              <w:rPr>
                <w:rFonts w:ascii="Aptos" w:hAnsi="Aptos"/>
                <w:b/>
                <w:color w:val="FFFFFF"/>
                <w:sz w:val="15"/>
              </w:rPr>
              <w:t>What the user sees</w:t>
            </w:r>
          </w:p>
        </w:tc>
        <w:tc>
          <w:tcPr>
            <w:tcW w:type="dxa" w:w="2541"/>
            <w:vAlign w:val="center"/>
            <w:tcMar>
              <w:top w:w="110" w:type="dxa"/>
              <w:start w:w="120" w:type="dxa"/>
              <w:bottom w:w="110" w:type="dxa"/>
              <w:end w:w="120" w:type="dxa"/>
            </w:tcMar>
            <w:shd w:fill="123D2A"/>
          </w:tcPr>
          <w:p>
            <w:r/>
            <w:r>
              <w:rPr>
                <w:rFonts w:ascii="Aptos" w:hAnsi="Aptos"/>
                <w:b/>
                <w:color w:val="FFFFFF"/>
                <w:sz w:val="15"/>
              </w:rPr>
              <w:t>Why it matters</w:t>
            </w:r>
          </w:p>
        </w:tc>
        <w:tc>
          <w:tcPr>
            <w:tcW w:type="dxa" w:w="2541"/>
            <w:vAlign w:val="center"/>
            <w:tcMar>
              <w:top w:w="110" w:type="dxa"/>
              <w:start w:w="120" w:type="dxa"/>
              <w:bottom w:w="110" w:type="dxa"/>
              <w:end w:w="120" w:type="dxa"/>
            </w:tcMar>
            <w:shd w:fill="123D2A"/>
          </w:tcPr>
          <w:p>
            <w:r/>
            <w:r>
              <w:rPr>
                <w:rFonts w:ascii="Aptos" w:hAnsi="Aptos"/>
                <w:b/>
                <w:color w:val="FFFFFF"/>
                <w:sz w:val="15"/>
              </w:rPr>
              <w:t>Example</w:t>
            </w:r>
          </w:p>
        </w:tc>
        <w:tc>
          <w:tcPr>
            <w:tcW w:type="dxa" w:w="2541"/>
            <w:vAlign w:val="center"/>
            <w:tcMar>
              <w:top w:w="110" w:type="dxa"/>
              <w:start w:w="120" w:type="dxa"/>
              <w:bottom w:w="110" w:type="dxa"/>
              <w:end w:w="120" w:type="dxa"/>
            </w:tcMar>
            <w:shd w:fill="123D2A"/>
          </w:tcPr>
          <w:p>
            <w:r/>
            <w:r>
              <w:rPr>
                <w:rFonts w:ascii="Aptos" w:hAnsi="Aptos"/>
                <w:b/>
                <w:color w:val="FFFFFF"/>
                <w:sz w:val="15"/>
              </w:rPr>
              <w:t>Source</w:t>
            </w:r>
          </w:p>
        </w:tc>
      </w:tr>
      <w:tr>
        <w:tc>
          <w:tcPr>
            <w:tcW w:type="dxa" w:w="2541"/>
            <w:vAlign w:val="center"/>
            <w:tcMar>
              <w:top w:w="110" w:type="dxa"/>
              <w:start w:w="120" w:type="dxa"/>
              <w:bottom w:w="110" w:type="dxa"/>
              <w:end w:w="120" w:type="dxa"/>
            </w:tcMar>
          </w:tcPr>
          <w:p>
            <w:r/>
            <w:r>
              <w:rPr>
                <w:rFonts w:ascii="Aptos" w:hAnsi="Aptos"/>
                <w:b w:val="0"/>
                <w:color w:val="15251D"/>
                <w:sz w:val="15"/>
              </w:rPr>
              <w:t>SKU + location</w:t>
            </w:r>
          </w:p>
        </w:tc>
        <w:tc>
          <w:tcPr>
            <w:tcW w:type="dxa" w:w="2541"/>
            <w:vAlign w:val="center"/>
            <w:tcMar>
              <w:top w:w="110" w:type="dxa"/>
              <w:start w:w="120" w:type="dxa"/>
              <w:bottom w:w="110" w:type="dxa"/>
              <w:end w:w="120" w:type="dxa"/>
            </w:tcMar>
          </w:tcPr>
          <w:p>
            <w:r/>
            <w:r>
              <w:rPr>
                <w:rFonts w:ascii="Aptos" w:hAnsi="Aptos"/>
                <w:b w:val="0"/>
                <w:color w:val="15251D"/>
                <w:sz w:val="15"/>
              </w:rPr>
              <w:t>Correct decision grain</w:t>
            </w:r>
          </w:p>
        </w:tc>
        <w:tc>
          <w:tcPr>
            <w:tcW w:type="dxa" w:w="2541"/>
            <w:vAlign w:val="center"/>
            <w:tcMar>
              <w:top w:w="110" w:type="dxa"/>
              <w:start w:w="120" w:type="dxa"/>
              <w:bottom w:w="110" w:type="dxa"/>
              <w:end w:w="120" w:type="dxa"/>
            </w:tcMar>
          </w:tcPr>
          <w:p>
            <w:r/>
            <w:r>
              <w:rPr>
                <w:rFonts w:ascii="Aptos" w:hAnsi="Aptos"/>
                <w:b w:val="0"/>
                <w:color w:val="15251D"/>
                <w:sz w:val="15"/>
              </w:rPr>
              <w:t>TS-104 · Delhi DC</w:t>
            </w:r>
          </w:p>
        </w:tc>
        <w:tc>
          <w:tcPr>
            <w:tcW w:type="dxa" w:w="2541"/>
            <w:vAlign w:val="center"/>
            <w:tcMar>
              <w:top w:w="110" w:type="dxa"/>
              <w:start w:w="120" w:type="dxa"/>
              <w:bottom w:w="110" w:type="dxa"/>
              <w:end w:w="120" w:type="dxa"/>
            </w:tcMar>
          </w:tcPr>
          <w:p>
            <w:r/>
            <w:r>
              <w:rPr>
                <w:rFonts w:ascii="Aptos" w:hAnsi="Aptos"/>
                <w:b w:val="0"/>
                <w:color w:val="15251D"/>
                <w:sz w:val="15"/>
              </w:rPr>
              <w:t>Canonical graph</w:t>
            </w:r>
          </w:p>
        </w:tc>
      </w:tr>
      <w:tr>
        <w:tc>
          <w:tcPr>
            <w:tcW w:type="dxa" w:w="2541"/>
            <w:vAlign w:val="center"/>
            <w:tcMar>
              <w:top w:w="110" w:type="dxa"/>
              <w:start w:w="120" w:type="dxa"/>
              <w:bottom w:w="110" w:type="dxa"/>
              <w:end w:w="120" w:type="dxa"/>
            </w:tcMar>
          </w:tcPr>
          <w:p>
            <w:r/>
            <w:r>
              <w:rPr>
                <w:rFonts w:ascii="Aptos" w:hAnsi="Aptos"/>
                <w:b w:val="0"/>
                <w:color w:val="15251D"/>
                <w:sz w:val="15"/>
              </w:rPr>
              <w:t>Stockout date/risk</w:t>
            </w:r>
          </w:p>
        </w:tc>
        <w:tc>
          <w:tcPr>
            <w:tcW w:type="dxa" w:w="2541"/>
            <w:vAlign w:val="center"/>
            <w:tcMar>
              <w:top w:w="110" w:type="dxa"/>
              <w:start w:w="120" w:type="dxa"/>
              <w:bottom w:w="110" w:type="dxa"/>
              <w:end w:w="120" w:type="dxa"/>
            </w:tcMar>
          </w:tcPr>
          <w:p>
            <w:r/>
            <w:r>
              <w:rPr>
                <w:rFonts w:ascii="Aptos" w:hAnsi="Aptos"/>
                <w:b w:val="0"/>
                <w:color w:val="15251D"/>
                <w:sz w:val="15"/>
              </w:rPr>
              <w:t>Prioritizes intervention</w:t>
            </w:r>
          </w:p>
        </w:tc>
        <w:tc>
          <w:tcPr>
            <w:tcW w:type="dxa" w:w="2541"/>
            <w:vAlign w:val="center"/>
            <w:tcMar>
              <w:top w:w="110" w:type="dxa"/>
              <w:start w:w="120" w:type="dxa"/>
              <w:bottom w:w="110" w:type="dxa"/>
              <w:end w:w="120" w:type="dxa"/>
            </w:tcMar>
          </w:tcPr>
          <w:p>
            <w:r/>
            <w:r>
              <w:rPr>
                <w:rFonts w:ascii="Aptos" w:hAnsi="Aptos"/>
                <w:b w:val="0"/>
                <w:color w:val="15251D"/>
                <w:sz w:val="15"/>
              </w:rPr>
              <w:t>Day 7 · Critical</w:t>
            </w:r>
          </w:p>
        </w:tc>
        <w:tc>
          <w:tcPr>
            <w:tcW w:type="dxa" w:w="2541"/>
            <w:vAlign w:val="center"/>
            <w:tcMar>
              <w:top w:w="110" w:type="dxa"/>
              <w:start w:w="120" w:type="dxa"/>
              <w:bottom w:w="110" w:type="dxa"/>
              <w:end w:w="120" w:type="dxa"/>
            </w:tcMar>
          </w:tcPr>
          <w:p>
            <w:r/>
            <w:r>
              <w:rPr>
                <w:rFonts w:ascii="Aptos" w:hAnsi="Aptos"/>
                <w:b w:val="0"/>
                <w:color w:val="15251D"/>
                <w:sz w:val="15"/>
              </w:rPr>
              <w:t>Projection service</w:t>
            </w:r>
          </w:p>
        </w:tc>
      </w:tr>
      <w:tr>
        <w:tc>
          <w:tcPr>
            <w:tcW w:type="dxa" w:w="2541"/>
            <w:vAlign w:val="center"/>
            <w:tcMar>
              <w:top w:w="110" w:type="dxa"/>
              <w:start w:w="120" w:type="dxa"/>
              <w:bottom w:w="110" w:type="dxa"/>
              <w:end w:w="120" w:type="dxa"/>
            </w:tcMar>
          </w:tcPr>
          <w:p>
            <w:r/>
            <w:r>
              <w:rPr>
                <w:rFonts w:ascii="Aptos" w:hAnsi="Aptos"/>
                <w:b w:val="0"/>
                <w:color w:val="15251D"/>
                <w:sz w:val="15"/>
              </w:rPr>
              <w:t>Primary cause</w:t>
            </w:r>
          </w:p>
        </w:tc>
        <w:tc>
          <w:tcPr>
            <w:tcW w:type="dxa" w:w="2541"/>
            <w:vAlign w:val="center"/>
            <w:tcMar>
              <w:top w:w="110" w:type="dxa"/>
              <w:start w:w="120" w:type="dxa"/>
              <w:bottom w:w="110" w:type="dxa"/>
              <w:end w:w="120" w:type="dxa"/>
            </w:tcMar>
          </w:tcPr>
          <w:p>
            <w:r/>
            <w:r>
              <w:rPr>
                <w:rFonts w:ascii="Aptos" w:hAnsi="Aptos"/>
                <w:b w:val="0"/>
                <w:color w:val="15251D"/>
                <w:sz w:val="15"/>
              </w:rPr>
              <w:t>Makes result actionable</w:t>
            </w:r>
          </w:p>
        </w:tc>
        <w:tc>
          <w:tcPr>
            <w:tcW w:type="dxa" w:w="2541"/>
            <w:vAlign w:val="center"/>
            <w:tcMar>
              <w:top w:w="110" w:type="dxa"/>
              <w:start w:w="120" w:type="dxa"/>
              <w:bottom w:w="110" w:type="dxa"/>
              <w:end w:w="120" w:type="dxa"/>
            </w:tcMar>
          </w:tcPr>
          <w:p>
            <w:r/>
            <w:r>
              <w:rPr>
                <w:rFonts w:ascii="Aptos" w:hAnsi="Aptos"/>
                <w:b w:val="0"/>
                <w:color w:val="15251D"/>
                <w:sz w:val="15"/>
              </w:rPr>
              <w:t>Demand consumes stock before receipt</w:t>
            </w:r>
          </w:p>
        </w:tc>
        <w:tc>
          <w:tcPr>
            <w:tcW w:type="dxa" w:w="2541"/>
            <w:vAlign w:val="center"/>
            <w:tcMar>
              <w:top w:w="110" w:type="dxa"/>
              <w:start w:w="120" w:type="dxa"/>
              <w:bottom w:w="110" w:type="dxa"/>
              <w:end w:w="120" w:type="dxa"/>
            </w:tcMar>
          </w:tcPr>
          <w:p>
            <w:r/>
            <w:r>
              <w:rPr>
                <w:rFonts w:ascii="Aptos" w:hAnsi="Aptos"/>
                <w:b w:val="0"/>
                <w:color w:val="15251D"/>
                <w:sz w:val="15"/>
              </w:rPr>
              <w:t>Forecast + order</w:t>
            </w:r>
          </w:p>
        </w:tc>
      </w:tr>
      <w:tr>
        <w:tc>
          <w:tcPr>
            <w:tcW w:type="dxa" w:w="2541"/>
            <w:vAlign w:val="center"/>
            <w:tcMar>
              <w:top w:w="110" w:type="dxa"/>
              <w:start w:w="120" w:type="dxa"/>
              <w:bottom w:w="110" w:type="dxa"/>
              <w:end w:w="120" w:type="dxa"/>
            </w:tcMar>
          </w:tcPr>
          <w:p>
            <w:r/>
            <w:r>
              <w:rPr>
                <w:rFonts w:ascii="Aptos" w:hAnsi="Aptos"/>
                <w:b w:val="0"/>
                <w:color w:val="15251D"/>
                <w:sz w:val="15"/>
              </w:rPr>
              <w:t>Recommended action</w:t>
            </w:r>
          </w:p>
        </w:tc>
        <w:tc>
          <w:tcPr>
            <w:tcW w:type="dxa" w:w="2541"/>
            <w:vAlign w:val="center"/>
            <w:tcMar>
              <w:top w:w="110" w:type="dxa"/>
              <w:start w:w="120" w:type="dxa"/>
              <w:bottom w:w="110" w:type="dxa"/>
              <w:end w:w="120" w:type="dxa"/>
            </w:tcMar>
          </w:tcPr>
          <w:p>
            <w:r/>
            <w:r>
              <w:rPr>
                <w:rFonts w:ascii="Aptos" w:hAnsi="Aptos"/>
                <w:b w:val="0"/>
                <w:color w:val="15251D"/>
                <w:sz w:val="15"/>
              </w:rPr>
              <w:t>Supports planner decision</w:t>
            </w:r>
          </w:p>
        </w:tc>
        <w:tc>
          <w:tcPr>
            <w:tcW w:type="dxa" w:w="2541"/>
            <w:vAlign w:val="center"/>
            <w:tcMar>
              <w:top w:w="110" w:type="dxa"/>
              <w:start w:w="120" w:type="dxa"/>
              <w:bottom w:w="110" w:type="dxa"/>
              <w:end w:w="120" w:type="dxa"/>
            </w:tcMar>
          </w:tcPr>
          <w:p>
            <w:r/>
            <w:r>
              <w:rPr>
                <w:rFonts w:ascii="Aptos" w:hAnsi="Aptos"/>
                <w:b w:val="0"/>
                <w:color w:val="15251D"/>
                <w:sz w:val="15"/>
              </w:rPr>
              <w:t>Expedite/transfer ≥ 28 units</w:t>
            </w:r>
          </w:p>
        </w:tc>
        <w:tc>
          <w:tcPr>
            <w:tcW w:type="dxa" w:w="2541"/>
            <w:vAlign w:val="center"/>
            <w:tcMar>
              <w:top w:w="110" w:type="dxa"/>
              <w:start w:w="120" w:type="dxa"/>
              <w:bottom w:w="110" w:type="dxa"/>
              <w:end w:w="120" w:type="dxa"/>
            </w:tcMar>
          </w:tcPr>
          <w:p>
            <w:r/>
            <w:r>
              <w:rPr>
                <w:rFonts w:ascii="Aptos" w:hAnsi="Aptos"/>
                <w:b w:val="0"/>
                <w:color w:val="15251D"/>
                <w:sz w:val="15"/>
              </w:rPr>
              <w:t>Replenishment service</w:t>
            </w:r>
          </w:p>
        </w:tc>
      </w:tr>
      <w:tr>
        <w:tc>
          <w:tcPr>
            <w:tcW w:type="dxa" w:w="2541"/>
            <w:vAlign w:val="center"/>
            <w:tcMar>
              <w:top w:w="110" w:type="dxa"/>
              <w:start w:w="120" w:type="dxa"/>
              <w:bottom w:w="110" w:type="dxa"/>
              <w:end w:w="120" w:type="dxa"/>
            </w:tcMar>
          </w:tcPr>
          <w:p>
            <w:r/>
            <w:r>
              <w:rPr>
                <w:rFonts w:ascii="Aptos" w:hAnsi="Aptos"/>
                <w:b w:val="0"/>
                <w:color w:val="15251D"/>
                <w:sz w:val="15"/>
              </w:rPr>
              <w:t>Freshness + confidence</w:t>
            </w:r>
          </w:p>
        </w:tc>
        <w:tc>
          <w:tcPr>
            <w:tcW w:type="dxa" w:w="2541"/>
            <w:vAlign w:val="center"/>
            <w:tcMar>
              <w:top w:w="110" w:type="dxa"/>
              <w:start w:w="120" w:type="dxa"/>
              <w:bottom w:w="110" w:type="dxa"/>
              <w:end w:w="120" w:type="dxa"/>
            </w:tcMar>
          </w:tcPr>
          <w:p>
            <w:r/>
            <w:r>
              <w:rPr>
                <w:rFonts w:ascii="Aptos" w:hAnsi="Aptos"/>
                <w:b w:val="0"/>
                <w:color w:val="15251D"/>
                <w:sz w:val="15"/>
              </w:rPr>
              <w:t>Prevents false certainty</w:t>
            </w:r>
          </w:p>
        </w:tc>
        <w:tc>
          <w:tcPr>
            <w:tcW w:type="dxa" w:w="2541"/>
            <w:vAlign w:val="center"/>
            <w:tcMar>
              <w:top w:w="110" w:type="dxa"/>
              <w:start w:w="120" w:type="dxa"/>
              <w:bottom w:w="110" w:type="dxa"/>
              <w:end w:w="120" w:type="dxa"/>
            </w:tcMar>
          </w:tcPr>
          <w:p>
            <w:r/>
            <w:r>
              <w:rPr>
                <w:rFonts w:ascii="Aptos" w:hAnsi="Aptos"/>
                <w:b w:val="0"/>
                <w:color w:val="15251D"/>
                <w:sz w:val="15"/>
              </w:rPr>
              <w:t>Inventory 8 min old</w:t>
            </w:r>
          </w:p>
        </w:tc>
        <w:tc>
          <w:tcPr>
            <w:tcW w:type="dxa" w:w="2541"/>
            <w:vAlign w:val="center"/>
            <w:tcMar>
              <w:top w:w="110" w:type="dxa"/>
              <w:start w:w="120" w:type="dxa"/>
              <w:bottom w:w="110" w:type="dxa"/>
              <w:end w:w="120" w:type="dxa"/>
            </w:tcMar>
          </w:tcPr>
          <w:p>
            <w:r/>
            <w:r>
              <w:rPr>
                <w:rFonts w:ascii="Aptos" w:hAnsi="Aptos"/>
                <w:b w:val="0"/>
                <w:color w:val="15251D"/>
                <w:sz w:val="15"/>
              </w:rPr>
              <w:t>Lineage service</w:t>
            </w:r>
          </w:p>
        </w:tc>
      </w:tr>
    </w:tbl>
    <w:p>
      <w:pPr>
        <w:pStyle w:val="Heading2"/>
      </w:pPr>
      <w:r>
        <w:t>Failure-aware behaviour</w:t>
      </w:r>
    </w:p>
    <w:p>
      <w:pPr>
        <w:pStyle w:val="ListBullet"/>
      </w:pPr>
      <w:r>
        <w:t>Stale inventory: warn and suppress automatic recommendation beyond the agreed SLA.</w:t>
      </w:r>
    </w:p>
    <w:p>
      <w:pPr>
        <w:pStyle w:val="ListBullet"/>
      </w:pPr>
      <w:r>
        <w:t>Missing forecast: fall back only to an approved baseline and label it; otherwise request input.</w:t>
      </w:r>
    </w:p>
    <w:p>
      <w:pPr>
        <w:pStyle w:val="ListBullet"/>
      </w:pPr>
      <w:r>
        <w:t>Conflicting ERP/WMS values: apply documented field ownership, surface the discrepancy and retain both source facts.</w:t>
      </w:r>
    </w:p>
    <w:p>
      <w:pPr>
        <w:pStyle w:val="ListBullet"/>
      </w:pPr>
      <w:r>
        <w:t>Tool timeout or partial location failure: return partial results with explicit coverage, never a silent all-clear.</w:t>
      </w:r>
    </w:p>
    <w:p>
      <w:pPr>
        <w:pStyle w:val="ListBullet"/>
      </w:pPr>
      <w:r>
        <w:t>Recommendation conflict with MOQ, calendar or supplier constraint: recalculate through the deterministic replenishment service.</w:t>
      </w:r>
    </w:p>
    <w:p>
      <w:r>
        <w:br w:type="page"/>
      </w:r>
    </w:p>
    <w:p>
      <w:pPr>
        <w:pStyle w:val="Sectionlabel"/>
      </w:pPr>
      <w:r>
        <w:t>07 / OPERATIONS &amp; PROTOTYPE</w:t>
      </w:r>
    </w:p>
    <w:p>
      <w:pPr>
        <w:pStyle w:val="Heading1"/>
      </w:pPr>
      <w:r>
        <w:t>Designed to earn trust after the demo</w:t>
      </w:r>
    </w:p>
    <w:p>
      <w:pPr>
        <w:pStyle w:val="Heading2"/>
      </w:pPr>
      <w:r>
        <w:t>Production controls</w:t>
      </w:r>
    </w:p>
    <w:tbl>
      <w:tblPr>
        <w:tblW w:type="auto" w:w="0"/>
        <w:jc w:val="center"/>
        <w:tblLook w:firstColumn="1" w:firstRow="1" w:lastColumn="0" w:lastRow="0" w:noHBand="0" w:noVBand="1" w:val="04A0"/>
      </w:tblPr>
      <w:tblGrid>
        <w:gridCol w:w="3389"/>
        <w:gridCol w:w="3389"/>
        <w:gridCol w:w="3389"/>
      </w:tblGrid>
      <w:tr>
        <w:tc>
          <w:tcPr>
            <w:tcW w:type="dxa" w:w="3389"/>
            <w:shd w:fill="F3F7F4"/>
            <w:tcMar>
              <w:top w:w="150" w:type="dxa"/>
              <w:start w:w="150" w:type="dxa"/>
              <w:bottom w:w="150" w:type="dxa"/>
              <w:end w:w="150" w:type="dxa"/>
            </w:tcMar>
          </w:tcPr>
          <w:p>
            <w:r>
              <w:rPr>
                <w:b/>
                <w:color w:val="123D2A"/>
                <w:sz w:val="19"/>
              </w:rPr>
              <w:t>Security</w:t>
            </w:r>
          </w:p>
          <w:p>
            <w:pPr>
              <w:pStyle w:val="BodyText"/>
            </w:pPr>
            <w:r>
              <w:t>Tenant-scoped identities, least-privilege connectors, secret vault, encryption and complete access logs.</w:t>
            </w:r>
          </w:p>
        </w:tc>
        <w:tc>
          <w:tcPr>
            <w:tcW w:type="dxa" w:w="3389"/>
            <w:shd w:fill="FFFFFF"/>
            <w:tcMar>
              <w:top w:w="150" w:type="dxa"/>
              <w:start w:w="150" w:type="dxa"/>
              <w:bottom w:w="150" w:type="dxa"/>
              <w:end w:w="150" w:type="dxa"/>
            </w:tcMar>
          </w:tcPr>
          <w:p>
            <w:r>
              <w:rPr>
                <w:b/>
                <w:color w:val="123D2A"/>
                <w:sz w:val="19"/>
              </w:rPr>
              <w:t>Quality</w:t>
            </w:r>
          </w:p>
          <w:p>
            <w:pPr>
              <w:pStyle w:val="BodyText"/>
            </w:pPr>
            <w:r>
              <w:t>Contract tests, freshness/volume checks, rejects quarantine, reconciliation and ownership alerts.</w:t>
            </w:r>
          </w:p>
        </w:tc>
        <w:tc>
          <w:tcPr>
            <w:tcW w:type="dxa" w:w="3389"/>
            <w:shd w:fill="F3F7F4"/>
            <w:tcMar>
              <w:top w:w="150" w:type="dxa"/>
              <w:start w:w="150" w:type="dxa"/>
              <w:bottom w:w="150" w:type="dxa"/>
              <w:end w:w="150" w:type="dxa"/>
            </w:tcMar>
          </w:tcPr>
          <w:p>
            <w:r>
              <w:rPr>
                <w:b/>
                <w:color w:val="123D2A"/>
                <w:sz w:val="19"/>
              </w:rPr>
              <w:t>Observability</w:t>
            </w:r>
          </w:p>
          <w:p>
            <w:pPr>
              <w:pStyle w:val="BodyText"/>
            </w:pPr>
            <w:r>
              <w:t>Trace each answer across prompt, tool calls, data versions, rule versions, latency and cost.</w:t>
            </w:r>
          </w:p>
        </w:tc>
      </w:tr>
      <w:tr>
        <w:tc>
          <w:tcPr>
            <w:tcW w:type="dxa" w:w="3389"/>
            <w:shd w:fill="FFFFFF"/>
            <w:tcMar>
              <w:top w:w="150" w:type="dxa"/>
              <w:start w:w="150" w:type="dxa"/>
              <w:bottom w:w="150" w:type="dxa"/>
              <w:end w:w="150" w:type="dxa"/>
            </w:tcMar>
          </w:tcPr>
          <w:p>
            <w:r>
              <w:rPr>
                <w:b/>
                <w:color w:val="123D2A"/>
                <w:sz w:val="19"/>
              </w:rPr>
              <w:t>Model governance</w:t>
            </w:r>
          </w:p>
          <w:p>
            <w:pPr>
              <w:pStyle w:val="BodyText"/>
            </w:pPr>
            <w:r>
              <w:t>Offline mapping evaluation, confidence calibration, prompt/model versioning and drift review.</w:t>
            </w:r>
          </w:p>
        </w:tc>
        <w:tc>
          <w:tcPr>
            <w:tcW w:type="dxa" w:w="3389"/>
            <w:shd w:fill="F3F7F4"/>
            <w:tcMar>
              <w:top w:w="150" w:type="dxa"/>
              <w:start w:w="150" w:type="dxa"/>
              <w:bottom w:w="150" w:type="dxa"/>
              <w:end w:w="150" w:type="dxa"/>
            </w:tcMar>
          </w:tcPr>
          <w:p>
            <w:r>
              <w:rPr>
                <w:b/>
                <w:color w:val="123D2A"/>
                <w:sz w:val="19"/>
              </w:rPr>
              <w:t>Resilience</w:t>
            </w:r>
          </w:p>
          <w:p>
            <w:pPr>
              <w:pStyle w:val="BodyText"/>
            </w:pPr>
            <w:r>
              <w:t>Idempotent ingestion, retries with limits, checkpointed batches, circuit breakers and replay.</w:t>
            </w:r>
          </w:p>
        </w:tc>
        <w:tc>
          <w:tcPr>
            <w:tcW w:type="dxa" w:w="3389"/>
            <w:shd w:fill="FFFFFF"/>
            <w:tcMar>
              <w:top w:w="150" w:type="dxa"/>
              <w:start w:w="150" w:type="dxa"/>
              <w:bottom w:w="150" w:type="dxa"/>
              <w:end w:w="150" w:type="dxa"/>
            </w:tcMar>
          </w:tcPr>
          <w:p>
            <w:r>
              <w:rPr>
                <w:b/>
                <w:color w:val="123D2A"/>
                <w:sz w:val="19"/>
              </w:rPr>
              <w:t>Human control</w:t>
            </w:r>
          </w:p>
          <w:p>
            <w:pPr>
              <w:pStyle w:val="BodyText"/>
            </w:pPr>
            <w:r>
              <w:t>Approval gates for mappings and write actions; feedback becomes labeled evaluation data.</w:t>
            </w:r>
          </w:p>
        </w:tc>
      </w:tr>
    </w:tbl>
    <w:p>
      <w:pPr>
        <w:pStyle w:val="Heading2"/>
      </w:pPr>
      <w:r>
        <w:t>Public prototype</w:t>
      </w:r>
    </w:p>
    <w:p>
      <w:hyperlink r:id="rId12">
        <w:r>
          <w:rPr>
            <w:color w:val="1C5940"/>
            <w:u w:val="single"/>
          </w:rPr>
          <w:t>Launch the live prototype</w:t>
        </w:r>
      </w:hyperlink>
      <w:r>
        <w:t xml:space="preserve">   |   </w:t>
      </w:r>
      <w:hyperlink r:id="rId13">
        <w:r>
          <w:rPr>
            <w:color w:val="1C5940"/>
            <w:u w:val="single"/>
          </w:rPr>
          <w:t>Review the source repository</w:t>
        </w:r>
      </w:hyperlink>
    </w:p>
    <w:p>
      <w:r>
        <w:t>The prototype demonstrates both workflows in the browser: reviewable ERP/WMS mappings with confidence and evidence, followed by a 14-day SKU-location projection with causes, recommendations and an execution trace. It is static by design, contains no credentials and performs deterministic planning calculations locally.</w:t>
      </w:r>
    </w:p>
    <w:p>
      <w:pPr>
        <w:jc w:val="center"/>
      </w:pPr>
      <w:r>
        <w:drawing>
          <wp:inline xmlns:a="http://schemas.openxmlformats.org/drawingml/2006/main" xmlns:pic="http://schemas.openxmlformats.org/drawingml/2006/picture">
            <wp:extent cx="6217920" cy="3627120"/>
            <wp:docPr id="5" name="Picture 5"/>
            <wp:cNvGraphicFramePr>
              <a:graphicFrameLocks noChangeAspect="1"/>
            </wp:cNvGraphicFramePr>
            <a:graphic>
              <a:graphicData uri="http://schemas.openxmlformats.org/drawingml/2006/picture">
                <pic:pic>
                  <pic:nvPicPr>
                    <pic:cNvPr id="0" name="prototype-preview.png"/>
                    <pic:cNvPicPr/>
                  </pic:nvPicPr>
                  <pic:blipFill>
                    <a:blip r:embed="rId17"/>
                    <a:stretch>
                      <a:fillRect/>
                    </a:stretch>
                  </pic:blipFill>
                  <pic:spPr>
                    <a:xfrm>
                      <a:off x="0" y="0"/>
                      <a:ext cx="6217920" cy="3627120"/>
                    </a:xfrm>
                    <a:prstGeom prst="rect"/>
                  </pic:spPr>
                </pic:pic>
              </a:graphicData>
            </a:graphic>
          </wp:inline>
        </w:drawing>
      </w:r>
    </w:p>
    <w:p>
      <w:pPr>
        <w:pStyle w:val="BodyText"/>
        <w:jc w:val="center"/>
      </w:pPr>
      <w:r>
        <w:t>Figure 4. Inventory Copilot prototype using representative data.</w:t>
      </w:r>
    </w:p>
    <w:p>
      <w:r>
        <w:br w:type="page"/>
      </w:r>
    </w:p>
    <w:p>
      <w:pPr>
        <w:pStyle w:val="Sectionlabel"/>
      </w:pPr>
      <w:r>
        <w:t>08 / TRADE-OFFS</w:t>
      </w:r>
    </w:p>
    <w:p>
      <w:pPr>
        <w:pStyle w:val="Heading1"/>
      </w:pPr>
      <w:r>
        <w:t>What is intentionally out of scope</w:t>
      </w:r>
    </w:p>
    <w:p>
      <w:pPr>
        <w:pStyle w:val="Lead"/>
      </w:pPr>
      <w:r>
        <w:t>The prototype proves the interaction and decision boundaries. It does not imitate production scale with unnecessary infrastructure.</w:t>
      </w:r>
    </w:p>
    <w:tbl>
      <w:tblPr>
        <w:tblW w:type="auto" w:w="0"/>
        <w:jc w:val="center"/>
        <w:tblLayout w:type="fixed"/>
        <w:tblLook w:firstColumn="1" w:firstRow="1" w:lastColumn="0" w:lastRow="0" w:noHBand="0" w:noVBand="1" w:val="04A0"/>
      </w:tblPr>
      <w:tblGrid>
        <w:gridCol w:w="605"/>
        <w:gridCol w:w="9432"/>
      </w:tblGrid>
      <w:tr>
        <w:tc>
          <w:tcPr>
            <w:tcW w:type="dxa" w:w="605"/>
            <w:vAlign w:val="center"/>
            <w:tcMar>
              <w:top w:w="110" w:type="dxa"/>
              <w:start w:w="120" w:type="dxa"/>
              <w:bottom w:w="110" w:type="dxa"/>
              <w:end w:w="120" w:type="dxa"/>
            </w:tcMar>
          </w:tcPr>
          <w:p>
            <w:r/>
            <w:r>
              <w:rPr>
                <w:rFonts w:ascii="Aptos" w:hAnsi="Aptos"/>
                <w:b/>
                <w:color w:val="EF772F"/>
                <w:sz w:val="20"/>
              </w:rPr>
              <w:t>01</w:t>
            </w:r>
          </w:p>
        </w:tc>
        <w:tc>
          <w:tcPr>
            <w:tcW w:type="dxa" w:w="9432"/>
            <w:tcMar>
              <w:top w:w="80" w:type="dxa"/>
              <w:start w:w="80" w:type="dxa"/>
              <w:bottom w:w="100" w:type="dxa"/>
              <w:end w:w="80" w:type="dxa"/>
            </w:tcMar>
          </w:tcPr>
          <w:p>
            <w:pPr>
              <w:spacing w:after="40"/>
            </w:pPr>
            <w:r/>
            <w:r>
              <w:rPr>
                <w:b/>
                <w:color w:val="15251D"/>
                <w:sz w:val="19"/>
              </w:rPr>
              <w:t>Live customer connectors</w:t>
            </w:r>
          </w:p>
          <w:p>
            <w:pPr>
              <w:pStyle w:val="BodyText"/>
            </w:pPr>
            <w:r>
              <w:t>Replace samples with connector SDKs, secret management, incremental sync and rate-limit handling.</w:t>
            </w:r>
          </w:p>
        </w:tc>
      </w:tr>
      <w:tr>
        <w:tc>
          <w:tcPr>
            <w:tcW w:type="dxa" w:w="605"/>
            <w:vAlign w:val="center"/>
            <w:tcMar>
              <w:top w:w="110" w:type="dxa"/>
              <w:start w:w="120" w:type="dxa"/>
              <w:bottom w:w="110" w:type="dxa"/>
              <w:end w:w="120" w:type="dxa"/>
            </w:tcMar>
          </w:tcPr>
          <w:p>
            <w:r/>
            <w:r>
              <w:rPr>
                <w:rFonts w:ascii="Aptos" w:hAnsi="Aptos"/>
                <w:b/>
                <w:color w:val="EF772F"/>
                <w:sz w:val="20"/>
              </w:rPr>
              <w:t>02</w:t>
            </w:r>
          </w:p>
        </w:tc>
        <w:tc>
          <w:tcPr>
            <w:tcW w:type="dxa" w:w="9432"/>
            <w:tcMar>
              <w:top w:w="80" w:type="dxa"/>
              <w:start w:w="80" w:type="dxa"/>
              <w:bottom w:w="100" w:type="dxa"/>
              <w:end w:w="80" w:type="dxa"/>
            </w:tcMar>
          </w:tcPr>
          <w:p>
            <w:pPr>
              <w:spacing w:after="40"/>
            </w:pPr>
            <w:r/>
            <w:r>
              <w:rPr>
                <w:b/>
                <w:color w:val="15251D"/>
                <w:sz w:val="19"/>
              </w:rPr>
              <w:t>Forecast model training</w:t>
            </w:r>
          </w:p>
          <w:p>
            <w:pPr>
              <w:pStyle w:val="BodyText"/>
            </w:pPr>
            <w:r>
              <w:t>Add backtesting, hierarchy reconciliation, event features, model registry and customer-specific selection.</w:t>
            </w:r>
          </w:p>
        </w:tc>
      </w:tr>
      <w:tr>
        <w:tc>
          <w:tcPr>
            <w:tcW w:type="dxa" w:w="605"/>
            <w:vAlign w:val="center"/>
            <w:tcMar>
              <w:top w:w="110" w:type="dxa"/>
              <w:start w:w="120" w:type="dxa"/>
              <w:bottom w:w="110" w:type="dxa"/>
              <w:end w:w="120" w:type="dxa"/>
            </w:tcMar>
          </w:tcPr>
          <w:p>
            <w:r/>
            <w:r>
              <w:rPr>
                <w:rFonts w:ascii="Aptos" w:hAnsi="Aptos"/>
                <w:b/>
                <w:color w:val="EF772F"/>
                <w:sz w:val="20"/>
              </w:rPr>
              <w:t>03</w:t>
            </w:r>
          </w:p>
        </w:tc>
        <w:tc>
          <w:tcPr>
            <w:tcW w:type="dxa" w:w="9432"/>
            <w:tcMar>
              <w:top w:w="80" w:type="dxa"/>
              <w:start w:w="80" w:type="dxa"/>
              <w:bottom w:w="100" w:type="dxa"/>
              <w:end w:w="80" w:type="dxa"/>
            </w:tcMar>
          </w:tcPr>
          <w:p>
            <w:pPr>
              <w:spacing w:after="40"/>
            </w:pPr>
            <w:r/>
            <w:r>
              <w:rPr>
                <w:b/>
                <w:color w:val="15251D"/>
                <w:sz w:val="19"/>
              </w:rPr>
              <w:t>Production graph storage</w:t>
            </w:r>
          </w:p>
          <w:p>
            <w:pPr>
              <w:pStyle w:val="BodyText"/>
            </w:pPr>
            <w:r>
              <w:t>Select relational, graph or hybrid storage after measuring traversal patterns, volume and latency.</w:t>
            </w:r>
          </w:p>
        </w:tc>
      </w:tr>
      <w:tr>
        <w:tc>
          <w:tcPr>
            <w:tcW w:type="dxa" w:w="605"/>
            <w:vAlign w:val="center"/>
            <w:tcMar>
              <w:top w:w="110" w:type="dxa"/>
              <w:start w:w="120" w:type="dxa"/>
              <w:bottom w:w="110" w:type="dxa"/>
              <w:end w:w="120" w:type="dxa"/>
            </w:tcMar>
          </w:tcPr>
          <w:p>
            <w:r/>
            <w:r>
              <w:rPr>
                <w:rFonts w:ascii="Aptos" w:hAnsi="Aptos"/>
                <w:b/>
                <w:color w:val="EF772F"/>
                <w:sz w:val="20"/>
              </w:rPr>
              <w:t>04</w:t>
            </w:r>
          </w:p>
        </w:tc>
        <w:tc>
          <w:tcPr>
            <w:tcW w:type="dxa" w:w="9432"/>
            <w:tcMar>
              <w:top w:w="80" w:type="dxa"/>
              <w:start w:w="80" w:type="dxa"/>
              <w:bottom w:w="100" w:type="dxa"/>
              <w:end w:w="80" w:type="dxa"/>
            </w:tcMar>
          </w:tcPr>
          <w:p>
            <w:pPr>
              <w:spacing w:after="40"/>
            </w:pPr>
            <w:r/>
            <w:r>
              <w:rPr>
                <w:b/>
                <w:color w:val="15251D"/>
                <w:sz w:val="19"/>
              </w:rPr>
              <w:t>Transactional execution</w:t>
            </w:r>
          </w:p>
          <w:p>
            <w:pPr>
              <w:pStyle w:val="BodyText"/>
            </w:pPr>
            <w:r>
              <w:t>Add approval workflows, segregation of duties and idempotent ERP write-back before creating orders.</w:t>
            </w:r>
          </w:p>
        </w:tc>
      </w:tr>
      <w:tr>
        <w:tc>
          <w:tcPr>
            <w:tcW w:type="dxa" w:w="605"/>
            <w:vAlign w:val="center"/>
            <w:tcMar>
              <w:top w:w="110" w:type="dxa"/>
              <w:start w:w="120" w:type="dxa"/>
              <w:bottom w:w="110" w:type="dxa"/>
              <w:end w:w="120" w:type="dxa"/>
            </w:tcMar>
          </w:tcPr>
          <w:p>
            <w:r/>
            <w:r>
              <w:rPr>
                <w:rFonts w:ascii="Aptos" w:hAnsi="Aptos"/>
                <w:b/>
                <w:color w:val="EF772F"/>
                <w:sz w:val="20"/>
              </w:rPr>
              <w:t>05</w:t>
            </w:r>
          </w:p>
        </w:tc>
        <w:tc>
          <w:tcPr>
            <w:tcW w:type="dxa" w:w="9432"/>
            <w:tcMar>
              <w:top w:w="80" w:type="dxa"/>
              <w:start w:w="80" w:type="dxa"/>
              <w:bottom w:w="100" w:type="dxa"/>
              <w:end w:w="80" w:type="dxa"/>
            </w:tcMar>
          </w:tcPr>
          <w:p>
            <w:pPr>
              <w:spacing w:after="40"/>
            </w:pPr>
            <w:r/>
            <w:r>
              <w:rPr>
                <w:b/>
                <w:color w:val="15251D"/>
                <w:sz w:val="19"/>
              </w:rPr>
              <w:t>Enterprise identity</w:t>
            </w:r>
          </w:p>
          <w:p>
            <w:pPr>
              <w:pStyle w:val="BodyText"/>
            </w:pPr>
            <w:r>
              <w:t>Integrate SSO/RBAC and row-level tenant/location policies.</w:t>
            </w:r>
          </w:p>
        </w:tc>
      </w:tr>
      <w:tr>
        <w:tc>
          <w:tcPr>
            <w:tcW w:type="dxa" w:w="605"/>
            <w:vAlign w:val="center"/>
            <w:tcMar>
              <w:top w:w="110" w:type="dxa"/>
              <w:start w:w="120" w:type="dxa"/>
              <w:bottom w:w="110" w:type="dxa"/>
              <w:end w:w="120" w:type="dxa"/>
            </w:tcMar>
          </w:tcPr>
          <w:p>
            <w:r/>
            <w:r>
              <w:rPr>
                <w:rFonts w:ascii="Aptos" w:hAnsi="Aptos"/>
                <w:b/>
                <w:color w:val="EF772F"/>
                <w:sz w:val="20"/>
              </w:rPr>
              <w:t>06</w:t>
            </w:r>
          </w:p>
        </w:tc>
        <w:tc>
          <w:tcPr>
            <w:tcW w:type="dxa" w:w="9432"/>
            <w:tcMar>
              <w:top w:w="80" w:type="dxa"/>
              <w:start w:w="80" w:type="dxa"/>
              <w:bottom w:w="100" w:type="dxa"/>
              <w:end w:w="80" w:type="dxa"/>
            </w:tcMar>
          </w:tcPr>
          <w:p>
            <w:pPr>
              <w:spacing w:after="40"/>
            </w:pPr>
            <w:r/>
            <w:r>
              <w:rPr>
                <w:b/>
                <w:color w:val="15251D"/>
                <w:sz w:val="19"/>
              </w:rPr>
              <w:t>Continuous learning</w:t>
            </w:r>
          </w:p>
          <w:p>
            <w:pPr>
              <w:pStyle w:val="BodyText"/>
            </w:pPr>
            <w:r>
              <w:t>Capture mapping corrections and planner decisions as governed labels; retrain only after evaluation gates.</w:t>
            </w:r>
          </w:p>
        </w:tc>
      </w:tr>
    </w:tbl>
    <w:p>
      <w:pPr>
        <w:pStyle w:val="Heading2"/>
      </w:pPr>
      <w:r>
        <w:t>Suggested delivery sequence</w:t>
      </w:r>
    </w:p>
    <w:tbl>
      <w:tblPr>
        <w:tblW w:type="auto" w:w="0"/>
        <w:jc w:val="center"/>
        <w:tblLook w:firstColumn="1" w:firstRow="1" w:lastColumn="0" w:lastRow="0" w:noHBand="0" w:noVBand="1" w:val="04A0"/>
      </w:tblPr>
      <w:tblGrid>
        <w:gridCol w:w="3389"/>
        <w:gridCol w:w="3389"/>
        <w:gridCol w:w="3389"/>
      </w:tblGrid>
      <w:tr>
        <w:tc>
          <w:tcPr>
            <w:tcW w:type="dxa" w:w="3389"/>
            <w:shd w:fill="123D2A"/>
            <w:tcMar>
              <w:top w:w="170" w:type="dxa"/>
              <w:start w:w="160" w:type="dxa"/>
              <w:bottom w:w="170" w:type="dxa"/>
              <w:end w:w="160" w:type="dxa"/>
            </w:tcMar>
          </w:tcPr>
          <w:p>
            <w:r>
              <w:rPr>
                <w:b/>
                <w:color w:val="FFFFFF"/>
                <w:sz w:val="19"/>
              </w:rPr>
              <w:t>Phase 1 · Foundation</w:t>
            </w:r>
          </w:p>
          <w:p>
            <w:pPr>
              <w:pStyle w:val="BodyText"/>
            </w:pPr>
            <w:r>
              <w:rPr>
                <w:color w:val="D6E5DC"/>
              </w:rPr>
              <w:t>Canonical contracts, one ERP/WMS pair, quality/lineage and stockout projection.</w:t>
            </w:r>
          </w:p>
        </w:tc>
        <w:tc>
          <w:tcPr>
            <w:tcW w:type="dxa" w:w="3389"/>
            <w:shd w:fill="F3F7F4"/>
            <w:tcMar>
              <w:top w:w="170" w:type="dxa"/>
              <w:start w:w="160" w:type="dxa"/>
              <w:bottom w:w="170" w:type="dxa"/>
              <w:end w:w="160" w:type="dxa"/>
            </w:tcMar>
          </w:tcPr>
          <w:p>
            <w:r>
              <w:rPr>
                <w:b/>
                <w:color w:val="123D2A"/>
                <w:sz w:val="19"/>
              </w:rPr>
              <w:t>Phase 2 · Intelligence</w:t>
            </w:r>
          </w:p>
          <w:p>
            <w:pPr>
              <w:pStyle w:val="BodyText"/>
            </w:pPr>
            <w:r>
              <w:t>Forecast and safety-stock services, scenario analysis and mapping evaluation.</w:t>
            </w:r>
          </w:p>
        </w:tc>
        <w:tc>
          <w:tcPr>
            <w:tcW w:type="dxa" w:w="3389"/>
            <w:shd w:fill="F3F7F4"/>
            <w:tcMar>
              <w:top w:w="170" w:type="dxa"/>
              <w:start w:w="160" w:type="dxa"/>
              <w:bottom w:w="170" w:type="dxa"/>
              <w:end w:w="160" w:type="dxa"/>
            </w:tcMar>
          </w:tcPr>
          <w:p>
            <w:r>
              <w:rPr>
                <w:b/>
                <w:color w:val="123D2A"/>
                <w:sz w:val="19"/>
              </w:rPr>
              <w:t>Phase 3 · Action</w:t>
            </w:r>
          </w:p>
          <w:p>
            <w:pPr>
              <w:pStyle w:val="BodyText"/>
            </w:pPr>
            <w:r>
              <w:t>Governed replenishment recommendations, approvals and controlled ERP write-back.</w:t>
            </w:r>
          </w:p>
        </w:tc>
      </w:tr>
    </w:tbl>
    <w:tbl>
      <w:tblPr>
        <w:tblW w:type="auto" w:w="0"/>
        <w:jc w:val="center"/>
        <w:tblLook w:firstColumn="1" w:firstRow="1" w:lastColumn="0" w:lastRow="0" w:noHBand="0" w:noVBand="1" w:val="04A0"/>
      </w:tblPr>
      <w:tblGrid>
        <w:gridCol w:w="10166"/>
      </w:tblGrid>
      <w:tr>
        <w:tc>
          <w:tcPr>
            <w:tcW w:type="dxa" w:w="10166"/>
            <w:shd w:fill="F3F7F4"/>
            <w:tcMar>
              <w:top w:w="160" w:type="dxa"/>
              <w:start w:w="180" w:type="dxa"/>
              <w:bottom w:w="160" w:type="dxa"/>
              <w:end w:w="180" w:type="dxa"/>
            </w:tcMar>
          </w:tcPr>
          <w:p>
            <w:pPr>
              <w:spacing w:after="80"/>
            </w:pPr>
            <w:r>
              <w:rPr>
                <w:b/>
                <w:color w:val="123D2A"/>
                <w:sz w:val="20"/>
              </w:rPr>
              <w:t>Closing perspective</w:t>
            </w:r>
          </w:p>
          <w:p>
            <w:pPr>
              <w:pStyle w:val="BodyText"/>
              <w:spacing w:after="0"/>
            </w:pPr>
            <w:r>
              <w:t>The differentiator is not an LLM sitting above fragmented data. It is a governed decision system in which canonical facts, deterministic inventory services and an explainable agent reinforce one another. That combination reduces onboarding effort while keeping operational decisions reviewable and trustworthy.</w:t>
            </w:r>
          </w:p>
        </w:tc>
      </w:tr>
    </w:tbl>
    <w:p>
      <w:pPr>
        <w:pStyle w:val="Sectionlabel"/>
        <w:jc w:val="center"/>
      </w:pPr>
      <w:r>
        <w:t>Prepared by Satvik Pandey for Aetos Digilog</w:t>
      </w:r>
    </w:p>
    <w:sectPr w:rsidR="00FC693F" w:rsidRPr="0006063C" w:rsidSect="00034616">
      <w:headerReference w:type="default" r:id="rId9"/>
      <w:footerReference w:type="default" r:id="rId10"/>
      <w:pgSz w:w="12240" w:h="15840"/>
      <w:pgMar w:top="936"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6C"/>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ectionlabel"/>
      <w:jc w:val="right"/>
    </w:pPr>
    <w:r>
      <w:t>AETOS DIGILOG  /  AI ENGINEER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25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D2A"/>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3D2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25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23D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66736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5251D"/>
      <w:sz w:val="18"/>
    </w:rPr>
  </w:style>
  <w:style w:type="paragraph" w:styleId="ListBullet2">
    <w:name w:val="List Bullet 2"/>
    <w:basedOn w:val="Normal"/>
    <w:uiPriority w:val="99"/>
    <w:unhideWhenUsed/>
    <w:rsid w:val="00326F90"/>
    <w:pPr>
      <w:numPr>
        <w:numId w:val="2"/>
      </w:numPr>
      <w:spacing w:after="60"/>
      <w:contextualSpacing/>
    </w:pPr>
    <w:rPr>
      <w:rFonts w:ascii="Aptos" w:hAnsi="Aptos"/>
      <w:color w:val="15251D"/>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5251D"/>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269" w:lineRule="auto"/>
    </w:pPr>
    <w:rPr>
      <w:rFonts w:ascii="Aptos" w:hAnsi="Aptos"/>
      <w:color w:val="66736C"/>
      <w:sz w:val="22"/>
    </w:rPr>
  </w:style>
  <w:style w:type="paragraph" w:customStyle="1" w:styleId="Sectionlabel">
    <w:name w:val="Section label"/>
    <w:pPr>
      <w:spacing w:after="80"/>
    </w:pPr>
    <w:rPr>
      <w:rFonts w:ascii="Aptos" w:hAnsi="Aptos"/>
      <w:b/>
      <w:color w:val="EF772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satvik20pandey.github.io/AI-Assignment-Aetos-Digilog/" TargetMode="External"/><Relationship Id="rId13" Type="http://schemas.openxmlformats.org/officeDocument/2006/relationships/hyperlink" Target="https://github.com/Satvik20Pandey/AI-Assignment-Aetos-Digilog"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Inventory Decision Platform</dc:title>
  <dc:subject>Aetos Digilog AI Engineer Assessment</dc:subject>
  <dc:creator>Satvik Pandey</dc:creator>
  <cp:keywords>AI, ERP, WMS, inventory planning, stockout, canonical data model</cp:keywords>
  <dc:description>Prepared for Aetos Digilog</dc:description>
  <cp:lastModifiedBy/>
  <cp:revision>1</cp:revision>
  <dcterms:created xsi:type="dcterms:W3CDTF">2013-12-23T23:15:00Z</dcterms:created>
  <dcterms:modified xsi:type="dcterms:W3CDTF">2013-12-23T23:15:00Z</dcterms:modified>
  <cp:category/>
</cp:coreProperties>
</file>